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
        <w:bidi w:val="0"/>
        <w:jc w:val="center"/>
        <w:rPr>
          <w:rFonts w:hint="eastAsia"/>
          <w:highlight w:val="none"/>
        </w:rPr>
      </w:pPr>
      <w:r>
        <w:rPr>
          <w:highlight w:val="none"/>
        </w:rPr>
        <w:t>关于调整华夏理财固定收益纯债型日日开理财产品4号业绩比较基准的公告</w:t>
      </w:r>
    </w:p>
    <w:p>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思源宋体 CN Light" w:hAnsi="思源宋体 CN Light" w:eastAsia="思源宋体 CN Light" w:cs="思源宋体 CN Light"/>
          <w:sz w:val="30"/>
          <w:szCs w:val="30"/>
          <w:highlight w:val="none"/>
        </w:rPr>
      </w:pPr>
      <w:r>
        <w:rPr>
          <w:rFonts w:hint="eastAsia" w:ascii="思源宋体 CN Light" w:hAnsi="思源宋体 CN Light" w:eastAsia="思源宋体 CN Light" w:cs="思源宋体 CN Light"/>
          <w:sz w:val="30"/>
          <w:szCs w:val="30"/>
          <w:highlight w:val="none"/>
        </w:rPr>
        <w:t>尊敬的投资者：</w:t>
      </w:r>
    </w:p>
    <w:p>
      <w:pPr>
        <w:keepNext w:val="0"/>
        <w:keepLines w:val="0"/>
        <w:pageBreakBefore w:val="0"/>
        <w:widowControl w:val="0"/>
        <w:kinsoku/>
        <w:wordWrap/>
        <w:overflowPunct/>
        <w:topLinePunct w:val="0"/>
        <w:autoSpaceDE/>
        <w:autoSpaceDN/>
        <w:bidi w:val="0"/>
        <w:adjustRightInd/>
        <w:snapToGrid/>
        <w:spacing w:line="480" w:lineRule="exact"/>
        <w:ind w:firstLine="601" w:firstLineChars="200"/>
        <w:jc w:val="left"/>
        <w:textAlignment w:val="auto"/>
        <w:rPr>
          <w:rFonts w:hint="eastAsia" w:ascii="思源宋体 CN Light" w:hAnsi="思源宋体 CN Light" w:eastAsia="思源宋体 CN Light" w:cs="思源宋体 CN Light"/>
          <w:sz w:val="30"/>
          <w:szCs w:val="30"/>
          <w:highlight w:val="none"/>
          <w:lang w:val="en-US" w:eastAsia="zh-CN"/>
        </w:rPr>
      </w:pPr>
      <w:r>
        <w:rPr>
          <w:rFonts w:hint="eastAsia" w:ascii="思源宋体 CN Light" w:hAnsi="思源宋体 CN Light" w:cs="思源宋体 CN Light"/>
          <w:b/>
          <w:bCs/>
          <w:sz w:val="30"/>
          <w:szCs w:val="30"/>
          <w:highlight w:val="none"/>
          <w:lang w:val="en-US" w:eastAsia="zh-CN"/>
        </w:rPr>
        <w:t>基于当前市场环境，综合考虑宏观经济及各类资产收益水平变化，结合产品运作情况、拟投资策略历史业绩、产品费用成本等因素</w:t>
      </w:r>
      <w:r>
        <w:rPr>
          <w:rFonts w:hint="eastAsia" w:ascii="思源宋体 CN Light" w:hAnsi="思源宋体 CN Light" w:eastAsia="思源宋体 CN Light" w:cs="思源宋体 CN Light"/>
          <w:b/>
          <w:bCs/>
          <w:sz w:val="30"/>
          <w:szCs w:val="30"/>
          <w:highlight w:val="none"/>
          <w:lang w:val="en-US" w:eastAsia="zh-CN"/>
        </w:rPr>
        <w:t>，我司拟于</w:t>
      </w:r>
      <w:r>
        <w:rPr>
          <w:rFonts w:hint="eastAsia" w:ascii="思源宋体 CN Light" w:hAnsi="思源宋体 CN Light" w:eastAsia="思源宋体 CN Light" w:cs="思源宋体 CN Light"/>
          <w:b/>
          <w:bCs/>
          <w:sz w:val="30"/>
          <w:szCs w:val="30"/>
          <w:highlight w:val="none"/>
          <w:lang w:val="en-US" w:eastAsia="zh-CN"/>
        </w:rPr>
        <w:t>2025年12月19日</w:t>
      </w:r>
      <w:r>
        <w:rPr>
          <w:rFonts w:hint="eastAsia" w:ascii="思源宋体 CN Light" w:hAnsi="思源宋体 CN Light" w:eastAsia="思源宋体 CN Light" w:cs="思源宋体 CN Light"/>
          <w:b/>
          <w:bCs/>
          <w:sz w:val="30"/>
          <w:szCs w:val="30"/>
          <w:highlight w:val="none"/>
          <w:lang w:val="en-US" w:eastAsia="zh-CN"/>
        </w:rPr>
        <w:t>（含）起将</w:t>
      </w:r>
      <w:r>
        <w:rPr>
          <w:rFonts w:hint="eastAsia" w:ascii="思源宋体 CN Light" w:hAnsi="思源宋体 CN Light" w:eastAsia="思源宋体 CN Light" w:cs="思源宋体 CN Light"/>
          <w:b/>
          <w:bCs w:val="0"/>
          <w:sz w:val="30"/>
          <w:szCs w:val="30"/>
          <w:highlight w:val="none"/>
          <w:lang w:eastAsia="zh-CN"/>
        </w:rPr>
        <w:t>华夏理财固定收益纯债型日日开理财产品4号（产品代码：23112004）</w:t>
      </w:r>
      <w:r>
        <w:rPr>
          <w:rFonts w:hint="eastAsia" w:ascii="思源宋体 CN Light" w:hAnsi="思源宋体 CN Light" w:eastAsia="思源宋体 CN Light" w:cs="思源宋体 CN Light"/>
          <w:b/>
          <w:bCs/>
          <w:sz w:val="30"/>
          <w:szCs w:val="30"/>
          <w:highlight w:val="none"/>
          <w:lang w:val="en-US" w:eastAsia="zh-CN"/>
        </w:rPr>
        <w:t>业绩比较基准调整为：</w:t>
      </w:r>
      <w:r>
        <w:rPr>
          <w:rFonts w:hint="eastAsia" w:ascii="思源宋体 CN Light" w:hAnsi="思源宋体 CN Light" w:eastAsia="思源宋体 CN Light" w:cs="思源宋体 CN Light"/>
          <w:b/>
          <w:bCs/>
          <w:sz w:val="30"/>
          <w:szCs w:val="30"/>
          <w:highlight w:val="none"/>
          <w:lang w:val="en-US" w:eastAsia="zh-CN"/>
        </w:rPr>
        <w:t>A份额1.20%-1.90%（年化），C份额1.05%-1.75%（年化），G份额1.25%-1.95%（年化），T份额1.25%-1.95%（年化），Z份额1.29%-1.99%（年化），</w:t>
      </w:r>
      <w:r>
        <w:rPr>
          <w:rFonts w:hint="eastAsia" w:ascii="思源宋体 CN Light" w:hAnsi="思源宋体 CN Light" w:eastAsia="思源宋体 CN Light" w:cs="思源宋体 CN Light"/>
          <w:b/>
          <w:bCs/>
          <w:sz w:val="30"/>
          <w:szCs w:val="30"/>
          <w:highlight w:val="none"/>
          <w:lang w:val="en-US" w:eastAsia="zh-CN"/>
        </w:rPr>
        <w:t>测算依据详见更新后的产品说明书。本理财产品为净值型产品，其业绩表现将随市场情况变化而波动，具有不确定性。该业绩比较基准不构成华夏理财有限责任公司对本理财产品的任何收益承诺。</w:t>
      </w:r>
      <w:bookmarkStart w:id="0" w:name="_GoBack"/>
      <w:bookmarkEnd w:id="0"/>
    </w:p>
    <w:p>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思源宋体 CN Light" w:hAnsi="思源宋体 CN Light" w:eastAsia="思源宋体 CN Light" w:cs="思源宋体 CN Light"/>
          <w:sz w:val="30"/>
          <w:szCs w:val="30"/>
          <w:highlight w:val="none"/>
          <w:lang w:eastAsia="zh-CN"/>
        </w:rPr>
      </w:pPr>
      <w:r>
        <w:rPr>
          <w:rFonts w:hint="eastAsia" w:ascii="思源宋体 CN Light" w:hAnsi="思源宋体 CN Light" w:eastAsia="思源宋体 CN Light" w:cs="思源宋体 CN Light"/>
          <w:sz w:val="30"/>
          <w:szCs w:val="30"/>
          <w:highlight w:val="none"/>
        </w:rPr>
        <w:t>感谢您对华夏理财有限责任公司的支持</w:t>
      </w:r>
      <w:r>
        <w:rPr>
          <w:rFonts w:hint="eastAsia" w:ascii="思源宋体 CN Light" w:hAnsi="思源宋体 CN Light" w:eastAsia="思源宋体 CN Light" w:cs="思源宋体 CN Light"/>
          <w:sz w:val="30"/>
          <w:szCs w:val="30"/>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思源宋体 CN Light" w:hAnsi="思源宋体 CN Light" w:eastAsia="思源宋体 CN Light" w:cs="思源宋体 CN Light"/>
          <w:sz w:val="30"/>
          <w:szCs w:val="30"/>
          <w:highlight w:val="none"/>
        </w:rPr>
      </w:pPr>
      <w:r>
        <w:rPr>
          <w:rFonts w:hint="eastAsia" w:ascii="思源宋体 CN Light" w:hAnsi="思源宋体 CN Light" w:eastAsia="思源宋体 CN Light" w:cs="思源宋体 CN Light"/>
          <w:sz w:val="30"/>
          <w:szCs w:val="30"/>
          <w:highlight w:val="none"/>
        </w:rPr>
        <w:t>特此公告。</w:t>
      </w:r>
    </w:p>
    <w:p>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思源宋体 CN Light" w:hAnsi="思源宋体 CN Light" w:eastAsia="思源宋体 CN Light" w:cs="思源宋体 CN Light"/>
          <w:sz w:val="30"/>
          <w:szCs w:val="30"/>
          <w:highlight w:val="none"/>
        </w:rPr>
      </w:pPr>
    </w:p>
    <w:p>
      <w:pPr>
        <w:keepNext w:val="0"/>
        <w:keepLines w:val="0"/>
        <w:pageBreakBefore w:val="0"/>
        <w:widowControl w:val="0"/>
        <w:kinsoku/>
        <w:wordWrap/>
        <w:overflowPunct/>
        <w:topLinePunct w:val="0"/>
        <w:autoSpaceDE/>
        <w:autoSpaceDN/>
        <w:bidi w:val="0"/>
        <w:adjustRightInd/>
        <w:snapToGrid/>
        <w:spacing w:line="480" w:lineRule="exact"/>
        <w:ind w:firstLine="420"/>
        <w:jc w:val="right"/>
        <w:textAlignment w:val="auto"/>
        <w:rPr>
          <w:rFonts w:hint="eastAsia" w:ascii="思源宋体 CN Light" w:hAnsi="思源宋体 CN Light" w:eastAsia="思源宋体 CN Light" w:cs="思源宋体 CN Light"/>
          <w:sz w:val="30"/>
          <w:szCs w:val="30"/>
          <w:highlight w:val="none"/>
        </w:rPr>
      </w:pPr>
      <w:r>
        <w:rPr>
          <w:rFonts w:hint="eastAsia" w:ascii="思源宋体 CN Light" w:hAnsi="思源宋体 CN Light" w:eastAsia="思源宋体 CN Light" w:cs="思源宋体 CN Light"/>
          <w:sz w:val="30"/>
          <w:szCs w:val="30"/>
          <w:highlight w:val="none"/>
        </w:rPr>
        <w:t>华夏理财有限责任公司</w:t>
      </w:r>
    </w:p>
    <w:p>
      <w:pPr>
        <w:keepNext w:val="0"/>
        <w:keepLines w:val="0"/>
        <w:pageBreakBefore w:val="0"/>
        <w:widowControl w:val="0"/>
        <w:kinsoku/>
        <w:wordWrap/>
        <w:overflowPunct/>
        <w:topLinePunct w:val="0"/>
        <w:autoSpaceDE/>
        <w:autoSpaceDN/>
        <w:bidi w:val="0"/>
        <w:adjustRightInd/>
        <w:snapToGrid/>
        <w:spacing w:line="480" w:lineRule="exact"/>
        <w:ind w:firstLine="420"/>
        <w:jc w:val="right"/>
        <w:textAlignment w:val="auto"/>
        <w:rPr>
          <w:rFonts w:hint="eastAsia" w:ascii="思源宋体 CN Light" w:hAnsi="思源宋体 CN Light" w:eastAsia="思源宋体 CN Light" w:cs="思源宋体 CN Light"/>
          <w:sz w:val="30"/>
          <w:szCs w:val="30"/>
          <w:highlight w:val="none"/>
          <w:lang w:val="en-US" w:eastAsia="zh-CN"/>
        </w:rPr>
      </w:pPr>
      <w:r>
        <w:rPr>
          <w:rFonts w:hint="eastAsia" w:ascii="思源宋体 CN Light" w:hAnsi="思源宋体 CN Light" w:eastAsia="思源宋体 CN Light" w:cs="思源宋体 CN Light"/>
          <w:sz w:val="30"/>
          <w:szCs w:val="30"/>
          <w:highlight w:val="none"/>
          <w:lang w:val="en-US" w:eastAsia="zh-CN"/>
        </w:rPr>
        <w:t>2025年12月12日</w:t>
      </w:r>
    </w:p>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思源宋体 CN Light">
    <w:panose1 w:val="02020300000000000000"/>
    <w:charset w:val="86"/>
    <w:family w:val="auto"/>
    <w:pitch w:val="default"/>
    <w:sig w:usb0="20000083" w:usb1="2ADF3C10" w:usb2="00000016" w:usb3="00000000" w:csb0="6006010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dit="trackedChanges" w:enforcement="0"/>
  <w:defaultTabStop w:val="420"/>
  <w:hyphenationZone w:val="360"/>
  <w:drawingGridVerticalSpacing w:val="156"/>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6C80"/>
    <w:rsid w:val="000B2EE8"/>
    <w:rsid w:val="001262FB"/>
    <w:rsid w:val="00137F0C"/>
    <w:rsid w:val="00160FB3"/>
    <w:rsid w:val="00204017"/>
    <w:rsid w:val="0025653E"/>
    <w:rsid w:val="0029597A"/>
    <w:rsid w:val="002F0775"/>
    <w:rsid w:val="002F45A6"/>
    <w:rsid w:val="003548B3"/>
    <w:rsid w:val="00423D67"/>
    <w:rsid w:val="00446D16"/>
    <w:rsid w:val="0045632F"/>
    <w:rsid w:val="004D79CF"/>
    <w:rsid w:val="00514CAA"/>
    <w:rsid w:val="00522CE5"/>
    <w:rsid w:val="00540147"/>
    <w:rsid w:val="006363D5"/>
    <w:rsid w:val="006C4E7A"/>
    <w:rsid w:val="006E78F4"/>
    <w:rsid w:val="006F1293"/>
    <w:rsid w:val="00740B71"/>
    <w:rsid w:val="00841CD9"/>
    <w:rsid w:val="008731CE"/>
    <w:rsid w:val="008A74AC"/>
    <w:rsid w:val="008D1079"/>
    <w:rsid w:val="008F56F8"/>
    <w:rsid w:val="009676C6"/>
    <w:rsid w:val="009E3B27"/>
    <w:rsid w:val="00A5587C"/>
    <w:rsid w:val="00AB417C"/>
    <w:rsid w:val="00AD2C66"/>
    <w:rsid w:val="00B40F18"/>
    <w:rsid w:val="00B97905"/>
    <w:rsid w:val="00B97F23"/>
    <w:rsid w:val="00BA0BCB"/>
    <w:rsid w:val="00BB02B0"/>
    <w:rsid w:val="00BD269C"/>
    <w:rsid w:val="00C21596"/>
    <w:rsid w:val="00C710D5"/>
    <w:rsid w:val="00CC3F15"/>
    <w:rsid w:val="00CC7E42"/>
    <w:rsid w:val="00D20B02"/>
    <w:rsid w:val="00D603A2"/>
    <w:rsid w:val="00DB1879"/>
    <w:rsid w:val="00E26851"/>
    <w:rsid w:val="00F206D0"/>
    <w:rsid w:val="00F32B2F"/>
    <w:rsid w:val="00F54A3F"/>
    <w:rsid w:val="00F9230F"/>
    <w:rsid w:val="010B134B"/>
    <w:rsid w:val="01633374"/>
    <w:rsid w:val="018A0EB1"/>
    <w:rsid w:val="01D248FF"/>
    <w:rsid w:val="01DF02CE"/>
    <w:rsid w:val="02280836"/>
    <w:rsid w:val="02642D03"/>
    <w:rsid w:val="026D5047"/>
    <w:rsid w:val="03433B18"/>
    <w:rsid w:val="035E7C2D"/>
    <w:rsid w:val="03874E2D"/>
    <w:rsid w:val="038A1B1E"/>
    <w:rsid w:val="03935A39"/>
    <w:rsid w:val="04826322"/>
    <w:rsid w:val="04AD7905"/>
    <w:rsid w:val="054A11BA"/>
    <w:rsid w:val="05B26E27"/>
    <w:rsid w:val="05BE62FA"/>
    <w:rsid w:val="064033D0"/>
    <w:rsid w:val="064509FD"/>
    <w:rsid w:val="06522EA1"/>
    <w:rsid w:val="06671AF5"/>
    <w:rsid w:val="06CD0F3D"/>
    <w:rsid w:val="07050F75"/>
    <w:rsid w:val="076766B5"/>
    <w:rsid w:val="07A03816"/>
    <w:rsid w:val="07C06BA1"/>
    <w:rsid w:val="088E4711"/>
    <w:rsid w:val="08A147D6"/>
    <w:rsid w:val="08FA61DF"/>
    <w:rsid w:val="09185B72"/>
    <w:rsid w:val="0B4B54AD"/>
    <w:rsid w:val="0B537F65"/>
    <w:rsid w:val="0B78105E"/>
    <w:rsid w:val="0BDC4A25"/>
    <w:rsid w:val="0BE33B93"/>
    <w:rsid w:val="0C2C7C08"/>
    <w:rsid w:val="0CD04E93"/>
    <w:rsid w:val="0CDA64A0"/>
    <w:rsid w:val="0D4C09CF"/>
    <w:rsid w:val="0D4C7E4E"/>
    <w:rsid w:val="0D68276C"/>
    <w:rsid w:val="0D8855EE"/>
    <w:rsid w:val="0DF42673"/>
    <w:rsid w:val="0E16391B"/>
    <w:rsid w:val="0F10413C"/>
    <w:rsid w:val="0F246B7F"/>
    <w:rsid w:val="0F3449CE"/>
    <w:rsid w:val="0FA961B5"/>
    <w:rsid w:val="0FDC1BC6"/>
    <w:rsid w:val="0FDE20E5"/>
    <w:rsid w:val="0FE2696F"/>
    <w:rsid w:val="0FF625FB"/>
    <w:rsid w:val="100B6572"/>
    <w:rsid w:val="1058445F"/>
    <w:rsid w:val="10AA6C9E"/>
    <w:rsid w:val="10AC5161"/>
    <w:rsid w:val="10CA62D1"/>
    <w:rsid w:val="11415A82"/>
    <w:rsid w:val="12A34259"/>
    <w:rsid w:val="12C94B49"/>
    <w:rsid w:val="13534667"/>
    <w:rsid w:val="14377A29"/>
    <w:rsid w:val="147676E1"/>
    <w:rsid w:val="14B31688"/>
    <w:rsid w:val="15260E11"/>
    <w:rsid w:val="15B05F90"/>
    <w:rsid w:val="176602FF"/>
    <w:rsid w:val="178A1656"/>
    <w:rsid w:val="17B9416E"/>
    <w:rsid w:val="18375939"/>
    <w:rsid w:val="18F83C1B"/>
    <w:rsid w:val="18FD7B8B"/>
    <w:rsid w:val="190A3C55"/>
    <w:rsid w:val="192A44E7"/>
    <w:rsid w:val="195802B0"/>
    <w:rsid w:val="196566E3"/>
    <w:rsid w:val="1A173B5B"/>
    <w:rsid w:val="1A432C1F"/>
    <w:rsid w:val="1A686A20"/>
    <w:rsid w:val="1A9876FF"/>
    <w:rsid w:val="1ACD6BC9"/>
    <w:rsid w:val="1AFE6CB6"/>
    <w:rsid w:val="1CF87497"/>
    <w:rsid w:val="1D6B7019"/>
    <w:rsid w:val="1D884331"/>
    <w:rsid w:val="1E0C68D5"/>
    <w:rsid w:val="1E620C67"/>
    <w:rsid w:val="1EC55D25"/>
    <w:rsid w:val="1F0F4994"/>
    <w:rsid w:val="1F4436F0"/>
    <w:rsid w:val="20256F17"/>
    <w:rsid w:val="20A420AE"/>
    <w:rsid w:val="20D4701E"/>
    <w:rsid w:val="20E27F30"/>
    <w:rsid w:val="20F04EEA"/>
    <w:rsid w:val="216357D9"/>
    <w:rsid w:val="21706269"/>
    <w:rsid w:val="21932E14"/>
    <w:rsid w:val="21A85739"/>
    <w:rsid w:val="2206685F"/>
    <w:rsid w:val="22B42700"/>
    <w:rsid w:val="23145F14"/>
    <w:rsid w:val="2395727B"/>
    <w:rsid w:val="23F9530D"/>
    <w:rsid w:val="240A0298"/>
    <w:rsid w:val="240B6D36"/>
    <w:rsid w:val="24162237"/>
    <w:rsid w:val="2511129C"/>
    <w:rsid w:val="269D0542"/>
    <w:rsid w:val="26CF7399"/>
    <w:rsid w:val="26DB2CDB"/>
    <w:rsid w:val="271F1CEC"/>
    <w:rsid w:val="275F737D"/>
    <w:rsid w:val="280232A9"/>
    <w:rsid w:val="281D775F"/>
    <w:rsid w:val="28CB31D0"/>
    <w:rsid w:val="28CC407F"/>
    <w:rsid w:val="28F362FE"/>
    <w:rsid w:val="2A1E3FDB"/>
    <w:rsid w:val="2A251137"/>
    <w:rsid w:val="2A555783"/>
    <w:rsid w:val="2B282C1F"/>
    <w:rsid w:val="2B3151C5"/>
    <w:rsid w:val="2B7661DC"/>
    <w:rsid w:val="2B9C5C76"/>
    <w:rsid w:val="2BA93F88"/>
    <w:rsid w:val="2BC91A6C"/>
    <w:rsid w:val="2C7B5A8A"/>
    <w:rsid w:val="2C886006"/>
    <w:rsid w:val="2CA66F79"/>
    <w:rsid w:val="2CBB7774"/>
    <w:rsid w:val="2D466457"/>
    <w:rsid w:val="2D50582E"/>
    <w:rsid w:val="2DF6486A"/>
    <w:rsid w:val="2DF736C7"/>
    <w:rsid w:val="2E052709"/>
    <w:rsid w:val="2E1A70A8"/>
    <w:rsid w:val="2E235C36"/>
    <w:rsid w:val="2E476CDE"/>
    <w:rsid w:val="2F073B5F"/>
    <w:rsid w:val="2F093B3A"/>
    <w:rsid w:val="2F6347FA"/>
    <w:rsid w:val="303B3A5A"/>
    <w:rsid w:val="307A2AE4"/>
    <w:rsid w:val="30E53E11"/>
    <w:rsid w:val="31B03F94"/>
    <w:rsid w:val="31B44306"/>
    <w:rsid w:val="320278CF"/>
    <w:rsid w:val="32043C57"/>
    <w:rsid w:val="325E0DB4"/>
    <w:rsid w:val="327D551C"/>
    <w:rsid w:val="32A2010B"/>
    <w:rsid w:val="33944205"/>
    <w:rsid w:val="33B34313"/>
    <w:rsid w:val="33F86541"/>
    <w:rsid w:val="34172F73"/>
    <w:rsid w:val="342D0E91"/>
    <w:rsid w:val="354B6B44"/>
    <w:rsid w:val="35F83418"/>
    <w:rsid w:val="36243B01"/>
    <w:rsid w:val="36415E89"/>
    <w:rsid w:val="366F435B"/>
    <w:rsid w:val="36F80C14"/>
    <w:rsid w:val="37B657D1"/>
    <w:rsid w:val="37F3288B"/>
    <w:rsid w:val="383036CA"/>
    <w:rsid w:val="38372724"/>
    <w:rsid w:val="387455A1"/>
    <w:rsid w:val="391C02D9"/>
    <w:rsid w:val="391F74EE"/>
    <w:rsid w:val="39866F19"/>
    <w:rsid w:val="39C26270"/>
    <w:rsid w:val="3A2A1F43"/>
    <w:rsid w:val="3A2B5230"/>
    <w:rsid w:val="3AB726F5"/>
    <w:rsid w:val="3ABB3A2F"/>
    <w:rsid w:val="3AE01ADD"/>
    <w:rsid w:val="3B013DDA"/>
    <w:rsid w:val="3B1B2786"/>
    <w:rsid w:val="3BDB0B35"/>
    <w:rsid w:val="3C196E25"/>
    <w:rsid w:val="3C317246"/>
    <w:rsid w:val="3C38549C"/>
    <w:rsid w:val="3C5F35B1"/>
    <w:rsid w:val="3C781C72"/>
    <w:rsid w:val="3C847006"/>
    <w:rsid w:val="3CDF3935"/>
    <w:rsid w:val="3E076FCF"/>
    <w:rsid w:val="3E5C75D5"/>
    <w:rsid w:val="3EF50132"/>
    <w:rsid w:val="40816C1F"/>
    <w:rsid w:val="4192633C"/>
    <w:rsid w:val="41960170"/>
    <w:rsid w:val="41F2243E"/>
    <w:rsid w:val="42534A61"/>
    <w:rsid w:val="431F543A"/>
    <w:rsid w:val="432E4FF9"/>
    <w:rsid w:val="4389019D"/>
    <w:rsid w:val="43934712"/>
    <w:rsid w:val="44185E43"/>
    <w:rsid w:val="448F348D"/>
    <w:rsid w:val="44CB7CED"/>
    <w:rsid w:val="44D31A1B"/>
    <w:rsid w:val="451419A5"/>
    <w:rsid w:val="452E7FD4"/>
    <w:rsid w:val="45D54B59"/>
    <w:rsid w:val="45E84550"/>
    <w:rsid w:val="46916FD5"/>
    <w:rsid w:val="47213FAC"/>
    <w:rsid w:val="4760213D"/>
    <w:rsid w:val="47813E6C"/>
    <w:rsid w:val="47C07D26"/>
    <w:rsid w:val="47CF2575"/>
    <w:rsid w:val="47E9088B"/>
    <w:rsid w:val="48673B2C"/>
    <w:rsid w:val="48DC5F0E"/>
    <w:rsid w:val="48E93C90"/>
    <w:rsid w:val="499C1575"/>
    <w:rsid w:val="49FD12F9"/>
    <w:rsid w:val="4A2445A7"/>
    <w:rsid w:val="4A885FDC"/>
    <w:rsid w:val="4A935179"/>
    <w:rsid w:val="4A995549"/>
    <w:rsid w:val="4AA97776"/>
    <w:rsid w:val="4BDE42A7"/>
    <w:rsid w:val="4CC63D7F"/>
    <w:rsid w:val="4CCE1344"/>
    <w:rsid w:val="4D0E051A"/>
    <w:rsid w:val="4DBF3E19"/>
    <w:rsid w:val="4F4967E4"/>
    <w:rsid w:val="4F824D7E"/>
    <w:rsid w:val="50291F71"/>
    <w:rsid w:val="50596BD6"/>
    <w:rsid w:val="50BF23E0"/>
    <w:rsid w:val="514B79E5"/>
    <w:rsid w:val="51966F4C"/>
    <w:rsid w:val="520F0FD3"/>
    <w:rsid w:val="52784F51"/>
    <w:rsid w:val="52BF457A"/>
    <w:rsid w:val="53235275"/>
    <w:rsid w:val="53BC2516"/>
    <w:rsid w:val="54350018"/>
    <w:rsid w:val="550F3BDA"/>
    <w:rsid w:val="55505730"/>
    <w:rsid w:val="55517564"/>
    <w:rsid w:val="55F122A6"/>
    <w:rsid w:val="56281119"/>
    <w:rsid w:val="579A641A"/>
    <w:rsid w:val="57F24B87"/>
    <w:rsid w:val="57F9536B"/>
    <w:rsid w:val="5909414B"/>
    <w:rsid w:val="5975567B"/>
    <w:rsid w:val="59AC0D97"/>
    <w:rsid w:val="5A6F322D"/>
    <w:rsid w:val="5A8E79A0"/>
    <w:rsid w:val="5AAC0F59"/>
    <w:rsid w:val="5AEA7E35"/>
    <w:rsid w:val="5B1F3E5D"/>
    <w:rsid w:val="5B6551F0"/>
    <w:rsid w:val="5B722BE1"/>
    <w:rsid w:val="5BA52DED"/>
    <w:rsid w:val="5BE1154B"/>
    <w:rsid w:val="5BF55FED"/>
    <w:rsid w:val="5CDA2586"/>
    <w:rsid w:val="5D192AB0"/>
    <w:rsid w:val="5D4B0C39"/>
    <w:rsid w:val="5E546DD1"/>
    <w:rsid w:val="5E867AFF"/>
    <w:rsid w:val="5EB1330B"/>
    <w:rsid w:val="5F4F50B7"/>
    <w:rsid w:val="5FF26A54"/>
    <w:rsid w:val="604C3807"/>
    <w:rsid w:val="607B236A"/>
    <w:rsid w:val="61562297"/>
    <w:rsid w:val="61B83D5E"/>
    <w:rsid w:val="61FE0917"/>
    <w:rsid w:val="61FE4354"/>
    <w:rsid w:val="622249ED"/>
    <w:rsid w:val="62295D10"/>
    <w:rsid w:val="627F0705"/>
    <w:rsid w:val="62A34AE2"/>
    <w:rsid w:val="63D15554"/>
    <w:rsid w:val="6511265D"/>
    <w:rsid w:val="65B75BBB"/>
    <w:rsid w:val="65D10B28"/>
    <w:rsid w:val="66865D37"/>
    <w:rsid w:val="6696637A"/>
    <w:rsid w:val="6714639B"/>
    <w:rsid w:val="677845EB"/>
    <w:rsid w:val="67AB1FA1"/>
    <w:rsid w:val="68625586"/>
    <w:rsid w:val="68BF226B"/>
    <w:rsid w:val="69303438"/>
    <w:rsid w:val="6B074360"/>
    <w:rsid w:val="6C3A1CFC"/>
    <w:rsid w:val="6C844AAB"/>
    <w:rsid w:val="6C891725"/>
    <w:rsid w:val="6C9327AE"/>
    <w:rsid w:val="6CB82D0C"/>
    <w:rsid w:val="6CC2338F"/>
    <w:rsid w:val="6E03415B"/>
    <w:rsid w:val="6F3B1AB5"/>
    <w:rsid w:val="700057DD"/>
    <w:rsid w:val="7042660B"/>
    <w:rsid w:val="70506BDB"/>
    <w:rsid w:val="708E009F"/>
    <w:rsid w:val="70EC278D"/>
    <w:rsid w:val="70FE2EF5"/>
    <w:rsid w:val="71077BCA"/>
    <w:rsid w:val="711C125F"/>
    <w:rsid w:val="71920663"/>
    <w:rsid w:val="72BE7843"/>
    <w:rsid w:val="72E51264"/>
    <w:rsid w:val="731578FB"/>
    <w:rsid w:val="73483267"/>
    <w:rsid w:val="73727F0B"/>
    <w:rsid w:val="737B402A"/>
    <w:rsid w:val="7380460B"/>
    <w:rsid w:val="741F0C4C"/>
    <w:rsid w:val="74CE102F"/>
    <w:rsid w:val="759F22E2"/>
    <w:rsid w:val="75C15E3F"/>
    <w:rsid w:val="7618055E"/>
    <w:rsid w:val="766921CD"/>
    <w:rsid w:val="767057F7"/>
    <w:rsid w:val="769E4528"/>
    <w:rsid w:val="77EC1C4C"/>
    <w:rsid w:val="77F62342"/>
    <w:rsid w:val="78043A22"/>
    <w:rsid w:val="78A62DB5"/>
    <w:rsid w:val="78AB4608"/>
    <w:rsid w:val="78C86A93"/>
    <w:rsid w:val="79083365"/>
    <w:rsid w:val="790B715C"/>
    <w:rsid w:val="792E5F8F"/>
    <w:rsid w:val="79410F99"/>
    <w:rsid w:val="79EB5032"/>
    <w:rsid w:val="7AC116E8"/>
    <w:rsid w:val="7B011A87"/>
    <w:rsid w:val="7B456AC1"/>
    <w:rsid w:val="7B742D76"/>
    <w:rsid w:val="7CD408E6"/>
    <w:rsid w:val="7CE078FC"/>
    <w:rsid w:val="7CF93296"/>
    <w:rsid w:val="7E1415EE"/>
    <w:rsid w:val="7E155D5A"/>
    <w:rsid w:val="7E4B4612"/>
    <w:rsid w:val="7F3F4392"/>
    <w:rsid w:val="7FFD32F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99"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exact"/>
      <w:jc w:val="both"/>
    </w:pPr>
    <w:rPr>
      <w:rFonts w:ascii="Times New Roman" w:hAnsi="Times New Roman" w:eastAsia="思源宋体 CN Light" w:cs="思源宋体 CN Light"/>
      <w:kern w:val="2"/>
      <w:sz w:val="21"/>
      <w:szCs w:val="21"/>
      <w:lang w:val="en-US" w:eastAsia="zh-CN" w:bidi="ar-SA"/>
    </w:rPr>
  </w:style>
  <w:style w:type="paragraph" w:styleId="2">
    <w:name w:val="heading 1"/>
    <w:basedOn w:val="1"/>
    <w:next w:val="1"/>
    <w:qFormat/>
    <w:uiPriority w:val="9"/>
    <w:pPr>
      <w:keepNext/>
      <w:keepLines/>
      <w:spacing w:before="340" w:beforeLines="0" w:beforeAutospacing="0" w:after="330" w:afterLines="0" w:afterAutospacing="0" w:line="480" w:lineRule="exact"/>
      <w:outlineLvl w:val="0"/>
    </w:pPr>
    <w:rPr>
      <w:rFonts w:ascii="Times New Roman" w:hAnsi="Times New Roman"/>
      <w:b/>
      <w:kern w:val="44"/>
      <w:sz w:val="36"/>
    </w:rPr>
  </w:style>
  <w:style w:type="character" w:default="1" w:styleId="8">
    <w:name w:val="Default Paragraph Font"/>
    <w:semiHidden/>
    <w:qFormat/>
    <w:uiPriority w:val="99"/>
  </w:style>
  <w:style w:type="table" w:default="1" w:styleId="7">
    <w:name w:val="Normal Table"/>
    <w:unhideWhenUsed/>
    <w:qFormat/>
    <w:uiPriority w:val="99"/>
    <w:tblPr>
      <w:tblCellMar>
        <w:top w:w="0" w:type="dxa"/>
        <w:left w:w="108" w:type="dxa"/>
        <w:bottom w:w="0" w:type="dxa"/>
        <w:right w:w="108" w:type="dxa"/>
      </w:tblCellMar>
    </w:tblPr>
  </w:style>
  <w:style w:type="paragraph" w:styleId="3">
    <w:name w:val="Body Text Indent"/>
    <w:basedOn w:val="1"/>
    <w:link w:val="10"/>
    <w:qFormat/>
    <w:uiPriority w:val="99"/>
    <w:pPr>
      <w:ind w:firstLine="630"/>
    </w:pPr>
    <w:rPr>
      <w:kern w:val="0"/>
      <w:sz w:val="24"/>
      <w:szCs w:val="24"/>
    </w:rPr>
  </w:style>
  <w:style w:type="paragraph" w:styleId="4">
    <w:name w:val="Balloon Text"/>
    <w:basedOn w:val="1"/>
    <w:semiHidden/>
    <w:qFormat/>
    <w:uiPriority w:val="0"/>
    <w:rPr>
      <w:sz w:val="18"/>
      <w:szCs w:val="18"/>
    </w:rPr>
  </w:style>
  <w:style w:type="paragraph" w:styleId="5">
    <w:name w:val="footer"/>
    <w:basedOn w:val="1"/>
    <w:link w:val="11"/>
    <w:qFormat/>
    <w:uiPriority w:val="99"/>
    <w:pPr>
      <w:tabs>
        <w:tab w:val="center" w:pos="4153"/>
        <w:tab w:val="right" w:pos="8306"/>
      </w:tabs>
      <w:snapToGrid w:val="0"/>
      <w:jc w:val="left"/>
    </w:pPr>
    <w:rPr>
      <w:rFonts w:cs="Times New Roman"/>
      <w:sz w:val="18"/>
      <w:szCs w:val="18"/>
    </w:rPr>
  </w:style>
  <w:style w:type="paragraph" w:styleId="6">
    <w:name w:val="header"/>
    <w:basedOn w:val="1"/>
    <w:link w:val="12"/>
    <w:qFormat/>
    <w:uiPriority w:val="99"/>
    <w:pPr>
      <w:pBdr>
        <w:bottom w:val="single" w:color="auto" w:sz="6" w:space="1"/>
      </w:pBdr>
      <w:tabs>
        <w:tab w:val="center" w:pos="4153"/>
        <w:tab w:val="right" w:pos="8306"/>
      </w:tabs>
      <w:snapToGrid w:val="0"/>
      <w:jc w:val="center"/>
    </w:pPr>
    <w:rPr>
      <w:sz w:val="18"/>
      <w:szCs w:val="18"/>
    </w:rPr>
  </w:style>
  <w:style w:type="paragraph" w:customStyle="1" w:styleId="9">
    <w:name w:val="_Style 7"/>
    <w:qFormat/>
    <w:uiPriority w:val="99"/>
    <w:rPr>
      <w:rFonts w:ascii="Calibri" w:hAnsi="Calibri" w:eastAsia="宋体" w:cs="Calibri"/>
      <w:kern w:val="2"/>
      <w:sz w:val="21"/>
      <w:szCs w:val="21"/>
      <w:lang w:val="en-US" w:eastAsia="zh-CN" w:bidi="ar-SA"/>
    </w:rPr>
  </w:style>
  <w:style w:type="character" w:customStyle="1" w:styleId="10">
    <w:name w:val="正文文本缩进 字符"/>
    <w:link w:val="3"/>
    <w:semiHidden/>
    <w:qFormat/>
    <w:uiPriority w:val="99"/>
    <w:rPr>
      <w:rFonts w:ascii="Calibri" w:hAnsi="Calibri" w:cs="Calibri"/>
      <w:szCs w:val="21"/>
    </w:rPr>
  </w:style>
  <w:style w:type="character" w:customStyle="1" w:styleId="11">
    <w:name w:val="页脚 字符"/>
    <w:link w:val="5"/>
    <w:semiHidden/>
    <w:qFormat/>
    <w:uiPriority w:val="99"/>
    <w:rPr>
      <w:rFonts w:ascii="Calibri" w:hAnsi="Calibri" w:cs="Calibri"/>
      <w:sz w:val="18"/>
      <w:szCs w:val="18"/>
    </w:rPr>
  </w:style>
  <w:style w:type="character" w:customStyle="1" w:styleId="12">
    <w:name w:val="页眉 字符"/>
    <w:link w:val="6"/>
    <w:semiHidden/>
    <w:qFormat/>
    <w:uiPriority w:val="99"/>
    <w:rPr>
      <w:rFonts w:ascii="Calibri" w:hAnsi="Calibri" w:cs="Calibri"/>
      <w:sz w:val="18"/>
      <w:szCs w:val="18"/>
    </w:rPr>
  </w:style>
  <w:style w:type="character" w:customStyle="1" w:styleId="13">
    <w:name w:val="NormalCharacter"/>
    <w:qFormat/>
    <w:uiPriority w:val="99"/>
  </w:style>
  <w:style w:type="character" w:customStyle="1" w:styleId="14">
    <w:name w:val=" Char Char1"/>
    <w:qFormat/>
    <w:locked/>
    <w:uiPriority w:val="99"/>
    <w:rPr>
      <w:rFonts w:ascii="Calibri" w:hAnsi="Calibri" w:cs="Calibr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68</Words>
  <Characters>391</Characters>
  <Lines>3</Lines>
  <Paragraphs>1</Paragraphs>
  <TotalTime>2</TotalTime>
  <ScaleCrop>false</ScaleCrop>
  <LinksUpToDate>false</LinksUpToDate>
  <CharactersWithSpaces>458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2023-02-27T08:08:00Z</dcterms:created>
  <dc:creator>admin</dc:creator>
  <cp:lastModifiedBy>完毕</cp:lastModifiedBy>
  <dcterms:modified xsi:type="dcterms:W3CDTF">2025-12-11T11:16:00Z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262F78ED10AD4980A4EB1EB015F8A301</vt:lpwstr>
  </property>
</Properties>
</file>