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60" w:lineRule="exact"/>
        <w:jc w:val="center"/>
        <w:textAlignment w:val="auto"/>
        <w:rPr>
          <w:rFonts w:hint="eastAsia" w:ascii="思源宋体 CN Light" w:hAnsi="思源宋体 CN Light" w:eastAsia="思源宋体 CN Light" w:cs="思源宋体 CN Light"/>
          <w:b/>
          <w:bCs/>
          <w:sz w:val="44"/>
          <w:szCs w:val="44"/>
          <w:highlight w:val="none"/>
        </w:rPr>
      </w:pPr>
      <w:r>
        <w:rPr>
          <w:rFonts w:hint="eastAsia" w:ascii="思源宋体 CN Light" w:hAnsi="思源宋体 CN Light" w:eastAsia="思源宋体 CN Light" w:cs="思源宋体 CN Light"/>
          <w:b/>
          <w:bCs/>
          <w:sz w:val="36"/>
          <w:szCs w:val="36"/>
          <w:highlight w:val="none"/>
        </w:rPr>
        <w:t>关于华夏理财龙盈固定收益类G款47号半年定开理财产品销售手续费率恢复至说明书约定费率和调整固定管理费率并公布下一封闭期业绩比较基准的公告</w:t>
      </w:r>
    </w:p>
    <w:p>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尊敬的投资者：</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此前我司根据产品费率阶段性优惠安排对华夏理财龙盈固定收益类G款47号半年定开理财产品（产品代码：208212100316）销售手续费率开展了优惠，现拟于2025年10月23日（含）起</w:t>
      </w:r>
      <w:r>
        <w:rPr>
          <w:rFonts w:hint="eastAsia" w:ascii="思源宋体 CN Light" w:hAnsi="思源宋体 CN Light" w:eastAsia="思源宋体 CN Light" w:cs="思源宋体 CN Light"/>
          <w:b/>
          <w:bCs/>
          <w:sz w:val="24"/>
          <w:szCs w:val="24"/>
          <w:highlight w:val="none"/>
          <w:lang w:val="en-US" w:eastAsia="zh-CN"/>
        </w:rPr>
        <w:t>将销售手续费率恢复至说明书约定费率0.30%/年。</w:t>
      </w:r>
    </w:p>
    <w:p>
      <w:pPr>
        <w:keepNext w:val="0"/>
        <w:keepLines w:val="0"/>
        <w:pageBreakBefore w:val="0"/>
        <w:widowControl/>
        <w:kinsoku/>
        <w:wordWrap/>
        <w:overflowPunct/>
        <w:topLinePunct w:val="0"/>
        <w:autoSpaceDE/>
        <w:autoSpaceDN/>
        <w:bidi w:val="0"/>
        <w:adjustRightInd w:val="0"/>
        <w:snapToGrid w:val="0"/>
        <w:spacing w:line="52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根据市场情况及产品运作情况，自2025年10月23日（含）起我司拟调整本产品</w:t>
      </w:r>
      <w:r>
        <w:rPr>
          <w:rFonts w:hint="eastAsia" w:ascii="思源宋体 CN Light" w:hAnsi="思源宋体 CN Light" w:eastAsia="思源宋体 CN Light" w:cs="思源宋体 CN Light"/>
          <w:b/>
          <w:bCs/>
          <w:sz w:val="24"/>
          <w:szCs w:val="24"/>
          <w:highlight w:val="none"/>
          <w:lang w:val="en-US" w:eastAsia="zh-CN"/>
        </w:rPr>
        <w:t>说明书约定的固定管理费率，由0.20%/年调整为0.30%/年，且固定管理费率自2025年10月23日（含）起适用说明书约定费率0.30%/年</w:t>
      </w:r>
      <w:r>
        <w:rPr>
          <w:rFonts w:hint="eastAsia" w:ascii="思源宋体 CN Light" w:hAnsi="思源宋体 CN Light" w:eastAsia="思源宋体 CN Light" w:cs="思源宋体 CN Light"/>
          <w:sz w:val="24"/>
          <w:szCs w:val="24"/>
          <w:highlight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b/>
          <w:sz w:val="24"/>
          <w:szCs w:val="24"/>
          <w:highlight w:val="none"/>
        </w:rPr>
      </w:pPr>
      <w:r>
        <w:rPr>
          <w:rFonts w:hint="eastAsia" w:ascii="思源宋体 CN Light" w:hAnsi="思源宋体 CN Light" w:eastAsia="思源宋体 CN Light" w:cs="思源宋体 CN Light"/>
          <w:sz w:val="24"/>
          <w:szCs w:val="24"/>
          <w:highlight w:val="none"/>
          <w:lang w:val="en-US" w:eastAsia="zh-CN"/>
        </w:rPr>
        <w:t>自</w:t>
      </w:r>
      <w:r>
        <w:rPr>
          <w:rFonts w:hint="eastAsia" w:ascii="思源宋体 CN Light" w:hAnsi="思源宋体 CN Light" w:eastAsia="思源宋体 CN Light" w:cs="思源宋体 CN Light"/>
          <w:sz w:val="24"/>
          <w:szCs w:val="24"/>
          <w:highlight w:val="none"/>
          <w:lang w:val="en-US" w:eastAsia="zh-CN"/>
        </w:rPr>
        <w:t>2025年10月23日</w:t>
      </w:r>
      <w:r>
        <w:rPr>
          <w:rFonts w:hint="eastAsia" w:ascii="思源宋体 CN Light" w:hAnsi="思源宋体 CN Light" w:eastAsia="思源宋体 CN Light" w:cs="思源宋体 CN Light"/>
          <w:sz w:val="24"/>
          <w:szCs w:val="24"/>
          <w:highlight w:val="none"/>
          <w:lang w:val="en-US" w:eastAsia="zh-CN"/>
        </w:rPr>
        <w:t>起，</w:t>
      </w:r>
      <w:r>
        <w:rPr>
          <w:rFonts w:hint="eastAsia" w:ascii="思源宋体 CN Light" w:hAnsi="思源宋体 CN Light" w:eastAsia="思源宋体 CN Light" w:cs="思源宋体 CN Light"/>
          <w:sz w:val="24"/>
          <w:szCs w:val="24"/>
          <w:highlight w:val="none"/>
          <w:lang w:val="en-US" w:eastAsia="zh-CN"/>
        </w:rPr>
        <w:t>本产品</w:t>
      </w:r>
      <w:r>
        <w:rPr>
          <w:rFonts w:hint="eastAsia" w:ascii="思源宋体 CN Light" w:hAnsi="思源宋体 CN Light" w:eastAsia="思源宋体 CN Light" w:cs="思源宋体 CN Light"/>
          <w:sz w:val="24"/>
          <w:szCs w:val="24"/>
          <w:highlight w:val="none"/>
          <w:lang w:val="en-US" w:eastAsia="zh-CN"/>
        </w:rPr>
        <w:t>将</w:t>
      </w:r>
      <w:r>
        <w:rPr>
          <w:rFonts w:hint="eastAsia" w:ascii="思源宋体 CN Light" w:hAnsi="思源宋体 CN Light" w:eastAsia="思源宋体 CN Light" w:cs="思源宋体 CN Light"/>
          <w:sz w:val="24"/>
          <w:szCs w:val="24"/>
          <w:highlight w:val="none"/>
        </w:rPr>
        <w:t>进入下一封闭期。</w:t>
      </w:r>
      <w:r>
        <w:rPr>
          <w:rFonts w:hint="eastAsia" w:ascii="思源宋体 CN Light" w:hAnsi="思源宋体 CN Light" w:eastAsia="思源宋体 CN Light" w:cs="思源宋体 CN Light"/>
          <w:b/>
          <w:bCs/>
          <w:sz w:val="24"/>
          <w:szCs w:val="24"/>
          <w:highlight w:val="none"/>
          <w:lang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24"/>
          <w:szCs w:val="24"/>
          <w:highlight w:val="none"/>
          <w:lang w:val="en-US" w:eastAsia="zh-CN"/>
        </w:rPr>
        <w:t>我司拟将</w:t>
      </w:r>
      <w:r>
        <w:rPr>
          <w:rFonts w:hint="eastAsia" w:ascii="思源宋体 CN Light" w:hAnsi="思源宋体 CN Light" w:eastAsia="思源宋体 CN Light" w:cs="思源宋体 CN Light"/>
          <w:b/>
          <w:bCs/>
          <w:sz w:val="24"/>
          <w:szCs w:val="24"/>
          <w:highlight w:val="none"/>
        </w:rPr>
        <w:t>下一封闭期的业绩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w:t>
      </w:r>
      <w:r>
        <w:rPr>
          <w:rFonts w:hint="eastAsia" w:ascii="思源宋体 CN Light" w:hAnsi="思源宋体 CN Light" w:eastAsia="思源宋体 CN Light" w:cs="思源宋体 CN Light"/>
          <w:b/>
          <w:bCs/>
          <w:sz w:val="24"/>
          <w:szCs w:val="24"/>
          <w:highlight w:val="none"/>
          <w:lang w:val="en-US" w:eastAsia="zh-CN"/>
        </w:rPr>
        <w:t>调整</w:t>
      </w:r>
      <w:r>
        <w:rPr>
          <w:rFonts w:hint="eastAsia" w:ascii="思源宋体 CN Light" w:hAnsi="思源宋体 CN Light" w:eastAsia="思源宋体 CN Light" w:cs="思源宋体 CN Light"/>
          <w:b/>
          <w:bCs/>
          <w:sz w:val="24"/>
          <w:szCs w:val="24"/>
          <w:highlight w:val="none"/>
        </w:rPr>
        <w:t>为：</w:t>
      </w:r>
      <w:r>
        <w:rPr>
          <w:rFonts w:hint="eastAsia" w:ascii="思源宋体 CN Light" w:hAnsi="思源宋体 CN Light" w:eastAsia="思源宋体 CN Light" w:cs="思源宋体 CN Light"/>
          <w:b/>
          <w:bCs/>
          <w:sz w:val="24"/>
          <w:szCs w:val="24"/>
          <w:highlight w:val="none"/>
          <w:lang w:val="en-US" w:eastAsia="zh-CN"/>
        </w:rPr>
        <w:t>1.40%-1.70%</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年化）</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测算依据详见更新后的产品说明书</w:t>
      </w:r>
      <w:r>
        <w:rPr>
          <w:rFonts w:hint="eastAsia" w:ascii="思源宋体 CN Light" w:hAnsi="思源宋体 CN Light" w:eastAsia="思源宋体 CN Light" w:cs="思源宋体 CN Light"/>
          <w:b/>
          <w:bCs/>
          <w:sz w:val="24"/>
          <w:szCs w:val="24"/>
          <w:highlight w:val="none"/>
        </w:rPr>
        <w:t>。产品扣除各项费用后，当期实现的年化收益率超过</w:t>
      </w:r>
      <w:r>
        <w:rPr>
          <w:rFonts w:hint="eastAsia" w:ascii="思源宋体 CN Light" w:hAnsi="思源宋体 CN Light" w:eastAsia="思源宋体 CN Light" w:cs="思源宋体 CN Light"/>
          <w:b/>
          <w:bCs/>
          <w:sz w:val="24"/>
          <w:szCs w:val="24"/>
          <w:highlight w:val="none"/>
          <w:lang w:val="en-US" w:eastAsia="zh-CN"/>
        </w:rPr>
        <w:t>1.55%</w:t>
      </w:r>
      <w:r>
        <w:rPr>
          <w:rFonts w:hint="eastAsia" w:ascii="思源宋体 CN Light" w:hAnsi="思源宋体 CN Light" w:eastAsia="思源宋体 CN Light" w:cs="思源宋体 CN Light"/>
          <w:b/>
          <w:bCs/>
          <w:sz w:val="24"/>
          <w:szCs w:val="24"/>
          <w:highlight w:val="none"/>
        </w:rPr>
        <w:t>的部分，50%作为管理人的超额管理费。本理财产品为净值型产品，其业绩表现将随市场情况变化</w:t>
      </w:r>
      <w:bookmarkStart w:id="0" w:name="_GoBack"/>
      <w:bookmarkEnd w:id="0"/>
      <w:r>
        <w:rPr>
          <w:rFonts w:hint="eastAsia" w:ascii="思源宋体 CN Light" w:hAnsi="思源宋体 CN Light" w:eastAsia="思源宋体 CN Light" w:cs="思源宋体 CN Light"/>
          <w:b/>
          <w:bCs/>
          <w:sz w:val="24"/>
          <w:szCs w:val="24"/>
          <w:highlight w:val="none"/>
        </w:rPr>
        <w:t>而波动，具有不确定性。该业绩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若本理财产品的投资</w:t>
      </w:r>
      <w:r>
        <w:rPr>
          <w:rFonts w:hint="eastAsia" w:ascii="思源宋体 CN Light" w:hAnsi="思源宋体 CN Light" w:eastAsia="思源宋体 CN Light" w:cs="思源宋体 CN Light"/>
          <w:sz w:val="24"/>
          <w:szCs w:val="24"/>
          <w:highlight w:val="none"/>
          <w:lang w:val="en-US" w:eastAsia="zh-CN"/>
        </w:rPr>
        <w:t>者</w:t>
      </w:r>
      <w:r>
        <w:rPr>
          <w:rFonts w:hint="eastAsia" w:ascii="思源宋体 CN Light" w:hAnsi="思源宋体 CN Light" w:eastAsia="思源宋体 CN Light" w:cs="思源宋体 CN Light"/>
          <w:sz w:val="24"/>
          <w:szCs w:val="24"/>
          <w:highlight w:val="none"/>
        </w:rPr>
        <w:t>不接受上述公告内容，请于</w:t>
      </w:r>
      <w:r>
        <w:rPr>
          <w:rFonts w:hint="eastAsia" w:ascii="思源宋体 CN Light" w:hAnsi="思源宋体 CN Light" w:eastAsia="思源宋体 CN Light" w:cs="思源宋体 CN Light"/>
          <w:sz w:val="24"/>
          <w:szCs w:val="24"/>
          <w:highlight w:val="none"/>
          <w:lang w:val="en-US" w:eastAsia="zh-CN"/>
        </w:rPr>
        <w:t>本次开放期</w:t>
      </w:r>
      <w:r>
        <w:rPr>
          <w:rFonts w:hint="eastAsia" w:ascii="思源宋体 CN Light" w:hAnsi="思源宋体 CN Light" w:eastAsia="思源宋体 CN Light" w:cs="思源宋体 CN Light"/>
          <w:sz w:val="24"/>
          <w:szCs w:val="24"/>
          <w:highlight w:val="none"/>
          <w:lang w:val="en-US" w:eastAsia="zh-CN"/>
        </w:rPr>
        <w:t>2025年10月16日至2025年10月17日、2025年10月20日至2025年10月22日</w:t>
      </w:r>
      <w:r>
        <w:rPr>
          <w:rFonts w:hint="eastAsia" w:ascii="思源宋体 CN Light" w:hAnsi="思源宋体 CN Light" w:eastAsia="思源宋体 CN Light" w:cs="思源宋体 CN Light"/>
          <w:sz w:val="24"/>
          <w:szCs w:val="24"/>
          <w:highlight w:val="none"/>
        </w:rPr>
        <w:t>通过</w:t>
      </w:r>
      <w:r>
        <w:rPr>
          <w:rFonts w:hint="eastAsia" w:ascii="思源宋体 CN Light" w:hAnsi="思源宋体 CN Light" w:eastAsia="思源宋体 CN Light" w:cs="思源宋体 CN Light"/>
          <w:sz w:val="24"/>
          <w:szCs w:val="24"/>
          <w:highlight w:val="none"/>
          <w:lang w:val="en-US" w:eastAsia="zh-CN"/>
        </w:rPr>
        <w:t>销售</w:t>
      </w:r>
      <w:r>
        <w:rPr>
          <w:rFonts w:hint="eastAsia" w:ascii="思源宋体 CN Light" w:hAnsi="思源宋体 CN Light" w:eastAsia="思源宋体 CN Light" w:cs="思源宋体 CN Light"/>
          <w:sz w:val="24"/>
          <w:szCs w:val="24"/>
          <w:highlight w:val="none"/>
        </w:rPr>
        <w:t>渠道赎回本理财产品；逾期未赎回的，则视为对上述公告内容无异议且同意继续持有本理财产品。</w:t>
      </w:r>
    </w:p>
    <w:p>
      <w:pPr>
        <w:keepNext w:val="0"/>
        <w:keepLines w:val="0"/>
        <w:pageBreakBefore w:val="0"/>
        <w:widowControl w:val="0"/>
        <w:kinsoku/>
        <w:wordWrap/>
        <w:overflowPunct/>
        <w:topLinePunct w:val="0"/>
        <w:autoSpaceDE/>
        <w:autoSpaceDN/>
        <w:bidi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rPr>
        <w:t>感谢您一直以来对华夏理财有限责任公司的支持，欢迎继续关注华夏理财产品。</w:t>
      </w:r>
    </w:p>
    <w:p>
      <w:pPr>
        <w:keepNext w:val="0"/>
        <w:keepLines w:val="0"/>
        <w:pageBreakBefore w:val="0"/>
        <w:kinsoku/>
        <w:wordWrap/>
        <w:overflowPunct/>
        <w:topLinePunct w:val="0"/>
        <w:autoSpaceDE/>
        <w:autoSpaceDN/>
        <w:bidi w:val="0"/>
        <w:snapToGrid w:val="0"/>
        <w:spacing w:line="560" w:lineRule="exact"/>
        <w:ind w:firstLine="540"/>
        <w:jc w:val="right"/>
        <w:textAlignment w:val="auto"/>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华夏理财有限责任公司</w:t>
      </w:r>
    </w:p>
    <w:p>
      <w:pPr>
        <w:keepNext w:val="0"/>
        <w:keepLines w:val="0"/>
        <w:pageBreakBefore w:val="0"/>
        <w:widowControl/>
        <w:kinsoku/>
        <w:wordWrap/>
        <w:overflowPunct/>
        <w:topLinePunct w:val="0"/>
        <w:autoSpaceDE/>
        <w:autoSpaceDN/>
        <w:bidi w:val="0"/>
        <w:adjustRightInd w:val="0"/>
        <w:snapToGrid w:val="0"/>
        <w:spacing w:line="560" w:lineRule="exact"/>
        <w:ind w:left="-105" w:leftChars="-50" w:firstLine="480" w:firstLineChars="200"/>
        <w:jc w:val="right"/>
        <w:textAlignment w:val="auto"/>
        <w:rPr>
          <w:rFonts w:hint="eastAsia" w:ascii="思源宋体 CN Light" w:hAnsi="思源宋体 CN Light" w:eastAsia="思源宋体 CN Light" w:cs="思源宋体 CN Light"/>
          <w:sz w:val="24"/>
          <w:szCs w:val="24"/>
          <w:highlight w:val="none"/>
          <w:lang w:eastAsia="zh-CN"/>
        </w:rPr>
      </w:pPr>
      <w:r>
        <w:rPr>
          <w:rFonts w:hint="eastAsia" w:ascii="思源宋体 CN Light" w:hAnsi="思源宋体 CN Light" w:eastAsia="思源宋体 CN Light" w:cs="思源宋体 CN Light"/>
          <w:sz w:val="24"/>
          <w:szCs w:val="24"/>
          <w:highlight w:val="none"/>
          <w:lang w:val="en-US" w:eastAsia="zh-CN"/>
        </w:rPr>
        <w:t>2025年10月10日</w:t>
      </w:r>
    </w:p>
    <w:sectPr>
      <w:pgSz w:w="11906" w:h="16838"/>
      <w:pgMar w:top="1440" w:right="1689" w:bottom="1440" w:left="168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黑体_x0002_壥....">
    <w:altName w:val="黑体"/>
    <w:panose1 w:val="00000000000000000000"/>
    <w:charset w:val="86"/>
    <w:family w:val="auto"/>
    <w:pitch w:val="default"/>
    <w:sig w:usb0="00000000" w:usb1="00000000" w:usb2="00000000" w:usb3="00000000" w:csb0="00040000" w:csb1="00000000"/>
  </w:font>
  <w:font w:name="思源宋体 CN Light">
    <w:panose1 w:val="020203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71EC"/>
    <w:rsid w:val="0006003E"/>
    <w:rsid w:val="00060572"/>
    <w:rsid w:val="00060A92"/>
    <w:rsid w:val="000953AC"/>
    <w:rsid w:val="000E005A"/>
    <w:rsid w:val="000F711D"/>
    <w:rsid w:val="00160D1B"/>
    <w:rsid w:val="001909F7"/>
    <w:rsid w:val="001B07B8"/>
    <w:rsid w:val="001F2646"/>
    <w:rsid w:val="00216563"/>
    <w:rsid w:val="00263C2E"/>
    <w:rsid w:val="002B0CBD"/>
    <w:rsid w:val="002B11B7"/>
    <w:rsid w:val="002B595F"/>
    <w:rsid w:val="002C72CD"/>
    <w:rsid w:val="002D4EE3"/>
    <w:rsid w:val="002E391D"/>
    <w:rsid w:val="002F691C"/>
    <w:rsid w:val="00300CAC"/>
    <w:rsid w:val="003361F2"/>
    <w:rsid w:val="00343C37"/>
    <w:rsid w:val="00361997"/>
    <w:rsid w:val="00371986"/>
    <w:rsid w:val="003A3845"/>
    <w:rsid w:val="003D1F4D"/>
    <w:rsid w:val="003D260B"/>
    <w:rsid w:val="00416A74"/>
    <w:rsid w:val="004747FF"/>
    <w:rsid w:val="004E2D8B"/>
    <w:rsid w:val="005175ED"/>
    <w:rsid w:val="00526C1E"/>
    <w:rsid w:val="00561CD9"/>
    <w:rsid w:val="00583959"/>
    <w:rsid w:val="00583FB8"/>
    <w:rsid w:val="005C4497"/>
    <w:rsid w:val="005E2665"/>
    <w:rsid w:val="005E3DC5"/>
    <w:rsid w:val="005F7F8F"/>
    <w:rsid w:val="00600941"/>
    <w:rsid w:val="00647D48"/>
    <w:rsid w:val="006548B4"/>
    <w:rsid w:val="00673D2A"/>
    <w:rsid w:val="00673FE9"/>
    <w:rsid w:val="00686F2E"/>
    <w:rsid w:val="006D652F"/>
    <w:rsid w:val="006F1120"/>
    <w:rsid w:val="00714C62"/>
    <w:rsid w:val="0074735A"/>
    <w:rsid w:val="00773CD3"/>
    <w:rsid w:val="007857AA"/>
    <w:rsid w:val="00794098"/>
    <w:rsid w:val="007A0614"/>
    <w:rsid w:val="007A40A1"/>
    <w:rsid w:val="00800976"/>
    <w:rsid w:val="0080424F"/>
    <w:rsid w:val="008556B8"/>
    <w:rsid w:val="00876AEF"/>
    <w:rsid w:val="00881BA7"/>
    <w:rsid w:val="00990787"/>
    <w:rsid w:val="00993126"/>
    <w:rsid w:val="009B2618"/>
    <w:rsid w:val="00A144E3"/>
    <w:rsid w:val="00AC5C21"/>
    <w:rsid w:val="00AF0AAA"/>
    <w:rsid w:val="00AF39DE"/>
    <w:rsid w:val="00B406EF"/>
    <w:rsid w:val="00B56A67"/>
    <w:rsid w:val="00B575AD"/>
    <w:rsid w:val="00B8687B"/>
    <w:rsid w:val="00BA150F"/>
    <w:rsid w:val="00BE70B0"/>
    <w:rsid w:val="00C16922"/>
    <w:rsid w:val="00C30702"/>
    <w:rsid w:val="00C357C3"/>
    <w:rsid w:val="00C50A06"/>
    <w:rsid w:val="00C74DBF"/>
    <w:rsid w:val="00CA6679"/>
    <w:rsid w:val="00CC0838"/>
    <w:rsid w:val="00CC32E7"/>
    <w:rsid w:val="00D17466"/>
    <w:rsid w:val="00D54324"/>
    <w:rsid w:val="00D90B9F"/>
    <w:rsid w:val="00DB2117"/>
    <w:rsid w:val="00DB5493"/>
    <w:rsid w:val="00DD29C0"/>
    <w:rsid w:val="00DE00B4"/>
    <w:rsid w:val="00DF22FC"/>
    <w:rsid w:val="00E250B8"/>
    <w:rsid w:val="00E702E7"/>
    <w:rsid w:val="00E758D0"/>
    <w:rsid w:val="00E91D73"/>
    <w:rsid w:val="00ED7953"/>
    <w:rsid w:val="00F04912"/>
    <w:rsid w:val="00F0598B"/>
    <w:rsid w:val="00F86BA4"/>
    <w:rsid w:val="00FE26E8"/>
    <w:rsid w:val="010E6174"/>
    <w:rsid w:val="01297C64"/>
    <w:rsid w:val="014C0AFA"/>
    <w:rsid w:val="01573260"/>
    <w:rsid w:val="015C2B0C"/>
    <w:rsid w:val="01BE0B5C"/>
    <w:rsid w:val="01DF631E"/>
    <w:rsid w:val="01E435AE"/>
    <w:rsid w:val="0210561C"/>
    <w:rsid w:val="022710F1"/>
    <w:rsid w:val="023E21BE"/>
    <w:rsid w:val="02500E0E"/>
    <w:rsid w:val="02CD4A49"/>
    <w:rsid w:val="02CD5865"/>
    <w:rsid w:val="02FD57BE"/>
    <w:rsid w:val="02FF3EEB"/>
    <w:rsid w:val="031D66A2"/>
    <w:rsid w:val="032F673F"/>
    <w:rsid w:val="033936F0"/>
    <w:rsid w:val="03764A7A"/>
    <w:rsid w:val="03C874C4"/>
    <w:rsid w:val="03DB4655"/>
    <w:rsid w:val="03F54D4D"/>
    <w:rsid w:val="04305790"/>
    <w:rsid w:val="043467F3"/>
    <w:rsid w:val="04425B09"/>
    <w:rsid w:val="0477583F"/>
    <w:rsid w:val="047C4372"/>
    <w:rsid w:val="04B7007C"/>
    <w:rsid w:val="05091302"/>
    <w:rsid w:val="051B6FA2"/>
    <w:rsid w:val="054173B5"/>
    <w:rsid w:val="05BA398C"/>
    <w:rsid w:val="05C92573"/>
    <w:rsid w:val="05E042B0"/>
    <w:rsid w:val="05EC1FDB"/>
    <w:rsid w:val="05ED343B"/>
    <w:rsid w:val="06045374"/>
    <w:rsid w:val="06085ADC"/>
    <w:rsid w:val="061A1D68"/>
    <w:rsid w:val="0626661E"/>
    <w:rsid w:val="064A5EDE"/>
    <w:rsid w:val="066F37D6"/>
    <w:rsid w:val="0675733F"/>
    <w:rsid w:val="06901181"/>
    <w:rsid w:val="069864D6"/>
    <w:rsid w:val="06F408F5"/>
    <w:rsid w:val="06F56F37"/>
    <w:rsid w:val="07197D10"/>
    <w:rsid w:val="07402AA1"/>
    <w:rsid w:val="07A22FF5"/>
    <w:rsid w:val="07CF4BB8"/>
    <w:rsid w:val="07D904F4"/>
    <w:rsid w:val="07DD7C80"/>
    <w:rsid w:val="07E261D8"/>
    <w:rsid w:val="082C276C"/>
    <w:rsid w:val="08884C96"/>
    <w:rsid w:val="08993DA8"/>
    <w:rsid w:val="08B73A59"/>
    <w:rsid w:val="08C46638"/>
    <w:rsid w:val="08CD1B4B"/>
    <w:rsid w:val="08DC4F05"/>
    <w:rsid w:val="093F5AA7"/>
    <w:rsid w:val="09570DED"/>
    <w:rsid w:val="09C67499"/>
    <w:rsid w:val="0A093E14"/>
    <w:rsid w:val="0A0B5CD4"/>
    <w:rsid w:val="0A2B0B64"/>
    <w:rsid w:val="0A2F1DA4"/>
    <w:rsid w:val="0A4205C4"/>
    <w:rsid w:val="0A665428"/>
    <w:rsid w:val="0AB608D5"/>
    <w:rsid w:val="0AC41E4E"/>
    <w:rsid w:val="0ADE6C76"/>
    <w:rsid w:val="0B0259CD"/>
    <w:rsid w:val="0B052653"/>
    <w:rsid w:val="0B16227C"/>
    <w:rsid w:val="0B280BE4"/>
    <w:rsid w:val="0BAD5147"/>
    <w:rsid w:val="0BB8662C"/>
    <w:rsid w:val="0BE07789"/>
    <w:rsid w:val="0BFE46D8"/>
    <w:rsid w:val="0C0A28A6"/>
    <w:rsid w:val="0C290430"/>
    <w:rsid w:val="0C2F49AC"/>
    <w:rsid w:val="0C8D5B25"/>
    <w:rsid w:val="0C936CFF"/>
    <w:rsid w:val="0C955AD2"/>
    <w:rsid w:val="0CF31BCF"/>
    <w:rsid w:val="0CF32DC2"/>
    <w:rsid w:val="0D0D0F40"/>
    <w:rsid w:val="0DC444A6"/>
    <w:rsid w:val="0DD23977"/>
    <w:rsid w:val="0E0220CC"/>
    <w:rsid w:val="0E110FA5"/>
    <w:rsid w:val="0E394943"/>
    <w:rsid w:val="0E57556D"/>
    <w:rsid w:val="0E9C3F30"/>
    <w:rsid w:val="0EE95418"/>
    <w:rsid w:val="0EEE740C"/>
    <w:rsid w:val="0F830336"/>
    <w:rsid w:val="0F9B358F"/>
    <w:rsid w:val="0F9E48F1"/>
    <w:rsid w:val="0FAB7ECC"/>
    <w:rsid w:val="0FB06DD8"/>
    <w:rsid w:val="0FC52627"/>
    <w:rsid w:val="104C3065"/>
    <w:rsid w:val="104D489E"/>
    <w:rsid w:val="108445A4"/>
    <w:rsid w:val="109605A3"/>
    <w:rsid w:val="10BE4C49"/>
    <w:rsid w:val="11082F7E"/>
    <w:rsid w:val="11310837"/>
    <w:rsid w:val="114A2CB3"/>
    <w:rsid w:val="118776AD"/>
    <w:rsid w:val="119168E5"/>
    <w:rsid w:val="11A41B3B"/>
    <w:rsid w:val="124451B7"/>
    <w:rsid w:val="12466AD9"/>
    <w:rsid w:val="12495EFD"/>
    <w:rsid w:val="125916BE"/>
    <w:rsid w:val="126E440B"/>
    <w:rsid w:val="12793512"/>
    <w:rsid w:val="12887F46"/>
    <w:rsid w:val="12AD4594"/>
    <w:rsid w:val="133C40E3"/>
    <w:rsid w:val="137524B2"/>
    <w:rsid w:val="13996DD1"/>
    <w:rsid w:val="13C42771"/>
    <w:rsid w:val="14047C2E"/>
    <w:rsid w:val="14481D0F"/>
    <w:rsid w:val="14A430A0"/>
    <w:rsid w:val="14E9539B"/>
    <w:rsid w:val="14F5150B"/>
    <w:rsid w:val="14FB31F4"/>
    <w:rsid w:val="151614F8"/>
    <w:rsid w:val="152A02D1"/>
    <w:rsid w:val="15B06022"/>
    <w:rsid w:val="15E00AD8"/>
    <w:rsid w:val="161603CC"/>
    <w:rsid w:val="16514754"/>
    <w:rsid w:val="16790B37"/>
    <w:rsid w:val="174B1A64"/>
    <w:rsid w:val="176771F4"/>
    <w:rsid w:val="176C179B"/>
    <w:rsid w:val="176F0B78"/>
    <w:rsid w:val="17733908"/>
    <w:rsid w:val="17AF21EA"/>
    <w:rsid w:val="17CE001B"/>
    <w:rsid w:val="17D62327"/>
    <w:rsid w:val="17DD38AF"/>
    <w:rsid w:val="17ED18C7"/>
    <w:rsid w:val="18077804"/>
    <w:rsid w:val="180D2B4D"/>
    <w:rsid w:val="181D7194"/>
    <w:rsid w:val="18904840"/>
    <w:rsid w:val="18B35BAE"/>
    <w:rsid w:val="191F35C3"/>
    <w:rsid w:val="19221DE6"/>
    <w:rsid w:val="19261C6E"/>
    <w:rsid w:val="19B81E63"/>
    <w:rsid w:val="19C308F9"/>
    <w:rsid w:val="19E16D89"/>
    <w:rsid w:val="1A2C4195"/>
    <w:rsid w:val="1A9C65D7"/>
    <w:rsid w:val="1AA15227"/>
    <w:rsid w:val="1AA83291"/>
    <w:rsid w:val="1AC340F9"/>
    <w:rsid w:val="1AD03944"/>
    <w:rsid w:val="1B031E5A"/>
    <w:rsid w:val="1BB01140"/>
    <w:rsid w:val="1BB9518D"/>
    <w:rsid w:val="1BDA736F"/>
    <w:rsid w:val="1BE4520F"/>
    <w:rsid w:val="1BFC0799"/>
    <w:rsid w:val="1C4D2243"/>
    <w:rsid w:val="1C770006"/>
    <w:rsid w:val="1D416BEB"/>
    <w:rsid w:val="1D4577C6"/>
    <w:rsid w:val="1D780910"/>
    <w:rsid w:val="1D832814"/>
    <w:rsid w:val="1DF63B37"/>
    <w:rsid w:val="1E322697"/>
    <w:rsid w:val="1F516372"/>
    <w:rsid w:val="1F555FC7"/>
    <w:rsid w:val="1F963E9D"/>
    <w:rsid w:val="1F9D4C08"/>
    <w:rsid w:val="1FD705FC"/>
    <w:rsid w:val="1FF935D8"/>
    <w:rsid w:val="200224FB"/>
    <w:rsid w:val="20281F96"/>
    <w:rsid w:val="205A662B"/>
    <w:rsid w:val="206F7A9F"/>
    <w:rsid w:val="20AC2F8D"/>
    <w:rsid w:val="20B65F3A"/>
    <w:rsid w:val="20BF6E3C"/>
    <w:rsid w:val="20EA5156"/>
    <w:rsid w:val="21150B02"/>
    <w:rsid w:val="213C2FF7"/>
    <w:rsid w:val="21681C3B"/>
    <w:rsid w:val="217059D0"/>
    <w:rsid w:val="217C614C"/>
    <w:rsid w:val="21812D83"/>
    <w:rsid w:val="218C01B2"/>
    <w:rsid w:val="21973250"/>
    <w:rsid w:val="219B7BD1"/>
    <w:rsid w:val="21A05A68"/>
    <w:rsid w:val="21B07CAC"/>
    <w:rsid w:val="21CF789E"/>
    <w:rsid w:val="21E60107"/>
    <w:rsid w:val="21FC3A7D"/>
    <w:rsid w:val="22024BC6"/>
    <w:rsid w:val="222F4908"/>
    <w:rsid w:val="228813B7"/>
    <w:rsid w:val="229B388F"/>
    <w:rsid w:val="22D7023B"/>
    <w:rsid w:val="22DC4AB5"/>
    <w:rsid w:val="22E10A00"/>
    <w:rsid w:val="22E3229F"/>
    <w:rsid w:val="22FA3C46"/>
    <w:rsid w:val="22FA7072"/>
    <w:rsid w:val="23811F87"/>
    <w:rsid w:val="23DB620C"/>
    <w:rsid w:val="23E16787"/>
    <w:rsid w:val="23F87075"/>
    <w:rsid w:val="24122B82"/>
    <w:rsid w:val="24416045"/>
    <w:rsid w:val="24515296"/>
    <w:rsid w:val="24990D97"/>
    <w:rsid w:val="24C15A6F"/>
    <w:rsid w:val="24EE3E8E"/>
    <w:rsid w:val="257264FC"/>
    <w:rsid w:val="258143F7"/>
    <w:rsid w:val="25836BDF"/>
    <w:rsid w:val="259E4997"/>
    <w:rsid w:val="26916BF4"/>
    <w:rsid w:val="26F92F47"/>
    <w:rsid w:val="26FD3CC5"/>
    <w:rsid w:val="270A2313"/>
    <w:rsid w:val="27105E75"/>
    <w:rsid w:val="27427722"/>
    <w:rsid w:val="27786F67"/>
    <w:rsid w:val="278E4E1A"/>
    <w:rsid w:val="27B457B1"/>
    <w:rsid w:val="27CA16EC"/>
    <w:rsid w:val="27D30512"/>
    <w:rsid w:val="27F058F1"/>
    <w:rsid w:val="28093163"/>
    <w:rsid w:val="281213CE"/>
    <w:rsid w:val="2835659C"/>
    <w:rsid w:val="2881462A"/>
    <w:rsid w:val="2896452F"/>
    <w:rsid w:val="28C51F27"/>
    <w:rsid w:val="28E37C60"/>
    <w:rsid w:val="290E5574"/>
    <w:rsid w:val="29353C78"/>
    <w:rsid w:val="2938592D"/>
    <w:rsid w:val="29662EF8"/>
    <w:rsid w:val="29884365"/>
    <w:rsid w:val="299407E6"/>
    <w:rsid w:val="29A463EE"/>
    <w:rsid w:val="29DB2147"/>
    <w:rsid w:val="29E412C9"/>
    <w:rsid w:val="29EA5C10"/>
    <w:rsid w:val="2A1F00D0"/>
    <w:rsid w:val="2A210DE7"/>
    <w:rsid w:val="2A7543F3"/>
    <w:rsid w:val="2A9461D8"/>
    <w:rsid w:val="2A9867EE"/>
    <w:rsid w:val="2B460D44"/>
    <w:rsid w:val="2B524D23"/>
    <w:rsid w:val="2B640ECC"/>
    <w:rsid w:val="2B9A7B21"/>
    <w:rsid w:val="2BAB4E78"/>
    <w:rsid w:val="2BC46B95"/>
    <w:rsid w:val="2C6035D6"/>
    <w:rsid w:val="2C9662B4"/>
    <w:rsid w:val="2C984377"/>
    <w:rsid w:val="2C9D5C3F"/>
    <w:rsid w:val="2CB14A2A"/>
    <w:rsid w:val="2D001BE9"/>
    <w:rsid w:val="2D056B87"/>
    <w:rsid w:val="2D4C50CA"/>
    <w:rsid w:val="2D5E6DCE"/>
    <w:rsid w:val="2DC610DA"/>
    <w:rsid w:val="2E071568"/>
    <w:rsid w:val="2E0C31B1"/>
    <w:rsid w:val="2E411969"/>
    <w:rsid w:val="2E9854CF"/>
    <w:rsid w:val="2EF57C78"/>
    <w:rsid w:val="2EFF56D8"/>
    <w:rsid w:val="2F1D0548"/>
    <w:rsid w:val="2F1E6404"/>
    <w:rsid w:val="2F2522CB"/>
    <w:rsid w:val="2F423F0E"/>
    <w:rsid w:val="2F8069BD"/>
    <w:rsid w:val="2F8A31F4"/>
    <w:rsid w:val="2F9F4850"/>
    <w:rsid w:val="300A2E29"/>
    <w:rsid w:val="300A3653"/>
    <w:rsid w:val="30245309"/>
    <w:rsid w:val="30542857"/>
    <w:rsid w:val="30650573"/>
    <w:rsid w:val="306D5126"/>
    <w:rsid w:val="30785015"/>
    <w:rsid w:val="309F30CA"/>
    <w:rsid w:val="30CA4B46"/>
    <w:rsid w:val="30CB129D"/>
    <w:rsid w:val="30F61A64"/>
    <w:rsid w:val="31775FB8"/>
    <w:rsid w:val="31A12C24"/>
    <w:rsid w:val="31A456F2"/>
    <w:rsid w:val="31C34EAE"/>
    <w:rsid w:val="31FF6989"/>
    <w:rsid w:val="321921D0"/>
    <w:rsid w:val="32414B85"/>
    <w:rsid w:val="32765DAB"/>
    <w:rsid w:val="32E25C7A"/>
    <w:rsid w:val="331C4EB4"/>
    <w:rsid w:val="336E17F0"/>
    <w:rsid w:val="338F001E"/>
    <w:rsid w:val="33A33E15"/>
    <w:rsid w:val="33E61958"/>
    <w:rsid w:val="341069B9"/>
    <w:rsid w:val="34327488"/>
    <w:rsid w:val="344F68DF"/>
    <w:rsid w:val="34545DC9"/>
    <w:rsid w:val="34BA58FE"/>
    <w:rsid w:val="34C8716D"/>
    <w:rsid w:val="34F85A73"/>
    <w:rsid w:val="35130216"/>
    <w:rsid w:val="351D6E18"/>
    <w:rsid w:val="35301450"/>
    <w:rsid w:val="35690AB4"/>
    <w:rsid w:val="35874C47"/>
    <w:rsid w:val="35F12E51"/>
    <w:rsid w:val="360449D5"/>
    <w:rsid w:val="361363F5"/>
    <w:rsid w:val="36151D26"/>
    <w:rsid w:val="361D30F0"/>
    <w:rsid w:val="363D610B"/>
    <w:rsid w:val="36666326"/>
    <w:rsid w:val="366B1740"/>
    <w:rsid w:val="36B73A47"/>
    <w:rsid w:val="36BF649D"/>
    <w:rsid w:val="370331CE"/>
    <w:rsid w:val="370766BE"/>
    <w:rsid w:val="371A1456"/>
    <w:rsid w:val="377B2297"/>
    <w:rsid w:val="379323FE"/>
    <w:rsid w:val="379E6BEB"/>
    <w:rsid w:val="37AA2AA0"/>
    <w:rsid w:val="37BE44E6"/>
    <w:rsid w:val="37E71279"/>
    <w:rsid w:val="38405736"/>
    <w:rsid w:val="38712827"/>
    <w:rsid w:val="38723A34"/>
    <w:rsid w:val="38D81C97"/>
    <w:rsid w:val="38F87153"/>
    <w:rsid w:val="390C5437"/>
    <w:rsid w:val="390D04A4"/>
    <w:rsid w:val="391303CA"/>
    <w:rsid w:val="3926044B"/>
    <w:rsid w:val="3927366E"/>
    <w:rsid w:val="39555A0D"/>
    <w:rsid w:val="39866C2B"/>
    <w:rsid w:val="39BA7D72"/>
    <w:rsid w:val="39D57426"/>
    <w:rsid w:val="3A1012CA"/>
    <w:rsid w:val="3A40520F"/>
    <w:rsid w:val="3A542CAC"/>
    <w:rsid w:val="3A724D11"/>
    <w:rsid w:val="3AA928FB"/>
    <w:rsid w:val="3B022252"/>
    <w:rsid w:val="3B244A89"/>
    <w:rsid w:val="3B5A6CA1"/>
    <w:rsid w:val="3BC652F7"/>
    <w:rsid w:val="3BF54B69"/>
    <w:rsid w:val="3BFC4343"/>
    <w:rsid w:val="3C3D3B62"/>
    <w:rsid w:val="3C435753"/>
    <w:rsid w:val="3CDB21BC"/>
    <w:rsid w:val="3D3227EB"/>
    <w:rsid w:val="3D6C76C2"/>
    <w:rsid w:val="3D74555B"/>
    <w:rsid w:val="3E066D90"/>
    <w:rsid w:val="3E7744A9"/>
    <w:rsid w:val="3E973FB3"/>
    <w:rsid w:val="3EE61247"/>
    <w:rsid w:val="3EEC7153"/>
    <w:rsid w:val="3F2E46B6"/>
    <w:rsid w:val="3F5101CF"/>
    <w:rsid w:val="3F820E92"/>
    <w:rsid w:val="3FE1669C"/>
    <w:rsid w:val="3FE76B13"/>
    <w:rsid w:val="3FF5134B"/>
    <w:rsid w:val="40634FB2"/>
    <w:rsid w:val="4079264F"/>
    <w:rsid w:val="407F7C11"/>
    <w:rsid w:val="408579FB"/>
    <w:rsid w:val="40857D7E"/>
    <w:rsid w:val="408F05F9"/>
    <w:rsid w:val="40957FD2"/>
    <w:rsid w:val="40F67579"/>
    <w:rsid w:val="40FA0331"/>
    <w:rsid w:val="413B3F95"/>
    <w:rsid w:val="414A5F02"/>
    <w:rsid w:val="418450E4"/>
    <w:rsid w:val="41A9097B"/>
    <w:rsid w:val="41B75AEE"/>
    <w:rsid w:val="41C0155C"/>
    <w:rsid w:val="41DC4D81"/>
    <w:rsid w:val="425C7C82"/>
    <w:rsid w:val="427A339F"/>
    <w:rsid w:val="427E5200"/>
    <w:rsid w:val="42B66185"/>
    <w:rsid w:val="43094E93"/>
    <w:rsid w:val="43446568"/>
    <w:rsid w:val="43530F99"/>
    <w:rsid w:val="439E68BC"/>
    <w:rsid w:val="43BA13E3"/>
    <w:rsid w:val="43FE24FC"/>
    <w:rsid w:val="44043123"/>
    <w:rsid w:val="442554D9"/>
    <w:rsid w:val="44794130"/>
    <w:rsid w:val="448633F5"/>
    <w:rsid w:val="449D45E6"/>
    <w:rsid w:val="44D17A67"/>
    <w:rsid w:val="44DA652C"/>
    <w:rsid w:val="44E04993"/>
    <w:rsid w:val="451E76C8"/>
    <w:rsid w:val="453F54F2"/>
    <w:rsid w:val="45B75CC6"/>
    <w:rsid w:val="45DA0382"/>
    <w:rsid w:val="45DF0090"/>
    <w:rsid w:val="45F800DB"/>
    <w:rsid w:val="46594650"/>
    <w:rsid w:val="467C0E40"/>
    <w:rsid w:val="472575D5"/>
    <w:rsid w:val="476310AA"/>
    <w:rsid w:val="47B145DA"/>
    <w:rsid w:val="480E19C4"/>
    <w:rsid w:val="48604EBF"/>
    <w:rsid w:val="48690163"/>
    <w:rsid w:val="48727EDB"/>
    <w:rsid w:val="48770359"/>
    <w:rsid w:val="48D050B3"/>
    <w:rsid w:val="48D56FCF"/>
    <w:rsid w:val="48EE31EF"/>
    <w:rsid w:val="49063E26"/>
    <w:rsid w:val="490F3233"/>
    <w:rsid w:val="4964710E"/>
    <w:rsid w:val="49A15BB7"/>
    <w:rsid w:val="49AD7325"/>
    <w:rsid w:val="49B045DB"/>
    <w:rsid w:val="49B06B72"/>
    <w:rsid w:val="4A0B379B"/>
    <w:rsid w:val="4A16098E"/>
    <w:rsid w:val="4A1A5F48"/>
    <w:rsid w:val="4A2C613B"/>
    <w:rsid w:val="4A57286A"/>
    <w:rsid w:val="4A596BFD"/>
    <w:rsid w:val="4A602C42"/>
    <w:rsid w:val="4AB1257E"/>
    <w:rsid w:val="4ADE35CD"/>
    <w:rsid w:val="4AFA56FA"/>
    <w:rsid w:val="4B15538E"/>
    <w:rsid w:val="4B230193"/>
    <w:rsid w:val="4B3627F7"/>
    <w:rsid w:val="4B5151E9"/>
    <w:rsid w:val="4B851ED6"/>
    <w:rsid w:val="4BA135C5"/>
    <w:rsid w:val="4BB14777"/>
    <w:rsid w:val="4BC367BC"/>
    <w:rsid w:val="4C473587"/>
    <w:rsid w:val="4C5406DF"/>
    <w:rsid w:val="4CD26783"/>
    <w:rsid w:val="4D076D5D"/>
    <w:rsid w:val="4D1C0DC9"/>
    <w:rsid w:val="4D3A6FA5"/>
    <w:rsid w:val="4D49022F"/>
    <w:rsid w:val="4D4C69A3"/>
    <w:rsid w:val="4D953697"/>
    <w:rsid w:val="4DC92830"/>
    <w:rsid w:val="4DFF4D81"/>
    <w:rsid w:val="4E157745"/>
    <w:rsid w:val="4E2B4904"/>
    <w:rsid w:val="4E431E74"/>
    <w:rsid w:val="4E5D2A1D"/>
    <w:rsid w:val="4EB73F45"/>
    <w:rsid w:val="4EC37150"/>
    <w:rsid w:val="4EDB6A25"/>
    <w:rsid w:val="4F1E5755"/>
    <w:rsid w:val="4F414636"/>
    <w:rsid w:val="4F57544A"/>
    <w:rsid w:val="4F647E9F"/>
    <w:rsid w:val="4F6F3177"/>
    <w:rsid w:val="4F884709"/>
    <w:rsid w:val="4F9560D5"/>
    <w:rsid w:val="4FB617D4"/>
    <w:rsid w:val="4FF80659"/>
    <w:rsid w:val="4FFB1F82"/>
    <w:rsid w:val="50425E6A"/>
    <w:rsid w:val="506A727A"/>
    <w:rsid w:val="508724D8"/>
    <w:rsid w:val="50C9704F"/>
    <w:rsid w:val="50EB0ED4"/>
    <w:rsid w:val="50F87FEC"/>
    <w:rsid w:val="510A2C09"/>
    <w:rsid w:val="513C3327"/>
    <w:rsid w:val="514444C5"/>
    <w:rsid w:val="516C7E6E"/>
    <w:rsid w:val="51762916"/>
    <w:rsid w:val="51E0747E"/>
    <w:rsid w:val="526020C4"/>
    <w:rsid w:val="52C43BD6"/>
    <w:rsid w:val="53024527"/>
    <w:rsid w:val="53683724"/>
    <w:rsid w:val="53C662AC"/>
    <w:rsid w:val="53D02E0F"/>
    <w:rsid w:val="53F436FD"/>
    <w:rsid w:val="544412CC"/>
    <w:rsid w:val="546226F0"/>
    <w:rsid w:val="546D52BE"/>
    <w:rsid w:val="54794A8C"/>
    <w:rsid w:val="548070F8"/>
    <w:rsid w:val="54AF22FB"/>
    <w:rsid w:val="54FF7A32"/>
    <w:rsid w:val="555C7B6D"/>
    <w:rsid w:val="557425B0"/>
    <w:rsid w:val="557E54D7"/>
    <w:rsid w:val="55846D91"/>
    <w:rsid w:val="55913CA7"/>
    <w:rsid w:val="560F49D6"/>
    <w:rsid w:val="56245862"/>
    <w:rsid w:val="56381B25"/>
    <w:rsid w:val="56A029F4"/>
    <w:rsid w:val="56B54139"/>
    <w:rsid w:val="56C01454"/>
    <w:rsid w:val="56DD720F"/>
    <w:rsid w:val="571F4BAE"/>
    <w:rsid w:val="5777138C"/>
    <w:rsid w:val="57AA30DF"/>
    <w:rsid w:val="57C6167F"/>
    <w:rsid w:val="57CC06DE"/>
    <w:rsid w:val="57E8754C"/>
    <w:rsid w:val="582246AA"/>
    <w:rsid w:val="5823773B"/>
    <w:rsid w:val="582434F4"/>
    <w:rsid w:val="5840150A"/>
    <w:rsid w:val="584E0202"/>
    <w:rsid w:val="58722F14"/>
    <w:rsid w:val="587A0D89"/>
    <w:rsid w:val="58F75B9D"/>
    <w:rsid w:val="5900006A"/>
    <w:rsid w:val="598B71BE"/>
    <w:rsid w:val="59C219D2"/>
    <w:rsid w:val="5A027D02"/>
    <w:rsid w:val="5A261CE4"/>
    <w:rsid w:val="5A2E6681"/>
    <w:rsid w:val="5A3A308E"/>
    <w:rsid w:val="5A5D1BE6"/>
    <w:rsid w:val="5A8174F6"/>
    <w:rsid w:val="5A8C4B42"/>
    <w:rsid w:val="5AAE070E"/>
    <w:rsid w:val="5AF1793C"/>
    <w:rsid w:val="5B315F15"/>
    <w:rsid w:val="5B545DFD"/>
    <w:rsid w:val="5B65785C"/>
    <w:rsid w:val="5BA55D5D"/>
    <w:rsid w:val="5BAA3812"/>
    <w:rsid w:val="5BC94475"/>
    <w:rsid w:val="5BCA728A"/>
    <w:rsid w:val="5BD167CB"/>
    <w:rsid w:val="5BE628D2"/>
    <w:rsid w:val="5BE945D4"/>
    <w:rsid w:val="5BF87B92"/>
    <w:rsid w:val="5C0A011F"/>
    <w:rsid w:val="5C1E2CB4"/>
    <w:rsid w:val="5C402B5F"/>
    <w:rsid w:val="5C4D2E92"/>
    <w:rsid w:val="5C5A3A68"/>
    <w:rsid w:val="5C673110"/>
    <w:rsid w:val="5C864197"/>
    <w:rsid w:val="5C996E64"/>
    <w:rsid w:val="5CD85DEB"/>
    <w:rsid w:val="5D1C6686"/>
    <w:rsid w:val="5D227435"/>
    <w:rsid w:val="5D661D19"/>
    <w:rsid w:val="5E2168D9"/>
    <w:rsid w:val="5E761E9E"/>
    <w:rsid w:val="5E8C5F0A"/>
    <w:rsid w:val="5E9952D4"/>
    <w:rsid w:val="5EB84779"/>
    <w:rsid w:val="5ED46DDE"/>
    <w:rsid w:val="5F205734"/>
    <w:rsid w:val="5FAE6E5D"/>
    <w:rsid w:val="5FE34FA5"/>
    <w:rsid w:val="5FFB6D97"/>
    <w:rsid w:val="604D7ECF"/>
    <w:rsid w:val="60F83024"/>
    <w:rsid w:val="612E7D20"/>
    <w:rsid w:val="61370927"/>
    <w:rsid w:val="615E1319"/>
    <w:rsid w:val="61695E8C"/>
    <w:rsid w:val="62020F31"/>
    <w:rsid w:val="621870FC"/>
    <w:rsid w:val="62257E52"/>
    <w:rsid w:val="6267411E"/>
    <w:rsid w:val="626E0EFC"/>
    <w:rsid w:val="627A0020"/>
    <w:rsid w:val="62955EA2"/>
    <w:rsid w:val="630C75B3"/>
    <w:rsid w:val="632F0827"/>
    <w:rsid w:val="637A4B45"/>
    <w:rsid w:val="63C52161"/>
    <w:rsid w:val="63D84EDF"/>
    <w:rsid w:val="64193A23"/>
    <w:rsid w:val="642E73B7"/>
    <w:rsid w:val="64515AA2"/>
    <w:rsid w:val="64582627"/>
    <w:rsid w:val="647664C4"/>
    <w:rsid w:val="648F3388"/>
    <w:rsid w:val="64C2453A"/>
    <w:rsid w:val="64E97734"/>
    <w:rsid w:val="64F62E22"/>
    <w:rsid w:val="65361E8B"/>
    <w:rsid w:val="653757D7"/>
    <w:rsid w:val="65757142"/>
    <w:rsid w:val="65DC6FA7"/>
    <w:rsid w:val="66184DF2"/>
    <w:rsid w:val="662C1F3B"/>
    <w:rsid w:val="66380B80"/>
    <w:rsid w:val="664457FD"/>
    <w:rsid w:val="665E22FF"/>
    <w:rsid w:val="66996A74"/>
    <w:rsid w:val="66F17C23"/>
    <w:rsid w:val="66FD38BB"/>
    <w:rsid w:val="677160B0"/>
    <w:rsid w:val="67867DD2"/>
    <w:rsid w:val="679F25AC"/>
    <w:rsid w:val="67BB4BD2"/>
    <w:rsid w:val="67FC214E"/>
    <w:rsid w:val="68242A75"/>
    <w:rsid w:val="68531302"/>
    <w:rsid w:val="686F0FD9"/>
    <w:rsid w:val="68996F9B"/>
    <w:rsid w:val="68C025FF"/>
    <w:rsid w:val="68DE6E9B"/>
    <w:rsid w:val="69214FEE"/>
    <w:rsid w:val="69381BA2"/>
    <w:rsid w:val="693833A8"/>
    <w:rsid w:val="694E373D"/>
    <w:rsid w:val="697A5DA9"/>
    <w:rsid w:val="69801C06"/>
    <w:rsid w:val="699D7052"/>
    <w:rsid w:val="69A7710D"/>
    <w:rsid w:val="69AF0748"/>
    <w:rsid w:val="69D75684"/>
    <w:rsid w:val="69DD7DAF"/>
    <w:rsid w:val="6A0A2ECC"/>
    <w:rsid w:val="6A0C5E97"/>
    <w:rsid w:val="6A40356C"/>
    <w:rsid w:val="6A756454"/>
    <w:rsid w:val="6A8606F4"/>
    <w:rsid w:val="6AB701CA"/>
    <w:rsid w:val="6B073028"/>
    <w:rsid w:val="6B246D54"/>
    <w:rsid w:val="6B3724F2"/>
    <w:rsid w:val="6B3A1548"/>
    <w:rsid w:val="6B591FF5"/>
    <w:rsid w:val="6B9C7A38"/>
    <w:rsid w:val="6BAC51CC"/>
    <w:rsid w:val="6BBD1287"/>
    <w:rsid w:val="6C022BF4"/>
    <w:rsid w:val="6C442FEC"/>
    <w:rsid w:val="6C621D37"/>
    <w:rsid w:val="6C6A2598"/>
    <w:rsid w:val="6CF756A6"/>
    <w:rsid w:val="6D035A3B"/>
    <w:rsid w:val="6D3348B6"/>
    <w:rsid w:val="6D375EF9"/>
    <w:rsid w:val="6D4A4B74"/>
    <w:rsid w:val="6D535E0F"/>
    <w:rsid w:val="6D7F38F9"/>
    <w:rsid w:val="6D891B4D"/>
    <w:rsid w:val="6DB60496"/>
    <w:rsid w:val="6DB72B2C"/>
    <w:rsid w:val="6DBC6D4A"/>
    <w:rsid w:val="6DBF6DA7"/>
    <w:rsid w:val="6DC854BC"/>
    <w:rsid w:val="6E1969C4"/>
    <w:rsid w:val="6E1A7262"/>
    <w:rsid w:val="6E84608D"/>
    <w:rsid w:val="6E953587"/>
    <w:rsid w:val="6E983DCC"/>
    <w:rsid w:val="6EA94E85"/>
    <w:rsid w:val="6F4C1668"/>
    <w:rsid w:val="6F6C77B7"/>
    <w:rsid w:val="6F8649BB"/>
    <w:rsid w:val="6FA16C52"/>
    <w:rsid w:val="6FBA6549"/>
    <w:rsid w:val="6FFE57D4"/>
    <w:rsid w:val="70424DF7"/>
    <w:rsid w:val="705904E5"/>
    <w:rsid w:val="70661035"/>
    <w:rsid w:val="71146042"/>
    <w:rsid w:val="713E63D0"/>
    <w:rsid w:val="716922D2"/>
    <w:rsid w:val="717F23BD"/>
    <w:rsid w:val="71ED5D5A"/>
    <w:rsid w:val="722F7471"/>
    <w:rsid w:val="72A74928"/>
    <w:rsid w:val="72D72081"/>
    <w:rsid w:val="733217BB"/>
    <w:rsid w:val="73460582"/>
    <w:rsid w:val="73681969"/>
    <w:rsid w:val="739C5BFB"/>
    <w:rsid w:val="739D7F8E"/>
    <w:rsid w:val="73AE5EA1"/>
    <w:rsid w:val="73C13C3E"/>
    <w:rsid w:val="742A326D"/>
    <w:rsid w:val="74A47B0B"/>
    <w:rsid w:val="74C31FD9"/>
    <w:rsid w:val="74C53F69"/>
    <w:rsid w:val="75010FA0"/>
    <w:rsid w:val="75024E71"/>
    <w:rsid w:val="75337B27"/>
    <w:rsid w:val="75356726"/>
    <w:rsid w:val="753E012C"/>
    <w:rsid w:val="75474164"/>
    <w:rsid w:val="756F148C"/>
    <w:rsid w:val="762A586E"/>
    <w:rsid w:val="76336BC6"/>
    <w:rsid w:val="764457BA"/>
    <w:rsid w:val="76826B11"/>
    <w:rsid w:val="768B3C8E"/>
    <w:rsid w:val="76FA6167"/>
    <w:rsid w:val="771C759D"/>
    <w:rsid w:val="772B2B5C"/>
    <w:rsid w:val="7753117F"/>
    <w:rsid w:val="77534271"/>
    <w:rsid w:val="77842676"/>
    <w:rsid w:val="779550E8"/>
    <w:rsid w:val="77C65CA7"/>
    <w:rsid w:val="77DF5BCA"/>
    <w:rsid w:val="77E673EE"/>
    <w:rsid w:val="782D3D3A"/>
    <w:rsid w:val="78A371FC"/>
    <w:rsid w:val="78F6753E"/>
    <w:rsid w:val="79073FC4"/>
    <w:rsid w:val="79143BDE"/>
    <w:rsid w:val="7928508B"/>
    <w:rsid w:val="79415ED0"/>
    <w:rsid w:val="79982F52"/>
    <w:rsid w:val="79DE6084"/>
    <w:rsid w:val="79E04BA0"/>
    <w:rsid w:val="7A601B8E"/>
    <w:rsid w:val="7A7D4A46"/>
    <w:rsid w:val="7B4E6013"/>
    <w:rsid w:val="7BAA154A"/>
    <w:rsid w:val="7BB050F6"/>
    <w:rsid w:val="7BD31496"/>
    <w:rsid w:val="7BD6283C"/>
    <w:rsid w:val="7BEE001C"/>
    <w:rsid w:val="7C024BB9"/>
    <w:rsid w:val="7C1142CD"/>
    <w:rsid w:val="7C166C0D"/>
    <w:rsid w:val="7C377744"/>
    <w:rsid w:val="7C453830"/>
    <w:rsid w:val="7C557ADB"/>
    <w:rsid w:val="7CB83544"/>
    <w:rsid w:val="7CC0489B"/>
    <w:rsid w:val="7CD54C59"/>
    <w:rsid w:val="7CFF5892"/>
    <w:rsid w:val="7D2723EA"/>
    <w:rsid w:val="7D3C5CDB"/>
    <w:rsid w:val="7D4D356F"/>
    <w:rsid w:val="7D572967"/>
    <w:rsid w:val="7D7252BE"/>
    <w:rsid w:val="7D9C1EA2"/>
    <w:rsid w:val="7DA72C72"/>
    <w:rsid w:val="7DAD0D63"/>
    <w:rsid w:val="7DB772F4"/>
    <w:rsid w:val="7DB97333"/>
    <w:rsid w:val="7DD4545D"/>
    <w:rsid w:val="7DE11EB7"/>
    <w:rsid w:val="7DE335C9"/>
    <w:rsid w:val="7DF14311"/>
    <w:rsid w:val="7E1505DE"/>
    <w:rsid w:val="7E29318F"/>
    <w:rsid w:val="7E625EE3"/>
    <w:rsid w:val="7E801D83"/>
    <w:rsid w:val="7E933178"/>
    <w:rsid w:val="7ECC7D9D"/>
    <w:rsid w:val="7EFB4996"/>
    <w:rsid w:val="7F2A16FA"/>
    <w:rsid w:val="7F2B466A"/>
    <w:rsid w:val="7F2D7B26"/>
    <w:rsid w:val="7F341E80"/>
    <w:rsid w:val="7F6B469C"/>
    <w:rsid w:val="7F702374"/>
    <w:rsid w:val="7FAC0109"/>
    <w:rsid w:val="7FBC2864"/>
    <w:rsid w:val="7FCC61C5"/>
    <w:rsid w:val="7FDC0DF8"/>
    <w:rsid w:val="7FFC19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Indent"/>
    <w:basedOn w:val="1"/>
    <w:unhideWhenUsed/>
    <w:qFormat/>
    <w:uiPriority w:val="0"/>
    <w:pPr>
      <w:ind w:firstLine="630"/>
    </w:pPr>
    <w:rPr>
      <w:kern w:val="0"/>
      <w:sz w:val="24"/>
    </w:rPr>
  </w:style>
  <w:style w:type="paragraph" w:styleId="3">
    <w:name w:val="footer"/>
    <w:basedOn w:val="1"/>
    <w:link w:val="10"/>
    <w:unhideWhenUsed/>
    <w:qFormat/>
    <w:uiPriority w:val="99"/>
    <w:pPr>
      <w:tabs>
        <w:tab w:val="center" w:pos="4153"/>
        <w:tab w:val="right" w:pos="8306"/>
      </w:tabs>
      <w:snapToGrid w:val="0"/>
      <w:jc w:val="left"/>
    </w:pPr>
    <w:rPr>
      <w:kern w:val="0"/>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unhideWhenUsed/>
    <w:qFormat/>
    <w:uiPriority w:val="99"/>
    <w:pPr>
      <w:widowControl w:val="0"/>
      <w:autoSpaceDE w:val="0"/>
      <w:autoSpaceDN w:val="0"/>
      <w:adjustRightInd w:val="0"/>
      <w:spacing w:beforeLines="0" w:afterLines="0"/>
    </w:pPr>
    <w:rPr>
      <w:rFonts w:hint="eastAsia" w:ascii="黑体_x0002_壥...." w:hAnsi="黑体_x0002_壥...." w:eastAsia="黑体_x0002_壥...." w:cs="Calibri"/>
      <w:color w:val="000000"/>
      <w:sz w:val="24"/>
      <w:lang w:val="en-US" w:eastAsia="zh-CN" w:bidi="ar-SA"/>
    </w:rPr>
  </w:style>
  <w:style w:type="character" w:customStyle="1" w:styleId="9">
    <w:name w:val="页眉 Char"/>
    <w:link w:val="4"/>
    <w:qFormat/>
    <w:uiPriority w:val="99"/>
    <w:rPr>
      <w:sz w:val="18"/>
      <w:szCs w:val="18"/>
    </w:rPr>
  </w:style>
  <w:style w:type="character" w:customStyle="1" w:styleId="10">
    <w:name w:val="页脚 Char"/>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Pages>
  <Words>78</Words>
  <Characters>450</Characters>
  <Lines>3</Lines>
  <Paragraphs>1</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2020-04-20T07:13:00Z</dcterms:created>
  <dc:creator>朱国晓</dc:creator>
  <cp:lastModifiedBy>李文浩</cp:lastModifiedBy>
  <dcterms:modified xsi:type="dcterms:W3CDTF">2025-10-09T09:54:57Z</dcterms:modified>
  <dc:title>关于公布龙盈固收G款11号三个月定开纯债型理财产品（三个月定开）下一封闭期</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AA78DE23AD6840E191ABF17580A5B214</vt:lpwstr>
  </property>
</Properties>
</file>