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rPr>
          <w:rFonts w:hint="eastAsia"/>
          <w:highlight w:val="none"/>
        </w:rPr>
      </w:pPr>
      <w:r>
        <w:rPr>
          <w:rFonts w:hint="eastAsia"/>
          <w:highlight w:val="none"/>
        </w:rPr>
        <w:t>关于华夏理财固定收益纯债最短持有90天理财产品H款新增T份额和开展费率优惠并调整业绩比较基准及S份额申购起点</w:t>
      </w:r>
      <w:r>
        <w:rPr>
          <w:rFonts w:hint="eastAsia"/>
          <w:highlight w:val="none"/>
          <w:lang w:val="en-US" w:eastAsia="zh-CN"/>
        </w:rPr>
        <w:t>金额</w:t>
      </w:r>
      <w:r>
        <w:rPr>
          <w:rFonts w:hint="eastAsia"/>
          <w:highlight w:val="none"/>
        </w:rPr>
        <w:t>的公告</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尊敬的投资者：</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b w:val="0"/>
          <w:bCs w:val="0"/>
          <w:sz w:val="30"/>
          <w:szCs w:val="30"/>
          <w:highlight w:val="none"/>
        </w:rPr>
      </w:pPr>
      <w:r>
        <w:rPr>
          <w:rFonts w:hint="eastAsia" w:ascii="思源宋体 CN Light" w:hAnsi="思源宋体 CN Light" w:eastAsia="思源宋体 CN Light" w:cs="思源宋体 CN Light"/>
          <w:b w:val="0"/>
          <w:bCs w:val="0"/>
          <w:sz w:val="30"/>
          <w:szCs w:val="30"/>
          <w:highlight w:val="none"/>
        </w:rPr>
        <w:t>为更好地满足投资者理财需求，我司拟于</w:t>
      </w:r>
      <w:r>
        <w:rPr>
          <w:rFonts w:hint="eastAsia" w:ascii="思源宋体 CN Light" w:hAnsi="思源宋体 CN Light" w:eastAsia="思源宋体 CN Light" w:cs="思源宋体 CN Light"/>
          <w:b w:val="0"/>
          <w:bCs w:val="0"/>
          <w:sz w:val="30"/>
          <w:szCs w:val="30"/>
          <w:highlight w:val="none"/>
        </w:rPr>
        <w:t>2025年7月11日</w:t>
      </w:r>
      <w:r>
        <w:rPr>
          <w:rFonts w:hint="eastAsia" w:ascii="思源宋体 CN Light" w:hAnsi="思源宋体 CN Light" w:eastAsia="思源宋体 CN Light" w:cs="思源宋体 CN Light"/>
          <w:b w:val="0"/>
          <w:bCs w:val="0"/>
          <w:sz w:val="30"/>
          <w:szCs w:val="30"/>
          <w:highlight w:val="none"/>
        </w:rPr>
        <w:t>（含）对</w:t>
      </w:r>
      <w:r>
        <w:rPr>
          <w:rFonts w:hint="eastAsia" w:ascii="思源宋体 CN Light" w:hAnsi="思源宋体 CN Light" w:eastAsia="思源宋体 CN Light" w:cs="思源宋体 CN Light"/>
          <w:b w:val="0"/>
          <w:bCs w:val="0"/>
          <w:sz w:val="30"/>
          <w:szCs w:val="30"/>
          <w:highlight w:val="none"/>
          <w:lang w:eastAsia="zh-CN"/>
        </w:rPr>
        <w:t>华夏理财固定收益纯债最短持有90天理财产品H款（产品代码：25115019）</w:t>
      </w:r>
      <w:r>
        <w:rPr>
          <w:rFonts w:hint="eastAsia" w:ascii="思源宋体 CN Light" w:hAnsi="思源宋体 CN Light" w:eastAsia="思源宋体 CN Light" w:cs="思源宋体 CN Light"/>
          <w:b w:val="0"/>
          <w:bCs w:val="0"/>
          <w:sz w:val="30"/>
          <w:szCs w:val="30"/>
          <w:highlight w:val="none"/>
        </w:rPr>
        <w:t>新增发行</w:t>
      </w:r>
      <w:r>
        <w:rPr>
          <w:rFonts w:hint="eastAsia" w:ascii="思源宋体 CN Light" w:hAnsi="思源宋体 CN Light" w:cs="思源宋体 CN Light"/>
          <w:b w:val="0"/>
          <w:bCs w:val="0"/>
          <w:sz w:val="30"/>
          <w:szCs w:val="30"/>
          <w:highlight w:val="none"/>
          <w:lang w:val="en-US" w:eastAsia="zh-CN"/>
        </w:rPr>
        <w:t>T</w:t>
      </w:r>
      <w:r>
        <w:rPr>
          <w:rFonts w:hint="eastAsia" w:ascii="思源宋体 CN Light" w:hAnsi="思源宋体 CN Light" w:eastAsia="思源宋体 CN Light" w:cs="思源宋体 CN Light"/>
          <w:b w:val="0"/>
          <w:bCs w:val="0"/>
          <w:sz w:val="30"/>
          <w:szCs w:val="30"/>
          <w:highlight w:val="none"/>
        </w:rPr>
        <w:t>份额，具体信息详见更新后的理财产品说明书。</w:t>
      </w:r>
    </w:p>
    <w:p>
      <w:pPr>
        <w:keepNext w:val="0"/>
        <w:keepLines w:val="0"/>
        <w:pageBreakBefore w:val="0"/>
        <w:widowControl/>
        <w:kinsoku/>
        <w:wordWrap/>
        <w:overflowPunct/>
        <w:topLinePunct w:val="0"/>
        <w:autoSpaceDE/>
        <w:autoSpaceDN/>
        <w:bidi w:val="0"/>
        <w:adjustRightInd w:val="0"/>
        <w:snapToGrid w:val="0"/>
        <w:spacing w:line="480" w:lineRule="exact"/>
        <w:ind w:left="0" w:leftChars="0" w:right="0" w:firstLine="600" w:firstLineChars="200"/>
        <w:jc w:val="both"/>
        <w:textAlignment w:val="auto"/>
        <w:outlineLvl w:val="9"/>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val="0"/>
          <w:bCs w:val="0"/>
          <w:sz w:val="30"/>
          <w:szCs w:val="30"/>
          <w:highlight w:val="none"/>
          <w:lang w:val="en-US" w:eastAsia="zh-CN"/>
        </w:rPr>
        <w:t>同时，</w:t>
      </w:r>
      <w:r>
        <w:rPr>
          <w:rFonts w:hint="eastAsia" w:ascii="思源宋体 CN Light" w:hAnsi="思源宋体 CN Light" w:eastAsia="思源宋体 CN Light" w:cs="思源宋体 CN Light"/>
          <w:sz w:val="30"/>
          <w:szCs w:val="30"/>
          <w:highlight w:val="none"/>
          <w:lang w:val="en-US" w:eastAsia="zh-CN"/>
        </w:rPr>
        <w:t>自2025年</w:t>
      </w:r>
      <w:r>
        <w:rPr>
          <w:rFonts w:hint="eastAsia" w:ascii="思源宋体 CN Light" w:hAnsi="思源宋体 CN Light" w:cs="思源宋体 CN Light"/>
          <w:sz w:val="30"/>
          <w:szCs w:val="30"/>
          <w:highlight w:val="none"/>
          <w:lang w:val="en-US" w:eastAsia="zh-CN"/>
        </w:rPr>
        <w:t>7</w:t>
      </w:r>
      <w:r>
        <w:rPr>
          <w:rFonts w:hint="eastAsia" w:ascii="思源宋体 CN Light" w:hAnsi="思源宋体 CN Light" w:eastAsia="思源宋体 CN Light" w:cs="思源宋体 CN Light"/>
          <w:sz w:val="30"/>
          <w:szCs w:val="30"/>
          <w:highlight w:val="none"/>
          <w:lang w:val="en-US" w:eastAsia="zh-CN"/>
        </w:rPr>
        <w:t>月</w:t>
      </w:r>
      <w:r>
        <w:rPr>
          <w:rFonts w:hint="eastAsia" w:ascii="思源宋体 CN Light" w:hAnsi="思源宋体 CN Light" w:cs="思源宋体 CN Light"/>
          <w:sz w:val="30"/>
          <w:szCs w:val="30"/>
          <w:highlight w:val="none"/>
          <w:lang w:val="en-US" w:eastAsia="zh-CN"/>
        </w:rPr>
        <w:t>11</w:t>
      </w:r>
      <w:r>
        <w:rPr>
          <w:rFonts w:hint="eastAsia" w:ascii="思源宋体 CN Light" w:hAnsi="思源宋体 CN Light" w:eastAsia="思源宋体 CN Light" w:cs="思源宋体 CN Light"/>
          <w:sz w:val="30"/>
          <w:szCs w:val="30"/>
          <w:highlight w:val="none"/>
          <w:lang w:val="en-US" w:eastAsia="zh-CN"/>
        </w:rPr>
        <w:t>日（含）起，我司拟调整</w:t>
      </w:r>
      <w:r>
        <w:rPr>
          <w:rFonts w:hint="eastAsia" w:ascii="思源宋体 CN Light" w:hAnsi="思源宋体 CN Light" w:cs="思源宋体 CN Light"/>
          <w:sz w:val="30"/>
          <w:szCs w:val="30"/>
          <w:highlight w:val="none"/>
          <w:lang w:val="en-US" w:eastAsia="zh-CN"/>
        </w:rPr>
        <w:t>本产品S</w:t>
      </w:r>
      <w:r>
        <w:rPr>
          <w:rFonts w:hint="eastAsia" w:ascii="思源宋体 CN Light" w:hAnsi="思源宋体 CN Light" w:eastAsia="思源宋体 CN Light" w:cs="思源宋体 CN Light"/>
          <w:sz w:val="30"/>
          <w:szCs w:val="30"/>
          <w:highlight w:val="none"/>
          <w:lang w:val="en-US" w:eastAsia="zh-CN"/>
        </w:rPr>
        <w:t>份额的认购/申购起点金额，</w:t>
      </w:r>
      <w:r>
        <w:rPr>
          <w:rFonts w:hint="eastAsia" w:ascii="思源宋体 CN Light" w:hAnsi="思源宋体 CN Light" w:eastAsia="思源宋体 CN Light" w:cs="思源宋体 CN Light"/>
          <w:b/>
          <w:bCs/>
          <w:sz w:val="30"/>
          <w:szCs w:val="30"/>
          <w:highlight w:val="none"/>
          <w:lang w:val="en-US" w:eastAsia="zh-CN"/>
        </w:rPr>
        <w:t>起点金额由“</w:t>
      </w:r>
      <w:r>
        <w:rPr>
          <w:rFonts w:hint="eastAsia" w:ascii="思源宋体 CN Light" w:hAnsi="思源宋体 CN Light" w:cs="思源宋体 CN Light"/>
          <w:b/>
          <w:bCs/>
          <w:sz w:val="30"/>
          <w:szCs w:val="30"/>
          <w:highlight w:val="none"/>
          <w:lang w:val="en-US" w:eastAsia="zh-CN"/>
        </w:rPr>
        <w:t>2000万</w:t>
      </w:r>
      <w:r>
        <w:rPr>
          <w:rFonts w:hint="eastAsia" w:ascii="思源宋体 CN Light" w:hAnsi="思源宋体 CN Light" w:eastAsia="思源宋体 CN Light" w:cs="思源宋体 CN Light"/>
          <w:b/>
          <w:bCs/>
          <w:sz w:val="30"/>
          <w:szCs w:val="30"/>
          <w:highlight w:val="none"/>
          <w:lang w:val="en-US" w:eastAsia="zh-CN"/>
        </w:rPr>
        <w:t>元，以1元的整数倍递增”调整为“</w:t>
      </w:r>
      <w:r>
        <w:rPr>
          <w:rFonts w:hint="eastAsia" w:ascii="思源宋体 CN Light" w:hAnsi="思源宋体 CN Light" w:cs="思源宋体 CN Light"/>
          <w:b/>
          <w:bCs/>
          <w:sz w:val="30"/>
          <w:szCs w:val="30"/>
          <w:highlight w:val="none"/>
          <w:lang w:val="en-US" w:eastAsia="zh-CN"/>
        </w:rPr>
        <w:t>1000万</w:t>
      </w:r>
      <w:r>
        <w:rPr>
          <w:rFonts w:hint="eastAsia" w:ascii="思源宋体 CN Light" w:hAnsi="思源宋体 CN Light" w:eastAsia="思源宋体 CN Light" w:cs="思源宋体 CN Light"/>
          <w:b/>
          <w:bCs/>
          <w:sz w:val="30"/>
          <w:szCs w:val="30"/>
          <w:highlight w:val="none"/>
          <w:lang w:val="en-US" w:eastAsia="zh-CN"/>
        </w:rPr>
        <w:t>元，以1元的整数倍递增”。</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根据产品费率阶段性优惠安排，我司拟对</w:t>
      </w:r>
      <w:r>
        <w:rPr>
          <w:rFonts w:hint="eastAsia" w:ascii="思源宋体 CN Light" w:hAnsi="思源宋体 CN Light" w:eastAsia="思源宋体 CN Light" w:cs="思源宋体 CN Light"/>
          <w:b w:val="0"/>
          <w:bCs w:val="0"/>
          <w:sz w:val="30"/>
          <w:szCs w:val="30"/>
          <w:highlight w:val="none"/>
          <w:lang w:eastAsia="zh-CN"/>
        </w:rPr>
        <w:t>本产品</w:t>
      </w:r>
      <w:r>
        <w:rPr>
          <w:rFonts w:hint="eastAsia" w:ascii="思源宋体 CN Light" w:hAnsi="思源宋体 CN Light" w:eastAsia="思源宋体 CN Light" w:cs="思源宋体 CN Light"/>
          <w:sz w:val="30"/>
          <w:szCs w:val="30"/>
          <w:highlight w:val="none"/>
          <w:lang w:val="en-US" w:eastAsia="zh-CN"/>
        </w:rPr>
        <w:t>开展</w:t>
      </w:r>
      <w:r>
        <w:rPr>
          <w:rFonts w:hint="eastAsia" w:ascii="思源宋体 CN Light" w:hAnsi="思源宋体 CN Light" w:eastAsia="思源宋体 CN Light" w:cs="思源宋体 CN Light"/>
          <w:sz w:val="30"/>
          <w:szCs w:val="30"/>
          <w:highlight w:val="none"/>
        </w:rPr>
        <w:t>费率优惠，具体如下：</w:t>
      </w:r>
    </w:p>
    <w:tbl>
      <w:tblPr>
        <w:tblStyle w:val="7"/>
        <w:tblpPr w:leftFromText="180" w:rightFromText="180" w:vertAnchor="text" w:horzAnchor="page" w:tblpX="1189" w:tblpY="350"/>
        <w:tblOverlap w:val="never"/>
        <w:tblW w:w="102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14"/>
        <w:gridCol w:w="1089"/>
        <w:gridCol w:w="1617"/>
        <w:gridCol w:w="1173"/>
        <w:gridCol w:w="29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trPr>
        <w:tc>
          <w:tcPr>
            <w:tcW w:w="3414"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思源宋体 CN Light" w:hAnsi="思源宋体 CN Light" w:eastAsia="思源宋体 CN Light" w:cs="思源宋体 CN Light"/>
                <w:b/>
                <w:bCs/>
                <w:sz w:val="21"/>
                <w:szCs w:val="21"/>
                <w:highlight w:val="none"/>
              </w:rPr>
            </w:pPr>
            <w:r>
              <w:rPr>
                <w:rFonts w:hint="eastAsia" w:ascii="思源宋体 CN Light" w:hAnsi="思源宋体 CN Light" w:eastAsia="思源宋体 CN Light" w:cs="思源宋体 CN Light"/>
                <w:b/>
                <w:bCs/>
                <w:sz w:val="21"/>
                <w:szCs w:val="21"/>
                <w:highlight w:val="none"/>
              </w:rPr>
              <w:t>产品名称</w:t>
            </w:r>
          </w:p>
        </w:tc>
        <w:tc>
          <w:tcPr>
            <w:tcW w:w="1089"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思源宋体 CN Light" w:hAnsi="思源宋体 CN Light" w:eastAsia="思源宋体 CN Light" w:cs="思源宋体 CN Light"/>
                <w:b/>
                <w:bCs/>
                <w:sz w:val="21"/>
                <w:szCs w:val="21"/>
                <w:highlight w:val="none"/>
                <w:lang w:val="en-US" w:eastAsia="zh-CN"/>
              </w:rPr>
            </w:pPr>
            <w:r>
              <w:rPr>
                <w:rFonts w:hint="eastAsia" w:ascii="思源宋体 CN Light" w:hAnsi="思源宋体 CN Light" w:eastAsia="思源宋体 CN Light" w:cs="思源宋体 CN Light"/>
                <w:b/>
                <w:bCs/>
                <w:sz w:val="21"/>
                <w:szCs w:val="21"/>
                <w:highlight w:val="none"/>
                <w:lang w:val="en-US" w:eastAsia="zh-CN"/>
              </w:rPr>
              <w:t>产品代码</w:t>
            </w:r>
          </w:p>
        </w:tc>
        <w:tc>
          <w:tcPr>
            <w:tcW w:w="161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思源宋体 CN Light" w:hAnsi="思源宋体 CN Light" w:eastAsia="思源宋体 CN Light" w:cs="思源宋体 CN Light"/>
                <w:sz w:val="21"/>
                <w:szCs w:val="21"/>
                <w:highlight w:val="none"/>
              </w:rPr>
            </w:pPr>
            <w:r>
              <w:rPr>
                <w:rFonts w:hint="eastAsia" w:ascii="思源宋体 CN Light" w:hAnsi="思源宋体 CN Light" w:eastAsia="思源宋体 CN Light" w:cs="思源宋体 CN Light"/>
                <w:b/>
                <w:bCs/>
                <w:sz w:val="21"/>
                <w:szCs w:val="21"/>
                <w:highlight w:val="none"/>
              </w:rPr>
              <w:t>费率种类</w:t>
            </w:r>
          </w:p>
        </w:tc>
        <w:tc>
          <w:tcPr>
            <w:tcW w:w="117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思源宋体 CN Light" w:hAnsi="思源宋体 CN Light" w:eastAsia="思源宋体 CN Light" w:cs="思源宋体 CN Light"/>
                <w:b/>
                <w:bCs/>
                <w:sz w:val="21"/>
                <w:szCs w:val="21"/>
                <w:highlight w:val="none"/>
              </w:rPr>
            </w:pPr>
            <w:r>
              <w:rPr>
                <w:rFonts w:hint="eastAsia" w:ascii="思源宋体 CN Light" w:hAnsi="思源宋体 CN Light" w:eastAsia="思源宋体 CN Light" w:cs="思源宋体 CN Light"/>
                <w:b/>
                <w:bCs/>
                <w:sz w:val="21"/>
                <w:szCs w:val="21"/>
                <w:highlight w:val="none"/>
              </w:rPr>
              <w:t>优惠后费率</w:t>
            </w:r>
          </w:p>
        </w:tc>
        <w:tc>
          <w:tcPr>
            <w:tcW w:w="2955"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思源宋体 CN Light" w:hAnsi="思源宋体 CN Light" w:eastAsia="思源宋体 CN Light" w:cs="思源宋体 CN Light"/>
                <w:b/>
                <w:bCs/>
                <w:sz w:val="21"/>
                <w:szCs w:val="21"/>
                <w:highlight w:val="none"/>
              </w:rPr>
            </w:pPr>
            <w:r>
              <w:rPr>
                <w:rFonts w:hint="eastAsia" w:ascii="思源宋体 CN Light" w:hAnsi="思源宋体 CN Light" w:eastAsia="思源宋体 CN Light" w:cs="思源宋体 CN Light"/>
                <w:b/>
                <w:bCs/>
                <w:sz w:val="21"/>
                <w:szCs w:val="21"/>
                <w:highlight w:val="none"/>
              </w:rPr>
              <w:t>优惠期间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3414" w:type="dxa"/>
            <w:vMerge w:val="restart"/>
            <w:tcBorders>
              <w:tl2br w:val="nil"/>
              <w:tr2bl w:val="nil"/>
            </w:tcBorders>
            <w:noWrap w:val="0"/>
            <w:tcMar>
              <w:top w:w="15" w:type="dxa"/>
              <w:left w:w="15" w:type="dxa"/>
              <w:right w:w="15" w:type="dxa"/>
            </w:tcMar>
            <w:vAlign w:val="center"/>
          </w:tcPr>
          <w:p>
            <w:pPr>
              <w:jc w:val="center"/>
              <w:rPr>
                <w:highlight w:val="none"/>
              </w:rPr>
            </w:pPr>
            <w:r>
              <w:rPr>
                <w:highlight w:val="none"/>
              </w:rPr>
              <w:t>华夏理财固定收益纯债最短持有90天理财产品H款</w:t>
            </w:r>
          </w:p>
        </w:tc>
        <w:tc>
          <w:tcPr>
            <w:tcW w:w="1089" w:type="dxa"/>
            <w:vMerge w:val="restart"/>
            <w:tcBorders>
              <w:tl2br w:val="nil"/>
              <w:tr2bl w:val="nil"/>
            </w:tcBorders>
            <w:noWrap w:val="0"/>
            <w:tcMar>
              <w:top w:w="15" w:type="dxa"/>
              <w:left w:w="15" w:type="dxa"/>
              <w:right w:w="15" w:type="dxa"/>
            </w:tcMar>
            <w:vAlign w:val="center"/>
          </w:tcPr>
          <w:p>
            <w:pPr>
              <w:jc w:val="center"/>
              <w:rPr>
                <w:highlight w:val="none"/>
              </w:rPr>
            </w:pPr>
            <w:r>
              <w:rPr>
                <w:highlight w:val="none"/>
              </w:rPr>
              <w:t>25115019</w:t>
            </w:r>
          </w:p>
        </w:tc>
        <w:tc>
          <w:tcPr>
            <w:tcW w:w="1617" w:type="dxa"/>
            <w:tcBorders>
              <w:tl2br w:val="nil"/>
              <w:tr2bl w:val="nil"/>
            </w:tcBorders>
            <w:noWrap w:val="0"/>
            <w:tcMar>
              <w:top w:w="15" w:type="dxa"/>
              <w:left w:w="15" w:type="dxa"/>
              <w:right w:w="15" w:type="dxa"/>
            </w:tcMar>
            <w:vAlign w:val="center"/>
          </w:tcPr>
          <w:p>
            <w:pPr>
              <w:jc w:val="center"/>
              <w:rPr>
                <w:highlight w:val="none"/>
              </w:rPr>
            </w:pPr>
            <w:r>
              <w:rPr>
                <w:highlight w:val="none"/>
              </w:rPr>
              <w:t>固定管理费率</w:t>
            </w:r>
          </w:p>
        </w:tc>
        <w:tc>
          <w:tcPr>
            <w:tcW w:w="1173" w:type="dxa"/>
            <w:tcBorders>
              <w:tl2br w:val="nil"/>
              <w:tr2bl w:val="nil"/>
            </w:tcBorders>
            <w:noWrap w:val="0"/>
            <w:tcMar>
              <w:top w:w="15" w:type="dxa"/>
              <w:left w:w="15" w:type="dxa"/>
              <w:right w:w="15" w:type="dxa"/>
            </w:tcMar>
            <w:vAlign w:val="center"/>
          </w:tcPr>
          <w:p>
            <w:pPr>
              <w:jc w:val="center"/>
              <w:rPr>
                <w:highlight w:val="none"/>
              </w:rPr>
            </w:pPr>
            <w:r>
              <w:rPr>
                <w:highlight w:val="none"/>
              </w:rPr>
              <w:t>0.10%/年</w:t>
            </w:r>
          </w:p>
        </w:tc>
        <w:tc>
          <w:tcPr>
            <w:tcW w:w="2955" w:type="dxa"/>
            <w:tcBorders>
              <w:tl2br w:val="nil"/>
              <w:tr2bl w:val="nil"/>
            </w:tcBorders>
            <w:noWrap w:val="0"/>
            <w:tcMar>
              <w:top w:w="15" w:type="dxa"/>
              <w:left w:w="15" w:type="dxa"/>
              <w:right w:w="15" w:type="dxa"/>
            </w:tcMar>
            <w:vAlign w:val="center"/>
          </w:tcPr>
          <w:p>
            <w:pPr>
              <w:jc w:val="center"/>
              <w:rPr>
                <w:highlight w:val="none"/>
              </w:rPr>
            </w:pPr>
            <w:r>
              <w:rPr>
                <w:highlight w:val="none"/>
              </w:rPr>
              <w:t>从2025年7月11日（含）起，另行公告止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414" w:type="dxa"/>
            <w:vMerge w:val="continue"/>
          </w:tcPr>
          <w:p>
            <w:pPr>
              <w:rPr>
                <w:highlight w:val="none"/>
              </w:rPr>
            </w:pPr>
          </w:p>
        </w:tc>
        <w:tc>
          <w:tcPr>
            <w:tcW w:w="1089" w:type="dxa"/>
            <w:vMerge w:val="continue"/>
          </w:tcPr>
          <w:p>
            <w:pPr>
              <w:rPr>
                <w:highlight w:val="none"/>
              </w:rPr>
            </w:pPr>
          </w:p>
        </w:tc>
        <w:tc>
          <w:tcPr>
            <w:tcW w:w="1617" w:type="dxa"/>
            <w:vAlign w:val="center"/>
          </w:tcPr>
          <w:p>
            <w:pPr>
              <w:jc w:val="center"/>
              <w:rPr>
                <w:highlight w:val="none"/>
              </w:rPr>
            </w:pPr>
            <w:r>
              <w:rPr>
                <w:highlight w:val="none"/>
              </w:rPr>
              <w:t>A份额销售手续费率</w:t>
            </w:r>
          </w:p>
        </w:tc>
        <w:tc>
          <w:tcPr>
            <w:tcW w:w="1173" w:type="dxa"/>
            <w:vAlign w:val="center"/>
          </w:tcPr>
          <w:p>
            <w:pPr>
              <w:jc w:val="center"/>
              <w:rPr>
                <w:highlight w:val="none"/>
              </w:rPr>
            </w:pPr>
            <w:r>
              <w:rPr>
                <w:highlight w:val="none"/>
              </w:rPr>
              <w:t>0.15%/年</w:t>
            </w:r>
          </w:p>
        </w:tc>
        <w:tc>
          <w:tcPr>
            <w:tcW w:w="2955" w:type="dxa"/>
            <w:vAlign w:val="center"/>
          </w:tcPr>
          <w:p>
            <w:pPr>
              <w:jc w:val="center"/>
              <w:rPr>
                <w:highlight w:val="none"/>
              </w:rPr>
            </w:pPr>
            <w:r>
              <w:rPr>
                <w:highlight w:val="none"/>
              </w:rPr>
              <w:t>从2025年7月11日（含）起，另行公告止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414" w:type="dxa"/>
            <w:vMerge w:val="continue"/>
          </w:tcPr>
          <w:p>
            <w:pPr>
              <w:rPr>
                <w:highlight w:val="none"/>
              </w:rPr>
            </w:pPr>
          </w:p>
        </w:tc>
        <w:tc>
          <w:tcPr>
            <w:tcW w:w="1089" w:type="dxa"/>
            <w:vMerge w:val="continue"/>
          </w:tcPr>
          <w:p>
            <w:pPr>
              <w:rPr>
                <w:highlight w:val="none"/>
              </w:rPr>
            </w:pPr>
          </w:p>
        </w:tc>
        <w:tc>
          <w:tcPr>
            <w:tcW w:w="1617" w:type="dxa"/>
            <w:vAlign w:val="center"/>
          </w:tcPr>
          <w:p>
            <w:pPr>
              <w:jc w:val="center"/>
              <w:rPr>
                <w:highlight w:val="none"/>
              </w:rPr>
            </w:pPr>
            <w:r>
              <w:rPr>
                <w:highlight w:val="none"/>
              </w:rPr>
              <w:t>S份额销售手续费率</w:t>
            </w:r>
          </w:p>
        </w:tc>
        <w:tc>
          <w:tcPr>
            <w:tcW w:w="1173" w:type="dxa"/>
            <w:vAlign w:val="center"/>
          </w:tcPr>
          <w:p>
            <w:pPr>
              <w:jc w:val="center"/>
              <w:rPr>
                <w:highlight w:val="none"/>
              </w:rPr>
            </w:pPr>
            <w:r>
              <w:rPr>
                <w:highlight w:val="none"/>
              </w:rPr>
              <w:t>0.05%/年</w:t>
            </w:r>
          </w:p>
        </w:tc>
        <w:tc>
          <w:tcPr>
            <w:tcW w:w="2955" w:type="dxa"/>
            <w:vAlign w:val="center"/>
          </w:tcPr>
          <w:p>
            <w:pPr>
              <w:jc w:val="center"/>
              <w:rPr>
                <w:highlight w:val="none"/>
              </w:rPr>
            </w:pPr>
            <w:r>
              <w:rPr>
                <w:highlight w:val="none"/>
              </w:rPr>
              <w:t>从2025年7月11日（含）起，另行公告止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414" w:type="dxa"/>
            <w:vMerge w:val="continue"/>
          </w:tcPr>
          <w:p>
            <w:pPr>
              <w:rPr>
                <w:highlight w:val="none"/>
              </w:rPr>
            </w:pPr>
          </w:p>
        </w:tc>
        <w:tc>
          <w:tcPr>
            <w:tcW w:w="1089" w:type="dxa"/>
            <w:vMerge w:val="continue"/>
          </w:tcPr>
          <w:p>
            <w:pPr>
              <w:rPr>
                <w:highlight w:val="none"/>
              </w:rPr>
            </w:pPr>
          </w:p>
        </w:tc>
        <w:tc>
          <w:tcPr>
            <w:tcW w:w="1617" w:type="dxa"/>
            <w:vAlign w:val="center"/>
          </w:tcPr>
          <w:p>
            <w:pPr>
              <w:jc w:val="center"/>
              <w:rPr>
                <w:highlight w:val="none"/>
              </w:rPr>
            </w:pPr>
            <w:r>
              <w:rPr>
                <w:highlight w:val="none"/>
              </w:rPr>
              <w:t>T份额销售手续费率</w:t>
            </w:r>
          </w:p>
        </w:tc>
        <w:tc>
          <w:tcPr>
            <w:tcW w:w="1173" w:type="dxa"/>
            <w:vAlign w:val="center"/>
          </w:tcPr>
          <w:p>
            <w:pPr>
              <w:jc w:val="center"/>
              <w:rPr>
                <w:highlight w:val="none"/>
              </w:rPr>
            </w:pPr>
            <w:r>
              <w:rPr>
                <w:highlight w:val="none"/>
              </w:rPr>
              <w:t>0</w:t>
            </w:r>
            <w:r>
              <w:rPr>
                <w:rFonts w:hint="eastAsia"/>
                <w:highlight w:val="none"/>
                <w:lang w:val="en-US" w:eastAsia="zh-CN"/>
              </w:rPr>
              <w:t>.00</w:t>
            </w:r>
            <w:r>
              <w:rPr>
                <w:highlight w:val="none"/>
              </w:rPr>
              <w:t>%/年</w:t>
            </w:r>
          </w:p>
        </w:tc>
        <w:tc>
          <w:tcPr>
            <w:tcW w:w="2955" w:type="dxa"/>
            <w:vAlign w:val="center"/>
          </w:tcPr>
          <w:p>
            <w:pPr>
              <w:jc w:val="center"/>
              <w:rPr>
                <w:highlight w:val="none"/>
              </w:rPr>
            </w:pPr>
            <w:r>
              <w:rPr>
                <w:highlight w:val="none"/>
              </w:rPr>
              <w:t>从2025年7月11日（含）起，另行公告止</w:t>
            </w:r>
          </w:p>
        </w:tc>
      </w:tr>
    </w:tbl>
    <w:p>
      <w:pPr>
        <w:keepNext w:val="0"/>
        <w:keepLines w:val="0"/>
        <w:pageBreakBefore w:val="0"/>
        <w:widowControl w:val="0"/>
        <w:kinsoku/>
        <w:wordWrap/>
        <w:overflowPunct/>
        <w:topLinePunct w:val="0"/>
        <w:autoSpaceDE/>
        <w:autoSpaceDN/>
        <w:bidi w:val="0"/>
        <w:adjustRightInd/>
        <w:snapToGrid/>
        <w:spacing w:line="480" w:lineRule="exact"/>
        <w:ind w:firstLine="601" w:firstLineChars="200"/>
        <w:jc w:val="lef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bCs/>
          <w:sz w:val="30"/>
          <w:szCs w:val="30"/>
          <w:highlight w:val="none"/>
          <w:lang w:val="en-US" w:eastAsia="zh-CN"/>
        </w:rPr>
        <w:t>基于当前市场环境，综合考虑宏观经济及各类资产收益水平变化，结合产品运作情况、拟投资策略历史业绩、产品费用成本等因素</w:t>
      </w:r>
      <w:r>
        <w:rPr>
          <w:rFonts w:hint="eastAsia" w:ascii="思源宋体 CN Light" w:hAnsi="思源宋体 CN Light" w:eastAsia="思源宋体 CN Light" w:cs="思源宋体 CN Light"/>
          <w:b/>
          <w:bCs/>
          <w:sz w:val="30"/>
          <w:szCs w:val="30"/>
          <w:highlight w:val="none"/>
          <w:lang w:val="en-US" w:eastAsia="zh-CN"/>
        </w:rPr>
        <w:t>，我司拟于</w:t>
      </w:r>
      <w:r>
        <w:rPr>
          <w:rFonts w:hint="eastAsia" w:ascii="思源宋体 CN Light" w:hAnsi="思源宋体 CN Light" w:eastAsia="思源宋体 CN Light" w:cs="思源宋体 CN Light"/>
          <w:b/>
          <w:bCs/>
          <w:sz w:val="30"/>
          <w:szCs w:val="30"/>
          <w:highlight w:val="none"/>
          <w:lang w:val="en-US" w:eastAsia="zh-CN"/>
        </w:rPr>
        <w:t>2025年7月11日</w:t>
      </w:r>
      <w:r>
        <w:rPr>
          <w:rFonts w:hint="eastAsia" w:ascii="思源宋体 CN Light" w:hAnsi="思源宋体 CN Light" w:eastAsia="思源宋体 CN Light" w:cs="思源宋体 CN Light"/>
          <w:b/>
          <w:bCs/>
          <w:sz w:val="30"/>
          <w:szCs w:val="30"/>
          <w:highlight w:val="none"/>
          <w:lang w:val="en-US" w:eastAsia="zh-CN"/>
        </w:rPr>
        <w:t>（含）起将</w:t>
      </w:r>
      <w:r>
        <w:rPr>
          <w:rFonts w:hint="eastAsia" w:ascii="思源宋体 CN Light" w:hAnsi="思源宋体 CN Light" w:eastAsia="思源宋体 CN Light" w:cs="思源宋体 CN Light"/>
          <w:b/>
          <w:bCs w:val="0"/>
          <w:sz w:val="30"/>
          <w:szCs w:val="30"/>
          <w:highlight w:val="none"/>
          <w:lang w:eastAsia="zh-CN"/>
        </w:rPr>
        <w:t>本产品</w:t>
      </w:r>
      <w:r>
        <w:rPr>
          <w:rFonts w:hint="eastAsia" w:ascii="思源宋体 CN Light" w:hAnsi="思源宋体 CN Light" w:eastAsia="思源宋体 CN Light" w:cs="思源宋体 CN Light"/>
          <w:b/>
          <w:bCs/>
          <w:sz w:val="30"/>
          <w:szCs w:val="30"/>
          <w:highlight w:val="none"/>
          <w:lang w:val="en-US" w:eastAsia="zh-CN"/>
        </w:rPr>
        <w:t>业绩比较基准调整为：</w:t>
      </w:r>
      <w:r>
        <w:rPr>
          <w:rFonts w:hint="eastAsia" w:ascii="思源宋体 CN Light" w:hAnsi="思源宋体 CN Light" w:eastAsia="思源宋体 CN Light" w:cs="思源宋体 CN Light"/>
          <w:b/>
          <w:bCs/>
          <w:sz w:val="30"/>
          <w:szCs w:val="30"/>
          <w:highlight w:val="none"/>
          <w:lang w:val="en-US" w:eastAsia="zh-CN"/>
        </w:rPr>
        <w:t>A份额2.60%-3.00%（年化），S份额2.70%-3.10%（年化），T份额2.75%-3.15%（年化），</w:t>
      </w:r>
      <w:r>
        <w:rPr>
          <w:rFonts w:hint="eastAsia" w:ascii="思源宋体 CN Light" w:hAnsi="思源宋体 CN Light" w:eastAsia="思源宋体 CN Light" w:cs="思源宋体 CN Light"/>
          <w:b/>
          <w:bCs/>
          <w:sz w:val="30"/>
          <w:szCs w:val="30"/>
          <w:highlight w:val="none"/>
          <w:lang w:val="en-US" w:eastAsia="zh-CN"/>
        </w:rPr>
        <w:t>测算依据详见更新后的产品说明书。本理财产品为净值型产品，其业绩表现将随市场情况变化而波动，具有不确定性。该业绩比较基准不构成华夏理财有限责任公司对本理财产品的任何收益承诺。</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lang w:eastAsia="zh-CN"/>
        </w:rPr>
      </w:pPr>
      <w:r>
        <w:rPr>
          <w:rFonts w:hint="eastAsia" w:ascii="思源宋体 CN Light" w:hAnsi="思源宋体 CN Light" w:eastAsia="思源宋体 CN Light" w:cs="思源宋体 CN Light"/>
          <w:sz w:val="30"/>
          <w:szCs w:val="30"/>
          <w:highlight w:val="none"/>
        </w:rPr>
        <w:t>感谢您对华夏理财有限责任公司的支持</w:t>
      </w:r>
      <w:r>
        <w:rPr>
          <w:rFonts w:hint="eastAsia" w:ascii="思源宋体 CN Light" w:hAnsi="思源宋体 CN Light" w:eastAsia="思源宋体 CN Light" w:cs="思源宋体 CN Light"/>
          <w:sz w:val="3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特此公告。</w:t>
      </w:r>
      <w:bookmarkStart w:id="0" w:name="_GoBack"/>
      <w:bookmarkEnd w:id="0"/>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华夏理财有限责任公司</w:t>
      </w: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eastAsia="思源宋体 CN Light" w:cs="思源宋体 CN Light"/>
          <w:sz w:val="30"/>
          <w:szCs w:val="30"/>
          <w:highlight w:val="none"/>
          <w:lang w:val="en-US" w:eastAsia="zh-CN"/>
        </w:rPr>
        <w:t>2025年7月7日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宋体 CN Light">
    <w:panose1 w:val="02020300000000000000"/>
    <w:charset w:val="86"/>
    <w:family w:val="auto"/>
    <w:pitch w:val="default"/>
    <w:sig w:usb0="20000083" w:usb1="2ADF3C10" w:usb2="00000016" w:usb3="00000000" w:csb0="6006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C80"/>
    <w:rsid w:val="000B2EE8"/>
    <w:rsid w:val="001262FB"/>
    <w:rsid w:val="00137F0C"/>
    <w:rsid w:val="00160FB3"/>
    <w:rsid w:val="00204017"/>
    <w:rsid w:val="0025653E"/>
    <w:rsid w:val="0029597A"/>
    <w:rsid w:val="002F0775"/>
    <w:rsid w:val="002F45A6"/>
    <w:rsid w:val="003548B3"/>
    <w:rsid w:val="00423D67"/>
    <w:rsid w:val="00446D16"/>
    <w:rsid w:val="0045632F"/>
    <w:rsid w:val="004D79CF"/>
    <w:rsid w:val="00514CAA"/>
    <w:rsid w:val="00522CE5"/>
    <w:rsid w:val="00540147"/>
    <w:rsid w:val="006363D5"/>
    <w:rsid w:val="006C4E7A"/>
    <w:rsid w:val="006E78F4"/>
    <w:rsid w:val="006F1293"/>
    <w:rsid w:val="00740B71"/>
    <w:rsid w:val="00841CD9"/>
    <w:rsid w:val="008731CE"/>
    <w:rsid w:val="008A74AC"/>
    <w:rsid w:val="008D1079"/>
    <w:rsid w:val="008F56F8"/>
    <w:rsid w:val="009676C6"/>
    <w:rsid w:val="009E3B27"/>
    <w:rsid w:val="00A5587C"/>
    <w:rsid w:val="00AB417C"/>
    <w:rsid w:val="00AD2C66"/>
    <w:rsid w:val="00B40F18"/>
    <w:rsid w:val="00B97905"/>
    <w:rsid w:val="00B97F23"/>
    <w:rsid w:val="00BA0BCB"/>
    <w:rsid w:val="00BB02B0"/>
    <w:rsid w:val="00BD269C"/>
    <w:rsid w:val="00C21596"/>
    <w:rsid w:val="00C710D5"/>
    <w:rsid w:val="00CC3F15"/>
    <w:rsid w:val="00CC7E42"/>
    <w:rsid w:val="00D20B02"/>
    <w:rsid w:val="00D603A2"/>
    <w:rsid w:val="00DB1879"/>
    <w:rsid w:val="00E26851"/>
    <w:rsid w:val="00F206D0"/>
    <w:rsid w:val="00F32B2F"/>
    <w:rsid w:val="00F54A3F"/>
    <w:rsid w:val="00F9230F"/>
    <w:rsid w:val="010B134B"/>
    <w:rsid w:val="01633374"/>
    <w:rsid w:val="018A0EB1"/>
    <w:rsid w:val="01D248FF"/>
    <w:rsid w:val="01DF02CE"/>
    <w:rsid w:val="02280836"/>
    <w:rsid w:val="02642D03"/>
    <w:rsid w:val="026D5047"/>
    <w:rsid w:val="03433B18"/>
    <w:rsid w:val="035E7C2D"/>
    <w:rsid w:val="03874E2D"/>
    <w:rsid w:val="038A1B1E"/>
    <w:rsid w:val="03935A39"/>
    <w:rsid w:val="04826322"/>
    <w:rsid w:val="04AD7905"/>
    <w:rsid w:val="054A11BA"/>
    <w:rsid w:val="05B26E27"/>
    <w:rsid w:val="05BE62FA"/>
    <w:rsid w:val="064033D0"/>
    <w:rsid w:val="064509FD"/>
    <w:rsid w:val="06522EA1"/>
    <w:rsid w:val="06671AF5"/>
    <w:rsid w:val="06CD0F3D"/>
    <w:rsid w:val="07050F75"/>
    <w:rsid w:val="076766B5"/>
    <w:rsid w:val="07A03816"/>
    <w:rsid w:val="07C06BA1"/>
    <w:rsid w:val="088E4711"/>
    <w:rsid w:val="08A147D6"/>
    <w:rsid w:val="08FA61DF"/>
    <w:rsid w:val="09185B72"/>
    <w:rsid w:val="0B4B54AD"/>
    <w:rsid w:val="0B537F65"/>
    <w:rsid w:val="0B78105E"/>
    <w:rsid w:val="0BDC4A25"/>
    <w:rsid w:val="0BE33B93"/>
    <w:rsid w:val="0C2C7C08"/>
    <w:rsid w:val="0CD04E93"/>
    <w:rsid w:val="0CDA64A0"/>
    <w:rsid w:val="0D4C09CF"/>
    <w:rsid w:val="0D4C7E4E"/>
    <w:rsid w:val="0D68276C"/>
    <w:rsid w:val="0D8855EE"/>
    <w:rsid w:val="0DF42673"/>
    <w:rsid w:val="0E16391B"/>
    <w:rsid w:val="0F10413C"/>
    <w:rsid w:val="0F246B7F"/>
    <w:rsid w:val="0FA961B5"/>
    <w:rsid w:val="0FDC1BC6"/>
    <w:rsid w:val="0FDE20E5"/>
    <w:rsid w:val="0FE2696F"/>
    <w:rsid w:val="0FF625FB"/>
    <w:rsid w:val="100B6572"/>
    <w:rsid w:val="1058445F"/>
    <w:rsid w:val="10AA6C9E"/>
    <w:rsid w:val="10AC5161"/>
    <w:rsid w:val="10CA62D1"/>
    <w:rsid w:val="11415A82"/>
    <w:rsid w:val="12A34259"/>
    <w:rsid w:val="12C94B49"/>
    <w:rsid w:val="13534667"/>
    <w:rsid w:val="14377A29"/>
    <w:rsid w:val="147676E1"/>
    <w:rsid w:val="14B31688"/>
    <w:rsid w:val="15260E11"/>
    <w:rsid w:val="15B05F90"/>
    <w:rsid w:val="176602FF"/>
    <w:rsid w:val="178A1656"/>
    <w:rsid w:val="17B9416E"/>
    <w:rsid w:val="18375939"/>
    <w:rsid w:val="18F83C1B"/>
    <w:rsid w:val="18FD7B8B"/>
    <w:rsid w:val="190A3C55"/>
    <w:rsid w:val="192A44E7"/>
    <w:rsid w:val="195802B0"/>
    <w:rsid w:val="196566E3"/>
    <w:rsid w:val="1A173B5B"/>
    <w:rsid w:val="1A432C1F"/>
    <w:rsid w:val="1A686A20"/>
    <w:rsid w:val="1A9876FF"/>
    <w:rsid w:val="1ACD6BC9"/>
    <w:rsid w:val="1AFE6CB6"/>
    <w:rsid w:val="1CF87497"/>
    <w:rsid w:val="1D6B7019"/>
    <w:rsid w:val="1D884331"/>
    <w:rsid w:val="1E0C68D5"/>
    <w:rsid w:val="1E620C67"/>
    <w:rsid w:val="1EC55D25"/>
    <w:rsid w:val="1F0F4994"/>
    <w:rsid w:val="1F4436F0"/>
    <w:rsid w:val="20256F17"/>
    <w:rsid w:val="20A420AE"/>
    <w:rsid w:val="20D4701E"/>
    <w:rsid w:val="20E27F30"/>
    <w:rsid w:val="20F04EEA"/>
    <w:rsid w:val="216357D9"/>
    <w:rsid w:val="21706269"/>
    <w:rsid w:val="21932E14"/>
    <w:rsid w:val="21A85739"/>
    <w:rsid w:val="2206685F"/>
    <w:rsid w:val="22B42700"/>
    <w:rsid w:val="23145F14"/>
    <w:rsid w:val="2395727B"/>
    <w:rsid w:val="23F9530D"/>
    <w:rsid w:val="240A0298"/>
    <w:rsid w:val="240B6D36"/>
    <w:rsid w:val="24162237"/>
    <w:rsid w:val="2511129C"/>
    <w:rsid w:val="269D0542"/>
    <w:rsid w:val="26CF7399"/>
    <w:rsid w:val="26DB2CDB"/>
    <w:rsid w:val="271F1CEC"/>
    <w:rsid w:val="275F737D"/>
    <w:rsid w:val="280232A9"/>
    <w:rsid w:val="281D775F"/>
    <w:rsid w:val="28CB31D0"/>
    <w:rsid w:val="28CC407F"/>
    <w:rsid w:val="28F362FE"/>
    <w:rsid w:val="2A1E3FDB"/>
    <w:rsid w:val="2A251137"/>
    <w:rsid w:val="2A555783"/>
    <w:rsid w:val="2B282C1F"/>
    <w:rsid w:val="2B3151C5"/>
    <w:rsid w:val="2B7661DC"/>
    <w:rsid w:val="2B9C5C76"/>
    <w:rsid w:val="2BA93F88"/>
    <w:rsid w:val="2BC91A6C"/>
    <w:rsid w:val="2C0C0B99"/>
    <w:rsid w:val="2C7B5A8A"/>
    <w:rsid w:val="2C886006"/>
    <w:rsid w:val="2CA66F79"/>
    <w:rsid w:val="2CBB7774"/>
    <w:rsid w:val="2D466457"/>
    <w:rsid w:val="2D50582E"/>
    <w:rsid w:val="2DF6486A"/>
    <w:rsid w:val="2DF736C7"/>
    <w:rsid w:val="2E052709"/>
    <w:rsid w:val="2E1A70A8"/>
    <w:rsid w:val="2E235C36"/>
    <w:rsid w:val="2E476CDE"/>
    <w:rsid w:val="2F073B5F"/>
    <w:rsid w:val="2F093B3A"/>
    <w:rsid w:val="2F6347FA"/>
    <w:rsid w:val="303B3A5A"/>
    <w:rsid w:val="307A2AE4"/>
    <w:rsid w:val="30E53E11"/>
    <w:rsid w:val="31B03F94"/>
    <w:rsid w:val="31B44306"/>
    <w:rsid w:val="320278CF"/>
    <w:rsid w:val="32043C57"/>
    <w:rsid w:val="325E0DB4"/>
    <w:rsid w:val="327D551C"/>
    <w:rsid w:val="32A2010B"/>
    <w:rsid w:val="33944205"/>
    <w:rsid w:val="33B34313"/>
    <w:rsid w:val="33F86541"/>
    <w:rsid w:val="34172F73"/>
    <w:rsid w:val="342D0E91"/>
    <w:rsid w:val="354B6B44"/>
    <w:rsid w:val="35F83418"/>
    <w:rsid w:val="36243B01"/>
    <w:rsid w:val="36415E89"/>
    <w:rsid w:val="366F435B"/>
    <w:rsid w:val="36F80C14"/>
    <w:rsid w:val="37B657D1"/>
    <w:rsid w:val="37F3288B"/>
    <w:rsid w:val="383036CA"/>
    <w:rsid w:val="38372724"/>
    <w:rsid w:val="387455A1"/>
    <w:rsid w:val="391C02D9"/>
    <w:rsid w:val="391F74EE"/>
    <w:rsid w:val="39866F19"/>
    <w:rsid w:val="39C26270"/>
    <w:rsid w:val="3A2A1F43"/>
    <w:rsid w:val="3A2B5230"/>
    <w:rsid w:val="3AB726F5"/>
    <w:rsid w:val="3ABB3A2F"/>
    <w:rsid w:val="3AE01ADD"/>
    <w:rsid w:val="3B013DDA"/>
    <w:rsid w:val="3B1B2786"/>
    <w:rsid w:val="3BDB0B35"/>
    <w:rsid w:val="3C196E25"/>
    <w:rsid w:val="3C317246"/>
    <w:rsid w:val="3C38549C"/>
    <w:rsid w:val="3C5F35B1"/>
    <w:rsid w:val="3C781C72"/>
    <w:rsid w:val="3C847006"/>
    <w:rsid w:val="3CDF3935"/>
    <w:rsid w:val="3E076FCF"/>
    <w:rsid w:val="3E5C75D5"/>
    <w:rsid w:val="3EF50132"/>
    <w:rsid w:val="40816C1F"/>
    <w:rsid w:val="4192633C"/>
    <w:rsid w:val="41960170"/>
    <w:rsid w:val="41F2243E"/>
    <w:rsid w:val="42534A61"/>
    <w:rsid w:val="431F543A"/>
    <w:rsid w:val="432E4FF9"/>
    <w:rsid w:val="4389019D"/>
    <w:rsid w:val="43934712"/>
    <w:rsid w:val="44185E43"/>
    <w:rsid w:val="448F348D"/>
    <w:rsid w:val="44CB7CED"/>
    <w:rsid w:val="44D31A1B"/>
    <w:rsid w:val="451419A5"/>
    <w:rsid w:val="452E7FD4"/>
    <w:rsid w:val="45D54B59"/>
    <w:rsid w:val="45E84550"/>
    <w:rsid w:val="46916FD5"/>
    <w:rsid w:val="47213FAC"/>
    <w:rsid w:val="4760213D"/>
    <w:rsid w:val="47813E6C"/>
    <w:rsid w:val="47C07D26"/>
    <w:rsid w:val="47CF2575"/>
    <w:rsid w:val="47E9088B"/>
    <w:rsid w:val="48673B2C"/>
    <w:rsid w:val="48DC5F0E"/>
    <w:rsid w:val="48E93C90"/>
    <w:rsid w:val="48FF7F59"/>
    <w:rsid w:val="499C1575"/>
    <w:rsid w:val="49FD12F9"/>
    <w:rsid w:val="4A2445A7"/>
    <w:rsid w:val="4A885FDC"/>
    <w:rsid w:val="4A935179"/>
    <w:rsid w:val="4A995549"/>
    <w:rsid w:val="4AA97776"/>
    <w:rsid w:val="4BDE42A7"/>
    <w:rsid w:val="4CC63D7F"/>
    <w:rsid w:val="4CCE1344"/>
    <w:rsid w:val="4D0E051A"/>
    <w:rsid w:val="4DBF3E19"/>
    <w:rsid w:val="4F4967E4"/>
    <w:rsid w:val="4F824D7E"/>
    <w:rsid w:val="50291F71"/>
    <w:rsid w:val="50596BD6"/>
    <w:rsid w:val="50BF23E0"/>
    <w:rsid w:val="50F84E45"/>
    <w:rsid w:val="514B79E5"/>
    <w:rsid w:val="51966F4C"/>
    <w:rsid w:val="520F0FD3"/>
    <w:rsid w:val="52784F51"/>
    <w:rsid w:val="52BF457A"/>
    <w:rsid w:val="53235275"/>
    <w:rsid w:val="53BC2516"/>
    <w:rsid w:val="54350018"/>
    <w:rsid w:val="550F3BDA"/>
    <w:rsid w:val="55505730"/>
    <w:rsid w:val="55517564"/>
    <w:rsid w:val="55F122A6"/>
    <w:rsid w:val="56281119"/>
    <w:rsid w:val="579A641A"/>
    <w:rsid w:val="57F24B87"/>
    <w:rsid w:val="57F9536B"/>
    <w:rsid w:val="5909414B"/>
    <w:rsid w:val="5975567B"/>
    <w:rsid w:val="59AC0D97"/>
    <w:rsid w:val="5A6F322D"/>
    <w:rsid w:val="5A8E79A0"/>
    <w:rsid w:val="5AAC0F59"/>
    <w:rsid w:val="5AEA7E35"/>
    <w:rsid w:val="5B1F3E5D"/>
    <w:rsid w:val="5B6551F0"/>
    <w:rsid w:val="5B722BE1"/>
    <w:rsid w:val="5BA52DED"/>
    <w:rsid w:val="5BE1154B"/>
    <w:rsid w:val="5BF55FED"/>
    <w:rsid w:val="5CDA2586"/>
    <w:rsid w:val="5D192AB0"/>
    <w:rsid w:val="5D4B0C39"/>
    <w:rsid w:val="5E546DD1"/>
    <w:rsid w:val="5E867AFF"/>
    <w:rsid w:val="5EB1330B"/>
    <w:rsid w:val="5F4F50B7"/>
    <w:rsid w:val="5FF26A54"/>
    <w:rsid w:val="604C3807"/>
    <w:rsid w:val="607B236A"/>
    <w:rsid w:val="61562297"/>
    <w:rsid w:val="61B83D5E"/>
    <w:rsid w:val="61FE0917"/>
    <w:rsid w:val="61FE4354"/>
    <w:rsid w:val="622249ED"/>
    <w:rsid w:val="62295D10"/>
    <w:rsid w:val="627F0705"/>
    <w:rsid w:val="62A34AE2"/>
    <w:rsid w:val="632A47F2"/>
    <w:rsid w:val="63D15554"/>
    <w:rsid w:val="64FA606F"/>
    <w:rsid w:val="6511265D"/>
    <w:rsid w:val="65B75BBB"/>
    <w:rsid w:val="65D10B28"/>
    <w:rsid w:val="66865D37"/>
    <w:rsid w:val="6696637A"/>
    <w:rsid w:val="6714639B"/>
    <w:rsid w:val="677845EB"/>
    <w:rsid w:val="67AB1FA1"/>
    <w:rsid w:val="67B42B52"/>
    <w:rsid w:val="68625586"/>
    <w:rsid w:val="68BF226B"/>
    <w:rsid w:val="69303438"/>
    <w:rsid w:val="6B074360"/>
    <w:rsid w:val="6C3A1CFC"/>
    <w:rsid w:val="6C844AAB"/>
    <w:rsid w:val="6C891725"/>
    <w:rsid w:val="6C9327AE"/>
    <w:rsid w:val="6CB82D0C"/>
    <w:rsid w:val="6CC2338F"/>
    <w:rsid w:val="6E03415B"/>
    <w:rsid w:val="6F3B1AB5"/>
    <w:rsid w:val="700057DD"/>
    <w:rsid w:val="7042660B"/>
    <w:rsid w:val="70506BDB"/>
    <w:rsid w:val="708E009F"/>
    <w:rsid w:val="70EC278D"/>
    <w:rsid w:val="70FE2EF5"/>
    <w:rsid w:val="71077BCA"/>
    <w:rsid w:val="711C125F"/>
    <w:rsid w:val="71920663"/>
    <w:rsid w:val="72BE7843"/>
    <w:rsid w:val="72E51264"/>
    <w:rsid w:val="731578FB"/>
    <w:rsid w:val="73483267"/>
    <w:rsid w:val="73727F0B"/>
    <w:rsid w:val="737B402A"/>
    <w:rsid w:val="7380460B"/>
    <w:rsid w:val="741F0C4C"/>
    <w:rsid w:val="74CE102F"/>
    <w:rsid w:val="759F22E2"/>
    <w:rsid w:val="75C15E3F"/>
    <w:rsid w:val="7618055E"/>
    <w:rsid w:val="766921CD"/>
    <w:rsid w:val="767057F7"/>
    <w:rsid w:val="769E4528"/>
    <w:rsid w:val="77EC1C4C"/>
    <w:rsid w:val="77F62342"/>
    <w:rsid w:val="78043A22"/>
    <w:rsid w:val="78A62DB5"/>
    <w:rsid w:val="78AB4608"/>
    <w:rsid w:val="78C86A93"/>
    <w:rsid w:val="79083365"/>
    <w:rsid w:val="790B715C"/>
    <w:rsid w:val="792E5F8F"/>
    <w:rsid w:val="79410F99"/>
    <w:rsid w:val="79EB5032"/>
    <w:rsid w:val="7AC116E8"/>
    <w:rsid w:val="7B011A87"/>
    <w:rsid w:val="7B456AC1"/>
    <w:rsid w:val="7B742D76"/>
    <w:rsid w:val="7CD408E6"/>
    <w:rsid w:val="7CE078FC"/>
    <w:rsid w:val="7CF93296"/>
    <w:rsid w:val="7E1415EE"/>
    <w:rsid w:val="7E155D5A"/>
    <w:rsid w:val="7E4B4612"/>
    <w:rsid w:val="7F3F4392"/>
    <w:rsid w:val="7FFD32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jc w:val="both"/>
    </w:pPr>
    <w:rPr>
      <w:rFonts w:ascii="Times New Roman" w:hAnsi="Times New Roman" w:eastAsia="思源宋体 CN Light" w:cs="思源宋体 CN Light"/>
      <w:kern w:val="2"/>
      <w:sz w:val="21"/>
      <w:szCs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480" w:lineRule="exact"/>
      <w:outlineLvl w:val="0"/>
    </w:pPr>
    <w:rPr>
      <w:rFonts w:ascii="Times New Roman" w:hAnsi="Times New Roman"/>
      <w:b/>
      <w:kern w:val="44"/>
      <w:sz w:val="36"/>
    </w:rPr>
  </w:style>
  <w:style w:type="character" w:default="1" w:styleId="8">
    <w:name w:val="Default Paragraph Font"/>
    <w:semiHidden/>
    <w:qFormat/>
    <w:uiPriority w:val="99"/>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Indent"/>
    <w:basedOn w:val="1"/>
    <w:link w:val="10"/>
    <w:qFormat/>
    <w:uiPriority w:val="99"/>
    <w:pPr>
      <w:ind w:firstLine="630"/>
    </w:pPr>
    <w:rPr>
      <w:kern w:val="0"/>
      <w:sz w:val="24"/>
      <w:szCs w:val="24"/>
    </w:rPr>
  </w:style>
  <w:style w:type="paragraph" w:styleId="4">
    <w:name w:val="Balloon Text"/>
    <w:basedOn w:val="1"/>
    <w:semiHidden/>
    <w:qFormat/>
    <w:uiPriority w:val="0"/>
    <w:rPr>
      <w:sz w:val="18"/>
      <w:szCs w:val="18"/>
    </w:rPr>
  </w:style>
  <w:style w:type="paragraph" w:styleId="5">
    <w:name w:val="footer"/>
    <w:basedOn w:val="1"/>
    <w:link w:val="11"/>
    <w:qFormat/>
    <w:uiPriority w:val="99"/>
    <w:pPr>
      <w:tabs>
        <w:tab w:val="center" w:pos="4153"/>
        <w:tab w:val="right" w:pos="8306"/>
      </w:tabs>
      <w:snapToGrid w:val="0"/>
      <w:jc w:val="left"/>
    </w:pPr>
    <w:rPr>
      <w:rFonts w:cs="Times New Roman"/>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_Style 7"/>
    <w:qFormat/>
    <w:uiPriority w:val="99"/>
    <w:rPr>
      <w:rFonts w:ascii="Calibri" w:hAnsi="Calibri" w:eastAsia="宋体" w:cs="Calibri"/>
      <w:kern w:val="2"/>
      <w:sz w:val="21"/>
      <w:szCs w:val="21"/>
      <w:lang w:val="en-US" w:eastAsia="zh-CN" w:bidi="ar-SA"/>
    </w:rPr>
  </w:style>
  <w:style w:type="character" w:customStyle="1" w:styleId="10">
    <w:name w:val="正文文本缩进 字符"/>
    <w:link w:val="3"/>
    <w:semiHidden/>
    <w:qFormat/>
    <w:uiPriority w:val="99"/>
    <w:rPr>
      <w:rFonts w:ascii="Calibri" w:hAnsi="Calibri" w:cs="Calibri"/>
      <w:szCs w:val="21"/>
    </w:rPr>
  </w:style>
  <w:style w:type="character" w:customStyle="1" w:styleId="11">
    <w:name w:val="页脚 字符"/>
    <w:link w:val="5"/>
    <w:semiHidden/>
    <w:qFormat/>
    <w:uiPriority w:val="99"/>
    <w:rPr>
      <w:rFonts w:ascii="Calibri" w:hAnsi="Calibri" w:cs="Calibri"/>
      <w:sz w:val="18"/>
      <w:szCs w:val="18"/>
    </w:rPr>
  </w:style>
  <w:style w:type="character" w:customStyle="1" w:styleId="12">
    <w:name w:val="页眉 字符"/>
    <w:link w:val="6"/>
    <w:semiHidden/>
    <w:qFormat/>
    <w:uiPriority w:val="99"/>
    <w:rPr>
      <w:rFonts w:ascii="Calibri" w:hAnsi="Calibri" w:cs="Calibri"/>
      <w:sz w:val="18"/>
      <w:szCs w:val="18"/>
    </w:rPr>
  </w:style>
  <w:style w:type="character" w:customStyle="1" w:styleId="13">
    <w:name w:val="NormalCharacter"/>
    <w:qFormat/>
    <w:uiPriority w:val="99"/>
  </w:style>
  <w:style w:type="character" w:customStyle="1" w:styleId="14">
    <w:name w:val=" Char Char1"/>
    <w:qFormat/>
    <w:locked/>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Words>
  <Characters>391</Characters>
  <Lines>3</Lines>
  <Paragraphs>1</Paragraphs>
  <TotalTime>1</TotalTime>
  <ScaleCrop>false</ScaleCrop>
  <LinksUpToDate>false</LinksUpToDate>
  <CharactersWithSpaces>458</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2023-02-27T08:08:00Z</dcterms:created>
  <dc:creator>admin</dc:creator>
  <cp:lastModifiedBy>李文浩</cp:lastModifiedBy>
  <dcterms:modified xsi:type="dcterms:W3CDTF">2025-07-04T12:21:03Z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262F78ED10AD4980A4EB1EB015F8A301</vt:lpwstr>
  </property>
</Properties>
</file>