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6" w:name="_GoBack"/>
      <w:bookmarkEnd w:id="6"/>
      <w:r>
        <w:rPr>
          <w:rFonts w:hint="eastAsia" w:eastAsia="黑体"/>
          <w:bCs/>
          <w:sz w:val="36"/>
          <w:szCs w:val="36"/>
        </w:rPr>
        <w:t>华夏理财固定收益债权型封闭式理财产品</w:t>
      </w:r>
      <w:r>
        <w:rPr>
          <w:rFonts w:hint="eastAsia" w:eastAsia="黑体"/>
          <w:bCs/>
          <w:sz w:val="36"/>
          <w:szCs w:val="36"/>
          <w:lang w:val="en-US" w:eastAsia="zh-CN"/>
        </w:rPr>
        <w:t>851号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hint="eastAsia" w:ascii="黑体" w:hAnsi="黑体" w:eastAsia="黑体"/>
                <w:b/>
                <w:sz w:val="28"/>
                <w:szCs w:val="28"/>
                <w:u w:val="single"/>
                <w:lang w:eastAsia="zh-CN"/>
              </w:rPr>
              <w:t>、</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851号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简称：“华夏理财固收债权封闭式</w:t>
            </w:r>
            <w:r>
              <w:rPr>
                <w:rFonts w:hint="eastAsia" w:ascii="仿宋" w:hAnsi="仿宋" w:eastAsia="仿宋"/>
                <w:b/>
                <w:bCs/>
                <w:szCs w:val="21"/>
                <w:lang w:val="en-US" w:eastAsia="zh-CN"/>
              </w:rPr>
              <w:t>851</w:t>
            </w:r>
            <w:r>
              <w:rPr>
                <w:rFonts w:hint="eastAsia" w:ascii="仿宋" w:hAnsi="仿宋" w:eastAsia="仿宋"/>
                <w:b/>
                <w:bCs/>
                <w:szCs w:val="21"/>
                <w:lang w:eastAsia="zh-CN"/>
              </w:rPr>
              <w:t>号</w:t>
            </w:r>
            <w:r>
              <w:rPr>
                <w:rFonts w:hint="eastAsia" w:ascii="仿宋" w:hAnsi="仿宋" w:eastAsia="仿宋"/>
                <w:b/>
                <w:bCs/>
                <w:szCs w:val="21"/>
                <w:lang w:val="en-US" w:eastAsia="zh-CN"/>
              </w:rPr>
              <w:t>188天（京华二号）</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25</w:t>
            </w:r>
            <w:r>
              <w:rPr>
                <w:rFonts w:hint="eastAsia" w:ascii="仿宋" w:hAnsi="仿宋" w:eastAsia="仿宋"/>
                <w:bCs/>
                <w:szCs w:val="21"/>
                <w:lang w:val="en-US" w:eastAsia="zh-CN"/>
              </w:rPr>
              <w:t>211141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Z700392500</w:t>
            </w:r>
            <w:r>
              <w:rPr>
                <w:rFonts w:hint="eastAsia" w:ascii="仿宋" w:hAnsi="仿宋" w:eastAsia="仿宋"/>
                <w:bCs/>
                <w:szCs w:val="21"/>
                <w:lang w:val="en-US" w:eastAsia="zh-CN"/>
              </w:rPr>
              <w:t>1238</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业绩比较基准为</w:t>
            </w:r>
            <w:r>
              <w:rPr>
                <w:rFonts w:hint="eastAsia" w:ascii="仿宋" w:hAnsi="仿宋" w:eastAsia="仿宋" w:cs="Cambria"/>
                <w:bCs/>
                <w:szCs w:val="21"/>
                <w:lang w:val="en-US" w:eastAsia="zh-CN"/>
              </w:rPr>
              <w:t>2.50%</w:t>
            </w:r>
            <w:r>
              <w:rPr>
                <w:rFonts w:hint="eastAsia" w:ascii="仿宋" w:hAnsi="仿宋" w:eastAsia="仿宋" w:cs="Cambria"/>
                <w:bCs/>
                <w:szCs w:val="21"/>
              </w:rPr>
              <w:t>（年化）。产品全部投资于固定收益类资产，以</w:t>
            </w:r>
            <w:r>
              <w:rPr>
                <w:rFonts w:hint="eastAsia" w:ascii="仿宋" w:hAnsi="仿宋" w:eastAsia="仿宋" w:cs="Cambria"/>
                <w:bCs/>
                <w:szCs w:val="21"/>
                <w:lang w:val="en-US" w:eastAsia="zh-CN"/>
              </w:rPr>
              <w:t>产品</w:t>
            </w:r>
            <w:r>
              <w:rPr>
                <w:rFonts w:hint="eastAsia" w:ascii="仿宋" w:hAnsi="仿宋" w:eastAsia="仿宋" w:cs="Cambria"/>
                <w:bCs/>
                <w:szCs w:val="21"/>
              </w:rPr>
              <w:t>投资</w:t>
            </w:r>
            <w:r>
              <w:rPr>
                <w:rFonts w:hint="eastAsia" w:ascii="仿宋" w:hAnsi="仿宋" w:eastAsia="仿宋" w:cs="Cambria"/>
                <w:bCs/>
                <w:szCs w:val="21"/>
                <w:lang w:val="en-US" w:eastAsia="zh-CN"/>
              </w:rPr>
              <w:t>于</w:t>
            </w:r>
            <w:r>
              <w:rPr>
                <w:rFonts w:hint="eastAsia" w:ascii="仿宋" w:hAnsi="仿宋" w:eastAsia="仿宋" w:cs="Cambria"/>
                <w:bCs/>
                <w:szCs w:val="21"/>
              </w:rPr>
              <w:t>债券类资产仓位55%-100%，非标债权类资产仓位0</w:t>
            </w:r>
            <w:r>
              <w:rPr>
                <w:rFonts w:hint="eastAsia" w:ascii="仿宋" w:hAnsi="仿宋" w:eastAsia="仿宋" w:cs="Cambria"/>
                <w:bCs/>
                <w:szCs w:val="21"/>
                <w:lang w:val="en-US" w:eastAsia="zh-CN"/>
              </w:rPr>
              <w:t>%</w:t>
            </w:r>
            <w:r>
              <w:rPr>
                <w:rFonts w:hint="eastAsia" w:ascii="仿宋" w:hAnsi="仿宋" w:eastAsia="仿宋" w:cs="Cambria"/>
                <w:bCs/>
                <w:szCs w:val="21"/>
              </w:rPr>
              <w:t>-45%，组合杠杆率100%-140%为例，参考当前债券类资产收益率、非标债权类资产目标收益率，结合产品灵活期限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3" w:colFirst="1" w:colLast="1"/>
            <w:bookmarkStart w:id="2" w:name="_Hlk290294163"/>
            <w:bookmarkStart w:id="3" w:name="OLE_LINK2"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17</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2025年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17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2025年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188天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w:t>
            </w:r>
            <w:r>
              <w:rPr>
                <w:rFonts w:hint="eastAsia" w:ascii="仿宋" w:hAnsi="仿宋" w:eastAsia="仿宋"/>
                <w:bCs/>
                <w:color w:val="000000"/>
                <w:szCs w:val="21"/>
                <w:lang w:val="en-US" w:eastAsia="zh-CN"/>
              </w:rPr>
              <w:t>全国</w:t>
            </w:r>
            <w:r>
              <w:rPr>
                <w:rFonts w:hint="eastAsia" w:ascii="仿宋" w:hAnsi="仿宋" w:eastAsia="仿宋"/>
                <w:bCs/>
                <w:color w:val="000000"/>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lang w:val="en-US" w:eastAsia="zh-CN"/>
              </w:rPr>
            </w:pPr>
            <w:r>
              <w:rPr>
                <w:rFonts w:hint="eastAsia" w:ascii="仿宋" w:hAnsi="仿宋" w:eastAsia="仿宋"/>
                <w:lang w:val="en-US" w:eastAsia="zh-CN"/>
              </w:rPr>
              <w:t>不限。</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2</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eastAsia" w:ascii="仿宋" w:hAnsi="仿宋" w:eastAsia="仿宋"/>
                <w:b/>
                <w:bCs w:val="0"/>
                <w:szCs w:val="21"/>
                <w:lang w:val="en-US" w:eastAsia="zh-CN"/>
              </w:rPr>
              <w:t>2</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02</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w:t>
            </w:r>
            <w:r>
              <w:rPr>
                <w:rFonts w:ascii="仿宋" w:hAnsi="仿宋" w:eastAsia="仿宋"/>
                <w:b/>
                <w:bCs w:val="0"/>
                <w:szCs w:val="21"/>
              </w:rPr>
              <w:t>0.</w:t>
            </w:r>
            <w:r>
              <w:rPr>
                <w:rFonts w:hint="eastAsia" w:ascii="仿宋" w:hAnsi="仿宋" w:eastAsia="仿宋"/>
                <w:b/>
                <w:bCs w:val="0"/>
                <w:szCs w:val="21"/>
                <w:lang w:val="en-US" w:eastAsia="zh-CN"/>
              </w:rPr>
              <w:t>02</w:t>
            </w:r>
            <w:r>
              <w:rPr>
                <w:rFonts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02</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02</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lang w:val="en-US" w:eastAsia="zh-CN"/>
              </w:rPr>
            </w:pPr>
            <w:r>
              <w:rPr>
                <w:rFonts w:hint="eastAsia" w:ascii="仿宋" w:hAnsi="仿宋" w:eastAsia="仿宋"/>
                <w:b/>
                <w:bCs w:val="0"/>
                <w:szCs w:val="21"/>
              </w:rPr>
              <w:t>本理财产品超额计提基准为</w:t>
            </w:r>
            <w:r>
              <w:rPr>
                <w:rFonts w:hint="eastAsia" w:ascii="仿宋" w:hAnsi="仿宋" w:eastAsia="仿宋"/>
                <w:b/>
                <w:bCs w:val="0"/>
                <w:szCs w:val="21"/>
                <w:lang w:val="en-US" w:eastAsia="zh-CN"/>
              </w:rPr>
              <w:t>2.50</w:t>
            </w:r>
            <w:r>
              <w:rPr>
                <w:rFonts w:hint="eastAsia" w:ascii="仿宋" w:hAnsi="仿宋" w:eastAsia="仿宋"/>
                <w:b/>
                <w:bCs w:val="0"/>
                <w:szCs w:val="21"/>
              </w:rPr>
              <w:t>%（年化）</w:t>
            </w:r>
            <w:r>
              <w:rPr>
                <w:rFonts w:hint="eastAsia" w:ascii="仿宋" w:hAnsi="仿宋" w:eastAsia="仿宋"/>
                <w:b/>
                <w:bCs w:val="0"/>
                <w:szCs w:val="21"/>
                <w:lang w:val="en-US" w:eastAsia="zh-CN"/>
              </w:rPr>
              <w:t>。</w:t>
            </w:r>
          </w:p>
          <w:p>
            <w:pPr>
              <w:adjustRightInd w:val="0"/>
              <w:snapToGrid w:val="0"/>
              <w:spacing w:line="300" w:lineRule="exact"/>
              <w:ind w:firstLine="420" w:firstLineChars="0"/>
              <w:rPr>
                <w:rFonts w:hint="eastAsia" w:ascii="仿宋" w:hAnsi="仿宋" w:eastAsia="仿宋" w:cs="Cambria"/>
                <w:b/>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超额管理费=（年化收益率-超额计提基准）×当期持有天数÷365×</w:t>
            </w:r>
            <w:r>
              <w:rPr>
                <w:rFonts w:hint="eastAsia" w:ascii="仿宋" w:hAnsi="仿宋" w:eastAsia="仿宋" w:cs="Cambria"/>
                <w:b/>
                <w:szCs w:val="21"/>
                <w:lang w:val="en-US" w:eastAsia="zh-CN"/>
              </w:rPr>
              <w:t>50</w:t>
            </w:r>
            <w:r>
              <w:rPr>
                <w:rFonts w:hint="eastAsia" w:ascii="仿宋" w:hAnsi="仿宋" w:eastAsia="仿宋" w:cs="Cambria"/>
                <w:b/>
                <w:szCs w:val="21"/>
              </w:rPr>
              <w:t>%×产品份额×1.0000</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cs="Cambria"/>
                <w:b/>
                <w:szCs w:val="21"/>
              </w:rPr>
              <w:t>华夏理财有权根据市场及产品运作情况调整上述规则，并至少于生效前3个工作日通过本产品说明书约定的信息披露渠道进行公告。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w:t>
      </w:r>
      <w:r>
        <w:rPr>
          <w:rFonts w:hint="eastAsia" w:ascii="仿宋" w:hAnsi="仿宋" w:eastAsia="仿宋" w:cs="宋体"/>
          <w:b/>
          <w:bCs/>
          <w:kern w:val="0"/>
          <w:sz w:val="24"/>
          <w:lang w:val="en-US" w:eastAsia="zh-CN"/>
        </w:rPr>
        <w:t>允许</w:t>
      </w:r>
      <w:r>
        <w:rPr>
          <w:rFonts w:hint="eastAsia" w:ascii="仿宋" w:hAnsi="仿宋" w:eastAsia="仿宋" w:cs="宋体"/>
          <w:b/>
          <w:bCs/>
          <w:kern w:val="0"/>
          <w:sz w:val="24"/>
        </w:rPr>
        <w:t>单一投资者持有份额超过产品总份额的50%，本产品不向个人投资者公开销售。</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480" w:firstLineChars="0"/>
        <w:contextualSpacing/>
        <w:jc w:val="both"/>
        <w:rPr>
          <w:rFonts w:hint="eastAsia" w:ascii="Times New Roman" w:eastAsia="黑体" w:cs="Times New Roman"/>
          <w:b/>
          <w:color w:val="auto"/>
        </w:rPr>
      </w:pPr>
      <w:r>
        <w:rPr>
          <w:rFonts w:hint="eastAsia" w:ascii="Times New Roman" w:eastAsia="黑体" w:cs="Times New Roman"/>
          <w:b/>
          <w:bCs w:val="0"/>
          <w:kern w:val="0"/>
          <w:sz w:val="24"/>
          <w:szCs w:val="24"/>
          <w:lang w:val="en-US" w:eastAsia="zh-CN" w:bidi="ar-SA"/>
        </w:rPr>
        <w:t>6</w:t>
      </w:r>
      <w:r>
        <w:rPr>
          <w:rFonts w:hint="eastAsia" w:ascii="Times New Roman" w:hAnsi="Times New Roman" w:eastAsia="黑体" w:cs="Times New Roman"/>
          <w:b/>
          <w:bCs w:val="0"/>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5802"/>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3E53FE"/>
    <w:rsid w:val="015E11C2"/>
    <w:rsid w:val="020F48EF"/>
    <w:rsid w:val="02417756"/>
    <w:rsid w:val="02AB476E"/>
    <w:rsid w:val="02E40AD0"/>
    <w:rsid w:val="02F3137F"/>
    <w:rsid w:val="03030388"/>
    <w:rsid w:val="033A4D39"/>
    <w:rsid w:val="034644C7"/>
    <w:rsid w:val="03F262A7"/>
    <w:rsid w:val="03FD1856"/>
    <w:rsid w:val="04196F12"/>
    <w:rsid w:val="04435A9E"/>
    <w:rsid w:val="04950991"/>
    <w:rsid w:val="04FA47D6"/>
    <w:rsid w:val="054B7EFA"/>
    <w:rsid w:val="054E6434"/>
    <w:rsid w:val="05831998"/>
    <w:rsid w:val="060A409E"/>
    <w:rsid w:val="0610015A"/>
    <w:rsid w:val="06331B3C"/>
    <w:rsid w:val="06605FED"/>
    <w:rsid w:val="066C6455"/>
    <w:rsid w:val="06930C07"/>
    <w:rsid w:val="06CE1059"/>
    <w:rsid w:val="07001921"/>
    <w:rsid w:val="072859C3"/>
    <w:rsid w:val="07692EB6"/>
    <w:rsid w:val="07853686"/>
    <w:rsid w:val="079A3378"/>
    <w:rsid w:val="07B45D81"/>
    <w:rsid w:val="07C26F1E"/>
    <w:rsid w:val="07C52B3D"/>
    <w:rsid w:val="07D6576F"/>
    <w:rsid w:val="07F1682B"/>
    <w:rsid w:val="08064FC2"/>
    <w:rsid w:val="080D6F41"/>
    <w:rsid w:val="08A87A0E"/>
    <w:rsid w:val="08BE4307"/>
    <w:rsid w:val="08D300AE"/>
    <w:rsid w:val="09277EEB"/>
    <w:rsid w:val="096506FA"/>
    <w:rsid w:val="096B558A"/>
    <w:rsid w:val="0997730F"/>
    <w:rsid w:val="09B80512"/>
    <w:rsid w:val="0A01440A"/>
    <w:rsid w:val="0A513B0D"/>
    <w:rsid w:val="0A5478A3"/>
    <w:rsid w:val="0A7B7656"/>
    <w:rsid w:val="0A983E05"/>
    <w:rsid w:val="0AB822A5"/>
    <w:rsid w:val="0ADB7508"/>
    <w:rsid w:val="0AF45FCF"/>
    <w:rsid w:val="0B2749F3"/>
    <w:rsid w:val="0B2F5153"/>
    <w:rsid w:val="0B3A7B24"/>
    <w:rsid w:val="0CCF6CA3"/>
    <w:rsid w:val="0D3600BA"/>
    <w:rsid w:val="0D6C5F44"/>
    <w:rsid w:val="0DA01A87"/>
    <w:rsid w:val="0DD32259"/>
    <w:rsid w:val="0E73282A"/>
    <w:rsid w:val="0E7766AB"/>
    <w:rsid w:val="0EA376AD"/>
    <w:rsid w:val="0ED92CE9"/>
    <w:rsid w:val="0EF43DB9"/>
    <w:rsid w:val="0F850895"/>
    <w:rsid w:val="0FAD1DC8"/>
    <w:rsid w:val="101F51B1"/>
    <w:rsid w:val="102F133E"/>
    <w:rsid w:val="104615A6"/>
    <w:rsid w:val="10510955"/>
    <w:rsid w:val="10987645"/>
    <w:rsid w:val="10B272CB"/>
    <w:rsid w:val="10ED247D"/>
    <w:rsid w:val="10FE470B"/>
    <w:rsid w:val="110764BF"/>
    <w:rsid w:val="113A6DA1"/>
    <w:rsid w:val="113D243D"/>
    <w:rsid w:val="114758B1"/>
    <w:rsid w:val="11921C3C"/>
    <w:rsid w:val="119A5652"/>
    <w:rsid w:val="11BA7B51"/>
    <w:rsid w:val="11BE13C3"/>
    <w:rsid w:val="11D770EC"/>
    <w:rsid w:val="120F1E2C"/>
    <w:rsid w:val="124E3A24"/>
    <w:rsid w:val="12540566"/>
    <w:rsid w:val="12605633"/>
    <w:rsid w:val="12946645"/>
    <w:rsid w:val="12D3200B"/>
    <w:rsid w:val="13495D69"/>
    <w:rsid w:val="13AB6DD5"/>
    <w:rsid w:val="13B7767A"/>
    <w:rsid w:val="13B9670D"/>
    <w:rsid w:val="13C94B08"/>
    <w:rsid w:val="13DE4767"/>
    <w:rsid w:val="14436D9F"/>
    <w:rsid w:val="14484DCB"/>
    <w:rsid w:val="14852776"/>
    <w:rsid w:val="15140BCE"/>
    <w:rsid w:val="1584793E"/>
    <w:rsid w:val="15874EAA"/>
    <w:rsid w:val="15C47445"/>
    <w:rsid w:val="15DF45C9"/>
    <w:rsid w:val="15E41B70"/>
    <w:rsid w:val="161B1EB6"/>
    <w:rsid w:val="16440A35"/>
    <w:rsid w:val="16577530"/>
    <w:rsid w:val="167255CF"/>
    <w:rsid w:val="16840173"/>
    <w:rsid w:val="16921E3D"/>
    <w:rsid w:val="16FB6F37"/>
    <w:rsid w:val="173575D5"/>
    <w:rsid w:val="17825A05"/>
    <w:rsid w:val="17A26163"/>
    <w:rsid w:val="17D31FDC"/>
    <w:rsid w:val="17D76C2B"/>
    <w:rsid w:val="17DD2084"/>
    <w:rsid w:val="17F8769D"/>
    <w:rsid w:val="18041AB4"/>
    <w:rsid w:val="1812072F"/>
    <w:rsid w:val="182B2F3F"/>
    <w:rsid w:val="18FE2618"/>
    <w:rsid w:val="190F268E"/>
    <w:rsid w:val="19287585"/>
    <w:rsid w:val="19610BFF"/>
    <w:rsid w:val="19953307"/>
    <w:rsid w:val="19A07D04"/>
    <w:rsid w:val="1AAF4AC2"/>
    <w:rsid w:val="1AB13D5A"/>
    <w:rsid w:val="1B2C6F2C"/>
    <w:rsid w:val="1B365748"/>
    <w:rsid w:val="1B4C41EC"/>
    <w:rsid w:val="1B5D5F33"/>
    <w:rsid w:val="1B9B57CD"/>
    <w:rsid w:val="1BA24967"/>
    <w:rsid w:val="1BAF6A57"/>
    <w:rsid w:val="1BC23B97"/>
    <w:rsid w:val="1BCE5D96"/>
    <w:rsid w:val="1BDE2098"/>
    <w:rsid w:val="1BE069CA"/>
    <w:rsid w:val="1BFB2D9C"/>
    <w:rsid w:val="1C465E86"/>
    <w:rsid w:val="1C470F75"/>
    <w:rsid w:val="1C726314"/>
    <w:rsid w:val="1C8B0511"/>
    <w:rsid w:val="1CDB3C40"/>
    <w:rsid w:val="1CE252F3"/>
    <w:rsid w:val="1D0662A6"/>
    <w:rsid w:val="1D104FDC"/>
    <w:rsid w:val="1D117096"/>
    <w:rsid w:val="1D1B764B"/>
    <w:rsid w:val="1DE516B8"/>
    <w:rsid w:val="1E047274"/>
    <w:rsid w:val="1E266DB9"/>
    <w:rsid w:val="1E2F7887"/>
    <w:rsid w:val="1E433C85"/>
    <w:rsid w:val="1E5F64C8"/>
    <w:rsid w:val="1EAB2B1F"/>
    <w:rsid w:val="1ED877DF"/>
    <w:rsid w:val="1F0B3DFE"/>
    <w:rsid w:val="1F5522A7"/>
    <w:rsid w:val="1F9B39A9"/>
    <w:rsid w:val="1FD45CE1"/>
    <w:rsid w:val="1FF41399"/>
    <w:rsid w:val="208244E5"/>
    <w:rsid w:val="20F111F7"/>
    <w:rsid w:val="20F91BA5"/>
    <w:rsid w:val="212E191A"/>
    <w:rsid w:val="21433609"/>
    <w:rsid w:val="214D162F"/>
    <w:rsid w:val="21DE0D16"/>
    <w:rsid w:val="22171129"/>
    <w:rsid w:val="22245E0F"/>
    <w:rsid w:val="222D0D62"/>
    <w:rsid w:val="22551E62"/>
    <w:rsid w:val="227D729C"/>
    <w:rsid w:val="2350568B"/>
    <w:rsid w:val="235E629F"/>
    <w:rsid w:val="237F35E5"/>
    <w:rsid w:val="23A50D24"/>
    <w:rsid w:val="23E44373"/>
    <w:rsid w:val="23F947F3"/>
    <w:rsid w:val="242806AA"/>
    <w:rsid w:val="242C6FD0"/>
    <w:rsid w:val="24392A65"/>
    <w:rsid w:val="24401181"/>
    <w:rsid w:val="2467066D"/>
    <w:rsid w:val="24D6490F"/>
    <w:rsid w:val="24E91956"/>
    <w:rsid w:val="252E26F1"/>
    <w:rsid w:val="25376BE3"/>
    <w:rsid w:val="255C100E"/>
    <w:rsid w:val="25C3267A"/>
    <w:rsid w:val="25D568B4"/>
    <w:rsid w:val="25EF5F74"/>
    <w:rsid w:val="25F33B9E"/>
    <w:rsid w:val="260C731E"/>
    <w:rsid w:val="260E5AEA"/>
    <w:rsid w:val="26103F21"/>
    <w:rsid w:val="27294111"/>
    <w:rsid w:val="272C04B1"/>
    <w:rsid w:val="27914154"/>
    <w:rsid w:val="27C604DA"/>
    <w:rsid w:val="27DC6AC2"/>
    <w:rsid w:val="27EA63D1"/>
    <w:rsid w:val="281E2EB9"/>
    <w:rsid w:val="28682C0C"/>
    <w:rsid w:val="287A5D0E"/>
    <w:rsid w:val="28B05EE9"/>
    <w:rsid w:val="28D30187"/>
    <w:rsid w:val="28D53151"/>
    <w:rsid w:val="28E571A8"/>
    <w:rsid w:val="29216629"/>
    <w:rsid w:val="294C4E21"/>
    <w:rsid w:val="296D4B02"/>
    <w:rsid w:val="29D46607"/>
    <w:rsid w:val="29E57D41"/>
    <w:rsid w:val="2A103412"/>
    <w:rsid w:val="2A1E1418"/>
    <w:rsid w:val="2A770C99"/>
    <w:rsid w:val="2A7A5040"/>
    <w:rsid w:val="2A9710B9"/>
    <w:rsid w:val="2AF67748"/>
    <w:rsid w:val="2B744C6B"/>
    <w:rsid w:val="2BBB2833"/>
    <w:rsid w:val="2BC42334"/>
    <w:rsid w:val="2C1011CD"/>
    <w:rsid w:val="2C374208"/>
    <w:rsid w:val="2C40390A"/>
    <w:rsid w:val="2C4C703B"/>
    <w:rsid w:val="2C5064CD"/>
    <w:rsid w:val="2C943852"/>
    <w:rsid w:val="2CE37AF2"/>
    <w:rsid w:val="2D241337"/>
    <w:rsid w:val="2D753D30"/>
    <w:rsid w:val="2DB6436A"/>
    <w:rsid w:val="2DC02129"/>
    <w:rsid w:val="2DCF50DE"/>
    <w:rsid w:val="2DD51336"/>
    <w:rsid w:val="2E010168"/>
    <w:rsid w:val="2E016F46"/>
    <w:rsid w:val="2E6A7D66"/>
    <w:rsid w:val="2EA605F1"/>
    <w:rsid w:val="2EA972CC"/>
    <w:rsid w:val="2EC31B75"/>
    <w:rsid w:val="2FE72027"/>
    <w:rsid w:val="306A1371"/>
    <w:rsid w:val="30BD6A03"/>
    <w:rsid w:val="3127549C"/>
    <w:rsid w:val="31533557"/>
    <w:rsid w:val="31B41A9A"/>
    <w:rsid w:val="31C74937"/>
    <w:rsid w:val="31F02E84"/>
    <w:rsid w:val="32062205"/>
    <w:rsid w:val="322068C9"/>
    <w:rsid w:val="326170B4"/>
    <w:rsid w:val="328F3B54"/>
    <w:rsid w:val="329A11A0"/>
    <w:rsid w:val="32E33E0A"/>
    <w:rsid w:val="32FF7EB7"/>
    <w:rsid w:val="33424079"/>
    <w:rsid w:val="33A6484B"/>
    <w:rsid w:val="34126396"/>
    <w:rsid w:val="343F1DC8"/>
    <w:rsid w:val="345352E6"/>
    <w:rsid w:val="345E593B"/>
    <w:rsid w:val="34605A84"/>
    <w:rsid w:val="346C230B"/>
    <w:rsid w:val="34B07608"/>
    <w:rsid w:val="35034F52"/>
    <w:rsid w:val="352C602C"/>
    <w:rsid w:val="35353A80"/>
    <w:rsid w:val="35A430D6"/>
    <w:rsid w:val="35B16527"/>
    <w:rsid w:val="35B51481"/>
    <w:rsid w:val="35D91AC7"/>
    <w:rsid w:val="35F2150E"/>
    <w:rsid w:val="36B76A85"/>
    <w:rsid w:val="36B82ADE"/>
    <w:rsid w:val="36D84DBF"/>
    <w:rsid w:val="37061328"/>
    <w:rsid w:val="372574DE"/>
    <w:rsid w:val="375D39E9"/>
    <w:rsid w:val="376879F0"/>
    <w:rsid w:val="378F057D"/>
    <w:rsid w:val="37CD5081"/>
    <w:rsid w:val="37EC4B4C"/>
    <w:rsid w:val="3858774F"/>
    <w:rsid w:val="387B665C"/>
    <w:rsid w:val="39441CEC"/>
    <w:rsid w:val="39690814"/>
    <w:rsid w:val="39AE279C"/>
    <w:rsid w:val="39B76C90"/>
    <w:rsid w:val="39C37A55"/>
    <w:rsid w:val="39C53B44"/>
    <w:rsid w:val="39EF39C3"/>
    <w:rsid w:val="3A021304"/>
    <w:rsid w:val="3A180AE3"/>
    <w:rsid w:val="3A23092B"/>
    <w:rsid w:val="3A35598B"/>
    <w:rsid w:val="3A552526"/>
    <w:rsid w:val="3A595F4B"/>
    <w:rsid w:val="3A813FE5"/>
    <w:rsid w:val="3A9D0C11"/>
    <w:rsid w:val="3AA750A1"/>
    <w:rsid w:val="3B257305"/>
    <w:rsid w:val="3B3F505E"/>
    <w:rsid w:val="3B4C73CF"/>
    <w:rsid w:val="3BC55932"/>
    <w:rsid w:val="3BFA0F67"/>
    <w:rsid w:val="3C2D51C9"/>
    <w:rsid w:val="3C70703D"/>
    <w:rsid w:val="3C7826C2"/>
    <w:rsid w:val="3C8F2051"/>
    <w:rsid w:val="3C920B4D"/>
    <w:rsid w:val="3CA07403"/>
    <w:rsid w:val="3CD87A38"/>
    <w:rsid w:val="3D763612"/>
    <w:rsid w:val="3D83215E"/>
    <w:rsid w:val="3DF76443"/>
    <w:rsid w:val="3DFF3A1A"/>
    <w:rsid w:val="3E5B1D19"/>
    <w:rsid w:val="3E7F67F1"/>
    <w:rsid w:val="3EA946F7"/>
    <w:rsid w:val="3ED615CF"/>
    <w:rsid w:val="3EEC674A"/>
    <w:rsid w:val="3F550A81"/>
    <w:rsid w:val="3F8907F6"/>
    <w:rsid w:val="3F8B7D7F"/>
    <w:rsid w:val="3FDA33E1"/>
    <w:rsid w:val="3FF20B0E"/>
    <w:rsid w:val="402A08D4"/>
    <w:rsid w:val="404E7C10"/>
    <w:rsid w:val="40670EF7"/>
    <w:rsid w:val="40682937"/>
    <w:rsid w:val="40974D22"/>
    <w:rsid w:val="40AB1A12"/>
    <w:rsid w:val="40EF3A4A"/>
    <w:rsid w:val="41012626"/>
    <w:rsid w:val="412C68FD"/>
    <w:rsid w:val="415249F8"/>
    <w:rsid w:val="417575F2"/>
    <w:rsid w:val="41BD7655"/>
    <w:rsid w:val="41CC7DB7"/>
    <w:rsid w:val="423179A5"/>
    <w:rsid w:val="42771BBE"/>
    <w:rsid w:val="42C36006"/>
    <w:rsid w:val="42CD30A6"/>
    <w:rsid w:val="42F60353"/>
    <w:rsid w:val="438556A7"/>
    <w:rsid w:val="43A6228A"/>
    <w:rsid w:val="43F76AAE"/>
    <w:rsid w:val="446369C0"/>
    <w:rsid w:val="449B7167"/>
    <w:rsid w:val="44CC2C77"/>
    <w:rsid w:val="44DE0A61"/>
    <w:rsid w:val="4524487F"/>
    <w:rsid w:val="45C5422D"/>
    <w:rsid w:val="45CC078F"/>
    <w:rsid w:val="466B6F06"/>
    <w:rsid w:val="46860155"/>
    <w:rsid w:val="473C7E58"/>
    <w:rsid w:val="476049FD"/>
    <w:rsid w:val="47802A85"/>
    <w:rsid w:val="48140BCB"/>
    <w:rsid w:val="48487C68"/>
    <w:rsid w:val="487C60FD"/>
    <w:rsid w:val="489E098C"/>
    <w:rsid w:val="48B61CC6"/>
    <w:rsid w:val="48E45B65"/>
    <w:rsid w:val="48E87129"/>
    <w:rsid w:val="492A5B50"/>
    <w:rsid w:val="49321AAF"/>
    <w:rsid w:val="493A681C"/>
    <w:rsid w:val="493C2E02"/>
    <w:rsid w:val="494C0FE7"/>
    <w:rsid w:val="494D579F"/>
    <w:rsid w:val="4965762F"/>
    <w:rsid w:val="498C1FB1"/>
    <w:rsid w:val="4A255416"/>
    <w:rsid w:val="4A295537"/>
    <w:rsid w:val="4A937164"/>
    <w:rsid w:val="4A9750EA"/>
    <w:rsid w:val="4AA40703"/>
    <w:rsid w:val="4AB37ED6"/>
    <w:rsid w:val="4AB52EDF"/>
    <w:rsid w:val="4B1D70C8"/>
    <w:rsid w:val="4B690413"/>
    <w:rsid w:val="4B924FD0"/>
    <w:rsid w:val="4BB86F47"/>
    <w:rsid w:val="4BF60566"/>
    <w:rsid w:val="4C263A21"/>
    <w:rsid w:val="4C802F77"/>
    <w:rsid w:val="4C973694"/>
    <w:rsid w:val="4CCE54E6"/>
    <w:rsid w:val="4D5015A1"/>
    <w:rsid w:val="4D5D4C67"/>
    <w:rsid w:val="4D9A2B3C"/>
    <w:rsid w:val="4DD04BB2"/>
    <w:rsid w:val="4E4D03ED"/>
    <w:rsid w:val="4EDD4EDE"/>
    <w:rsid w:val="4EE45C33"/>
    <w:rsid w:val="4EED4C04"/>
    <w:rsid w:val="4F323CFA"/>
    <w:rsid w:val="4FB777D7"/>
    <w:rsid w:val="4FB84693"/>
    <w:rsid w:val="4FC908A2"/>
    <w:rsid w:val="50081263"/>
    <w:rsid w:val="500C5A60"/>
    <w:rsid w:val="50461117"/>
    <w:rsid w:val="509A5F14"/>
    <w:rsid w:val="50A50E08"/>
    <w:rsid w:val="50C33072"/>
    <w:rsid w:val="51337FC8"/>
    <w:rsid w:val="51844BB9"/>
    <w:rsid w:val="51954E8A"/>
    <w:rsid w:val="519B5496"/>
    <w:rsid w:val="51C724FA"/>
    <w:rsid w:val="51C81042"/>
    <w:rsid w:val="523A6ACE"/>
    <w:rsid w:val="523D68E9"/>
    <w:rsid w:val="52667895"/>
    <w:rsid w:val="526C0E29"/>
    <w:rsid w:val="52B20439"/>
    <w:rsid w:val="52B95D52"/>
    <w:rsid w:val="52FA6A5A"/>
    <w:rsid w:val="53080EFD"/>
    <w:rsid w:val="5341023D"/>
    <w:rsid w:val="53735224"/>
    <w:rsid w:val="537D24F6"/>
    <w:rsid w:val="53A260CE"/>
    <w:rsid w:val="54194509"/>
    <w:rsid w:val="542B039A"/>
    <w:rsid w:val="542C519E"/>
    <w:rsid w:val="543C05E0"/>
    <w:rsid w:val="54B9651A"/>
    <w:rsid w:val="54F9389F"/>
    <w:rsid w:val="55222910"/>
    <w:rsid w:val="5556068C"/>
    <w:rsid w:val="55643FAD"/>
    <w:rsid w:val="559032FC"/>
    <w:rsid w:val="55DF3090"/>
    <w:rsid w:val="55E27377"/>
    <w:rsid w:val="55EF2193"/>
    <w:rsid w:val="560165A7"/>
    <w:rsid w:val="560B3FD6"/>
    <w:rsid w:val="56195379"/>
    <w:rsid w:val="563121A3"/>
    <w:rsid w:val="563A5292"/>
    <w:rsid w:val="56404B11"/>
    <w:rsid w:val="5646747A"/>
    <w:rsid w:val="565C1C2A"/>
    <w:rsid w:val="567B0F8C"/>
    <w:rsid w:val="56D476A1"/>
    <w:rsid w:val="574328BF"/>
    <w:rsid w:val="57E31286"/>
    <w:rsid w:val="584667E1"/>
    <w:rsid w:val="5884596F"/>
    <w:rsid w:val="58E1781D"/>
    <w:rsid w:val="592806F8"/>
    <w:rsid w:val="597162CE"/>
    <w:rsid w:val="598336AE"/>
    <w:rsid w:val="599B3F0F"/>
    <w:rsid w:val="59A2047A"/>
    <w:rsid w:val="59D52FC3"/>
    <w:rsid w:val="5A41650D"/>
    <w:rsid w:val="5A7852B1"/>
    <w:rsid w:val="5A9A631A"/>
    <w:rsid w:val="5AA97C90"/>
    <w:rsid w:val="5AE4319D"/>
    <w:rsid w:val="5AF35808"/>
    <w:rsid w:val="5B2B6EDA"/>
    <w:rsid w:val="5B563B21"/>
    <w:rsid w:val="5BAE0CE2"/>
    <w:rsid w:val="5C7E5C8C"/>
    <w:rsid w:val="5CE90207"/>
    <w:rsid w:val="5CEA4265"/>
    <w:rsid w:val="5D11456B"/>
    <w:rsid w:val="5D2B5865"/>
    <w:rsid w:val="5DAA0B36"/>
    <w:rsid w:val="5E3B759B"/>
    <w:rsid w:val="5E501568"/>
    <w:rsid w:val="5E50611E"/>
    <w:rsid w:val="5EB138AE"/>
    <w:rsid w:val="5EB53035"/>
    <w:rsid w:val="5ED23CC7"/>
    <w:rsid w:val="5EE6353D"/>
    <w:rsid w:val="5EE7053E"/>
    <w:rsid w:val="5F0310B7"/>
    <w:rsid w:val="5F0C287E"/>
    <w:rsid w:val="5F125F0A"/>
    <w:rsid w:val="5F1655AE"/>
    <w:rsid w:val="5F5952B0"/>
    <w:rsid w:val="5FE12DAA"/>
    <w:rsid w:val="602E28A2"/>
    <w:rsid w:val="603B2F0F"/>
    <w:rsid w:val="60C0423D"/>
    <w:rsid w:val="60E05058"/>
    <w:rsid w:val="60E7450D"/>
    <w:rsid w:val="611F69AA"/>
    <w:rsid w:val="613528A2"/>
    <w:rsid w:val="61532B00"/>
    <w:rsid w:val="6166406C"/>
    <w:rsid w:val="617C2A02"/>
    <w:rsid w:val="618F3AF2"/>
    <w:rsid w:val="61DA68DC"/>
    <w:rsid w:val="61E142B8"/>
    <w:rsid w:val="61FC1FED"/>
    <w:rsid w:val="622708C6"/>
    <w:rsid w:val="62460A47"/>
    <w:rsid w:val="62826F4E"/>
    <w:rsid w:val="63554C8E"/>
    <w:rsid w:val="63663CA0"/>
    <w:rsid w:val="63890B77"/>
    <w:rsid w:val="63970830"/>
    <w:rsid w:val="639D1EC4"/>
    <w:rsid w:val="63A13700"/>
    <w:rsid w:val="63D100AF"/>
    <w:rsid w:val="63DA03E2"/>
    <w:rsid w:val="64541B77"/>
    <w:rsid w:val="64667487"/>
    <w:rsid w:val="647664A0"/>
    <w:rsid w:val="64863581"/>
    <w:rsid w:val="64E9282A"/>
    <w:rsid w:val="653B039A"/>
    <w:rsid w:val="65C63D9B"/>
    <w:rsid w:val="65E27827"/>
    <w:rsid w:val="65F16B35"/>
    <w:rsid w:val="66103AAA"/>
    <w:rsid w:val="667640C4"/>
    <w:rsid w:val="66DC24A5"/>
    <w:rsid w:val="66DF3B52"/>
    <w:rsid w:val="672963E0"/>
    <w:rsid w:val="67353DEA"/>
    <w:rsid w:val="67363836"/>
    <w:rsid w:val="675A4556"/>
    <w:rsid w:val="675C47D1"/>
    <w:rsid w:val="675E5725"/>
    <w:rsid w:val="679271B5"/>
    <w:rsid w:val="67936D67"/>
    <w:rsid w:val="67A01A11"/>
    <w:rsid w:val="67AE1BA6"/>
    <w:rsid w:val="67CA5556"/>
    <w:rsid w:val="68185945"/>
    <w:rsid w:val="68191A65"/>
    <w:rsid w:val="681D37A3"/>
    <w:rsid w:val="68481A97"/>
    <w:rsid w:val="68F60924"/>
    <w:rsid w:val="69572330"/>
    <w:rsid w:val="698C4C9E"/>
    <w:rsid w:val="69A04F93"/>
    <w:rsid w:val="69E719A0"/>
    <w:rsid w:val="6A5B0FA5"/>
    <w:rsid w:val="6A983C35"/>
    <w:rsid w:val="6AAC3F8C"/>
    <w:rsid w:val="6B4C2F45"/>
    <w:rsid w:val="6B547AE4"/>
    <w:rsid w:val="6B966680"/>
    <w:rsid w:val="6C00646D"/>
    <w:rsid w:val="6C026743"/>
    <w:rsid w:val="6C161AD0"/>
    <w:rsid w:val="6C326DBD"/>
    <w:rsid w:val="6D157AE9"/>
    <w:rsid w:val="6D2C2EC2"/>
    <w:rsid w:val="6D2E7D50"/>
    <w:rsid w:val="6D5944B2"/>
    <w:rsid w:val="6D6B10A9"/>
    <w:rsid w:val="6D9938C6"/>
    <w:rsid w:val="6DCD3CB6"/>
    <w:rsid w:val="6DD90E21"/>
    <w:rsid w:val="6DE0162F"/>
    <w:rsid w:val="6DFA3383"/>
    <w:rsid w:val="6E062488"/>
    <w:rsid w:val="6E1A49C5"/>
    <w:rsid w:val="6E254EA7"/>
    <w:rsid w:val="6E4B2AEB"/>
    <w:rsid w:val="6EBA3C47"/>
    <w:rsid w:val="6EBB30B7"/>
    <w:rsid w:val="6F191C5C"/>
    <w:rsid w:val="6F44586C"/>
    <w:rsid w:val="6F571B7E"/>
    <w:rsid w:val="6F786BDA"/>
    <w:rsid w:val="6FD6294A"/>
    <w:rsid w:val="70113542"/>
    <w:rsid w:val="70851CBD"/>
    <w:rsid w:val="709573C6"/>
    <w:rsid w:val="709E2354"/>
    <w:rsid w:val="70E70772"/>
    <w:rsid w:val="716A0EC8"/>
    <w:rsid w:val="717D4A37"/>
    <w:rsid w:val="71900429"/>
    <w:rsid w:val="719027A5"/>
    <w:rsid w:val="71C9496E"/>
    <w:rsid w:val="71EE76F7"/>
    <w:rsid w:val="725F0CAE"/>
    <w:rsid w:val="72666185"/>
    <w:rsid w:val="726C1506"/>
    <w:rsid w:val="72981180"/>
    <w:rsid w:val="729C09F9"/>
    <w:rsid w:val="73001A15"/>
    <w:rsid w:val="73155C46"/>
    <w:rsid w:val="7366194C"/>
    <w:rsid w:val="74062834"/>
    <w:rsid w:val="740D552E"/>
    <w:rsid w:val="74136087"/>
    <w:rsid w:val="743B625A"/>
    <w:rsid w:val="7443680B"/>
    <w:rsid w:val="745500EB"/>
    <w:rsid w:val="74726249"/>
    <w:rsid w:val="7480197C"/>
    <w:rsid w:val="74A805D6"/>
    <w:rsid w:val="74A870B6"/>
    <w:rsid w:val="74EC6D1E"/>
    <w:rsid w:val="74F344EC"/>
    <w:rsid w:val="74F479F9"/>
    <w:rsid w:val="74FA0674"/>
    <w:rsid w:val="75385547"/>
    <w:rsid w:val="754F1383"/>
    <w:rsid w:val="75984731"/>
    <w:rsid w:val="75B75F4A"/>
    <w:rsid w:val="75DC198B"/>
    <w:rsid w:val="75E0679A"/>
    <w:rsid w:val="75E25A77"/>
    <w:rsid w:val="762A07F6"/>
    <w:rsid w:val="76496A51"/>
    <w:rsid w:val="764A2B58"/>
    <w:rsid w:val="76661B90"/>
    <w:rsid w:val="771F5D7B"/>
    <w:rsid w:val="77307E87"/>
    <w:rsid w:val="77731DCC"/>
    <w:rsid w:val="77B301A9"/>
    <w:rsid w:val="77BE7190"/>
    <w:rsid w:val="77D83AB0"/>
    <w:rsid w:val="77DA3CAF"/>
    <w:rsid w:val="77ED043F"/>
    <w:rsid w:val="77F43C8B"/>
    <w:rsid w:val="77FA47E4"/>
    <w:rsid w:val="78F759E0"/>
    <w:rsid w:val="78FB1E09"/>
    <w:rsid w:val="79801F5D"/>
    <w:rsid w:val="79802062"/>
    <w:rsid w:val="79BB4445"/>
    <w:rsid w:val="79CB33E9"/>
    <w:rsid w:val="79CC1086"/>
    <w:rsid w:val="79EF28EF"/>
    <w:rsid w:val="7A0E66B3"/>
    <w:rsid w:val="7A300713"/>
    <w:rsid w:val="7A3B7268"/>
    <w:rsid w:val="7A4444F5"/>
    <w:rsid w:val="7AB968E7"/>
    <w:rsid w:val="7AC65BFC"/>
    <w:rsid w:val="7AEA70B6"/>
    <w:rsid w:val="7AF921D7"/>
    <w:rsid w:val="7B0735D8"/>
    <w:rsid w:val="7B0F7EA2"/>
    <w:rsid w:val="7B1012D5"/>
    <w:rsid w:val="7B2F3DDD"/>
    <w:rsid w:val="7B4B41CD"/>
    <w:rsid w:val="7B5A24C6"/>
    <w:rsid w:val="7B6F7E14"/>
    <w:rsid w:val="7BB04F65"/>
    <w:rsid w:val="7C326E76"/>
    <w:rsid w:val="7C584135"/>
    <w:rsid w:val="7C651F72"/>
    <w:rsid w:val="7C6F2735"/>
    <w:rsid w:val="7CA41B85"/>
    <w:rsid w:val="7CDB4C9F"/>
    <w:rsid w:val="7CED3660"/>
    <w:rsid w:val="7D016D57"/>
    <w:rsid w:val="7D2B624D"/>
    <w:rsid w:val="7DC33AA0"/>
    <w:rsid w:val="7E401480"/>
    <w:rsid w:val="7EA630E7"/>
    <w:rsid w:val="7EB61058"/>
    <w:rsid w:val="7ED004CF"/>
    <w:rsid w:val="7ED53BE9"/>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16549</Words>
  <Characters>16993</Characters>
  <Lines>112</Lines>
  <Paragraphs>31</Paragraphs>
  <TotalTime>86</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马宁</cp:lastModifiedBy>
  <cp:lastPrinted>2021-07-21T07:06:00Z</cp:lastPrinted>
  <dcterms:modified xsi:type="dcterms:W3CDTF">2025-09-12T09:49:54Z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A3449F3752944ACCA8E88C2CC6D2BC68</vt:lpwstr>
  </property>
</Properties>
</file>