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华夏理财悦安封闭式理财产品</w:t>
      </w:r>
      <w:r>
        <w:rPr>
          <w:rFonts w:hint="eastAsia" w:eastAsia="黑体"/>
          <w:bCs/>
          <w:sz w:val="36"/>
          <w:szCs w:val="36"/>
          <w:lang w:val="en-US" w:eastAsia="zh-CN"/>
        </w:rPr>
        <w:t>251号</w:t>
      </w:r>
      <w:r>
        <w:rPr>
          <w:rFonts w:hint="eastAsia" w:eastAsia="黑体"/>
          <w:bCs/>
          <w:sz w:val="36"/>
          <w:szCs w:val="36"/>
        </w:rPr>
        <w:t>说明书</w:t>
      </w:r>
    </w:p>
    <w:p>
      <w:pPr>
        <w:pStyle w:val="3"/>
        <w:widowControl/>
        <w:spacing w:line="240" w:lineRule="auto"/>
        <w:ind w:firstLine="0"/>
        <w:jc w:val="center"/>
        <w:rPr>
          <w:rFonts w:eastAsia="黑体"/>
          <w:bCs/>
          <w:sz w:val="36"/>
          <w:szCs w:val="36"/>
        </w:rPr>
      </w:pP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拨打招商银行股份有限公司全国统一投资者服务热线（95555转7）、华夏理财客户服务热线4001795577或其他代理销售机构客户服务热线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bookmarkStart w:id="7" w:name="_GoBack"/>
      <w:r>
        <w:rPr>
          <w:rFonts w:hint="eastAsia" w:ascii="Times New Roman" w:eastAsia="黑体" w:cs="Times New Roman"/>
          <w:b/>
          <w:color w:val="auto"/>
        </w:rPr>
        <w:t>一、</w:t>
      </w:r>
      <w:r>
        <w:rPr>
          <w:rFonts w:ascii="Times New Roman" w:eastAsia="黑体" w:cs="Times New Roman"/>
          <w:b/>
          <w:color w:val="auto"/>
        </w:rPr>
        <w:t>产品概述</w:t>
      </w:r>
    </w:p>
    <w:bookmarkEnd w:id="7"/>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251号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w:t>
            </w:r>
            <w:r>
              <w:rPr>
                <w:rFonts w:hint="eastAsia" w:ascii="仿宋" w:hAnsi="仿宋" w:eastAsia="仿宋"/>
                <w:b/>
                <w:bCs/>
                <w:szCs w:val="21"/>
                <w:lang w:eastAsia="zh-CN"/>
              </w:rPr>
              <w:t>华夏理财悦安封闭式2</w:t>
            </w:r>
            <w:r>
              <w:rPr>
                <w:rFonts w:hint="eastAsia" w:ascii="仿宋" w:hAnsi="仿宋" w:eastAsia="仿宋"/>
                <w:b/>
                <w:bCs/>
                <w:szCs w:val="21"/>
                <w:lang w:val="en-US" w:eastAsia="zh-CN"/>
              </w:rPr>
              <w:t>51</w:t>
            </w:r>
            <w:r>
              <w:rPr>
                <w:rFonts w:hint="eastAsia" w:ascii="仿宋" w:hAnsi="仿宋" w:eastAsia="仿宋"/>
                <w:b/>
                <w:bCs/>
                <w:szCs w:val="21"/>
                <w:lang w:eastAsia="zh-CN"/>
              </w:rPr>
              <w:t>号</w:t>
            </w:r>
            <w:r>
              <w:rPr>
                <w:rFonts w:hint="eastAsia" w:ascii="仿宋" w:hAnsi="仿宋" w:eastAsia="仿宋"/>
                <w:b/>
                <w:bCs/>
                <w:szCs w:val="21"/>
                <w:lang w:val="en-US" w:eastAsia="zh-CN"/>
              </w:rPr>
              <w:t>271</w:t>
            </w:r>
            <w:r>
              <w:rPr>
                <w:rFonts w:hint="eastAsia" w:ascii="仿宋" w:hAnsi="仿宋" w:eastAsia="仿宋"/>
                <w:b/>
                <w:bCs/>
                <w:szCs w:val="21"/>
                <w:lang w:eastAsia="zh-CN"/>
              </w:rPr>
              <w:t>天（存款存单策略）</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eastAsia="zh-CN"/>
              </w:rPr>
              <w:t>25111684（招商银行销售代码：HX012120）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Z7003925000797</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lang w:eastAsia="zh-CN"/>
              </w:rPr>
              <w:t>、</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lang w:eastAsia="zh-CN"/>
              </w:rPr>
              <w:t>【</w:t>
            </w:r>
            <w:r>
              <w:rPr>
                <w:rFonts w:hint="eastAsia" w:ascii="仿宋" w:hAnsi="仿宋" w:eastAsia="仿宋"/>
                <w:bCs/>
                <w:szCs w:val="21"/>
                <w:u w:val="single"/>
              </w:rPr>
              <w:t>CR1（谨慎型）、CR2（稳健型）、CR3（平衡型）、CR4（进取型）、CR5（激进型）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1.80%-2.10%</w:t>
            </w:r>
            <w:r>
              <w:rPr>
                <w:rFonts w:hint="eastAsia" w:ascii="仿宋" w:hAnsi="仿宋" w:eastAsia="仿宋" w:cs="Cambria"/>
                <w:bCs/>
                <w:szCs w:val="21"/>
              </w:rPr>
              <w:t>（年化）。以产品主要投资于存款类资产为例，参考当前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_Hlk290294163"/>
            <w:bookmarkStart w:id="3" w:name="OLE_LINK2" w:colFirst="1" w:colLast="1"/>
            <w:bookmarkStart w:id="4"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271天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hint="eastAsia" w:ascii="仿宋" w:hAnsi="仿宋" w:eastAsia="仿宋"/>
                <w:b/>
                <w:bCs/>
                <w:szCs w:val="21"/>
                <w:lang w:val="en-US" w:eastAsia="zh-CN"/>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w:t>
            </w:r>
            <w:r>
              <w:rPr>
                <w:rFonts w:hint="eastAsia" w:ascii="仿宋" w:hAnsi="仿宋" w:eastAsia="仿宋"/>
                <w:b/>
                <w:bCs/>
                <w:szCs w:val="21"/>
                <w:lang w:val="en-US" w:eastAsia="zh-CN"/>
              </w:rPr>
              <w:t>3</w:t>
            </w:r>
            <w:r>
              <w:rPr>
                <w:rFonts w:hint="eastAsia" w:ascii="仿宋" w:hAnsi="仿宋" w:eastAsia="仿宋"/>
                <w:b/>
                <w:bCs/>
                <w:szCs w:val="21"/>
              </w:rPr>
              <w:t>%】</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15</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15</w:t>
            </w:r>
            <w:r>
              <w:rPr>
                <w:rFonts w:ascii="仿宋" w:hAnsi="仿宋" w:eastAsia="仿宋"/>
                <w:b/>
                <w:bCs/>
                <w:szCs w:val="21"/>
              </w:rPr>
              <w:t>%</w:t>
            </w:r>
            <w:r>
              <w:rPr>
                <w:rFonts w:hint="eastAsia" w:ascii="仿宋" w:hAnsi="仿宋" w:eastAsia="仿宋"/>
                <w:b/>
                <w:bCs/>
                <w:szCs w:val="21"/>
              </w:rPr>
              <w:t>】/当年天数。F为销售手续费；E为计算基数。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10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10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本</w:t>
            </w:r>
            <w:r>
              <w:rPr>
                <w:rFonts w:hint="eastAsia" w:ascii="仿宋" w:hAnsi="仿宋" w:eastAsia="仿宋"/>
                <w:b/>
                <w:bCs/>
                <w:szCs w:val="21"/>
                <w:lang w:val="en-US" w:eastAsia="zh-CN"/>
              </w:rPr>
              <w:t>理财</w:t>
            </w:r>
            <w:r>
              <w:rPr>
                <w:rFonts w:hint="eastAsia" w:ascii="仿宋" w:hAnsi="仿宋" w:eastAsia="仿宋"/>
                <w:b/>
                <w:bCs/>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szCs w:val="21"/>
                <w:lang w:val="en-US" w:eastAsia="zh-CN"/>
              </w:rPr>
              <w:t>50%</w:t>
            </w:r>
            <w:r>
              <w:rPr>
                <w:rFonts w:hint="eastAsia" w:ascii="仿宋" w:hAnsi="仿宋" w:eastAsia="仿宋"/>
                <w:b/>
                <w:bCs/>
                <w:szCs w:val="21"/>
              </w:rPr>
              <w:t>归投资人所有，</w:t>
            </w:r>
            <w:r>
              <w:rPr>
                <w:rFonts w:hint="eastAsia" w:ascii="仿宋" w:hAnsi="仿宋" w:eastAsia="仿宋"/>
                <w:b/>
                <w:bCs/>
                <w:szCs w:val="21"/>
                <w:lang w:val="en-US" w:eastAsia="zh-CN"/>
              </w:rPr>
              <w:t>50%</w:t>
            </w:r>
            <w:r>
              <w:rPr>
                <w:rFonts w:hint="eastAsia" w:ascii="仿宋" w:hAnsi="仿宋" w:eastAsia="仿宋"/>
                <w:b/>
                <w:bCs/>
                <w:szCs w:val="21"/>
              </w:rPr>
              <w:t>作为管理人的超额管理费。</w:t>
            </w:r>
          </w:p>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超额计提基准为</w:t>
            </w:r>
            <w:r>
              <w:rPr>
                <w:rFonts w:hint="eastAsia" w:ascii="仿宋" w:hAnsi="仿宋" w:eastAsia="仿宋"/>
                <w:b/>
                <w:bCs/>
                <w:szCs w:val="21"/>
                <w:lang w:val="en-US" w:eastAsia="zh-CN"/>
              </w:rPr>
              <w:t>2.10</w:t>
            </w:r>
            <w:r>
              <w:rPr>
                <w:rFonts w:hint="eastAsia" w:ascii="仿宋" w:hAnsi="仿宋" w:eastAsia="仿宋"/>
                <w:b/>
                <w:bCs/>
                <w:szCs w:val="21"/>
              </w:rPr>
              <w:t>%（年化）。</w:t>
            </w:r>
          </w:p>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计算规则详见</w:t>
            </w:r>
            <w:r>
              <w:rPr>
                <w:rFonts w:hint="eastAsia" w:ascii="仿宋" w:hAnsi="仿宋" w:eastAsia="仿宋"/>
                <w:b/>
                <w:bCs/>
                <w:szCs w:val="21"/>
                <w:lang w:eastAsia="zh-CN"/>
              </w:rPr>
              <w:t>“超额管理费”</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w:t>
            </w:r>
            <w:r>
              <w:rPr>
                <w:rFonts w:hint="eastAsia" w:ascii="仿宋" w:hAnsi="仿宋" w:eastAsia="仿宋" w:cs="Cambria"/>
                <w:b/>
                <w:bCs/>
                <w:szCs w:val="21"/>
                <w:lang w:val="en-US" w:eastAsia="zh-CN"/>
              </w:rPr>
              <w:t>理财</w:t>
            </w:r>
            <w:r>
              <w:rPr>
                <w:rFonts w:hint="eastAsia" w:ascii="仿宋" w:hAnsi="仿宋" w:eastAsia="仿宋" w:cs="Cambria"/>
                <w:b/>
                <w:bCs/>
                <w:szCs w:val="21"/>
              </w:rPr>
              <w:t>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w:t>
      </w:r>
      <w:r>
        <w:rPr>
          <w:rFonts w:hint="eastAsia" w:ascii="仿宋" w:hAnsi="仿宋" w:eastAsia="仿宋" w:cs="宋体"/>
          <w:color w:val="000000"/>
          <w:kern w:val="0"/>
          <w:sz w:val="24"/>
        </w:rPr>
        <w:t>同业存单</w:t>
      </w:r>
      <w:r>
        <w:rPr>
          <w:rFonts w:hint="eastAsia" w:ascii="仿宋" w:hAnsi="仿宋" w:eastAsia="仿宋" w:cs="仿宋"/>
        </w:rPr>
        <w:t>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numPr>
          <w:ilvl w:val="0"/>
          <w:numId w:val="1"/>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snapToGrid w:val="0"/>
        <w:spacing w:beforeLines="0" w:afterLines="0" w:line="276" w:lineRule="auto"/>
        <w:ind w:firstLine="0" w:firstLineChars="0"/>
        <w:contextualSpacing/>
        <w:jc w:val="both"/>
        <w:rPr>
          <w:rFonts w:hint="eastAsia" w:ascii="Times New Roman" w:eastAsia="黑体" w:cs="Times New Roman"/>
          <w:b/>
          <w:lang w:eastAsia="zh-CN"/>
        </w:rPr>
      </w:pPr>
      <w:r>
        <w:rPr>
          <w:rFonts w:hint="eastAsia" w:ascii="Times New Roman" w:eastAsia="黑体" w:cs="Times New Roman"/>
          <w:b/>
          <w:lang w:val="en-US" w:eastAsia="zh-CN"/>
        </w:rPr>
        <w:t xml:space="preserve">    </w:t>
      </w: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3"/>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投资于银行存款、同业存单等固定收益类资产</w:t>
      </w:r>
      <w:r>
        <w:rPr>
          <w:rFonts w:hint="eastAsia" w:ascii="Times New Roman" w:eastAsia="黑体" w:cs="Times New Roman"/>
          <w:b/>
        </w:rPr>
        <w:t>，因此可能面临如下特定风险：</w:t>
      </w:r>
    </w:p>
    <w:p>
      <w:pPr>
        <w:pStyle w:val="13"/>
        <w:numPr>
          <w:ilvl w:val="0"/>
          <w:numId w:val="0"/>
        </w:numPr>
        <w:snapToGrid w:val="0"/>
        <w:spacing w:beforeLines="0" w:afterLines="0" w:line="276" w:lineRule="auto"/>
        <w:ind w:firstLine="0"/>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 xml:space="preserve">    1.</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13"/>
        <w:numPr>
          <w:ilvl w:val="0"/>
          <w:numId w:val="0"/>
        </w:numPr>
        <w:snapToGrid w:val="0"/>
        <w:spacing w:beforeLines="0" w:afterLines="0" w:line="276" w:lineRule="auto"/>
        <w:ind w:firstLine="482" w:firstLineChars="20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2.</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3"/>
        <w:numPr>
          <w:ilvl w:val="0"/>
          <w:numId w:val="0"/>
        </w:numPr>
        <w:snapToGrid w:val="0"/>
        <w:spacing w:beforeLines="0" w:afterLines="0" w:line="276" w:lineRule="auto"/>
        <w:ind w:firstLine="482" w:firstLineChars="200"/>
        <w:contextualSpacing/>
        <w:jc w:val="both"/>
        <w:rPr>
          <w:rFonts w:hint="eastAsia" w:ascii="Times New Roman" w:hAnsi="Times New Roman" w:eastAsia="黑体" w:cs="Times New Roman"/>
          <w:b/>
          <w:kern w:val="0"/>
          <w:sz w:val="24"/>
          <w:szCs w:val="24"/>
          <w:lang w:val="en-US" w:eastAsia="zh-CN" w:bidi="ar-SA"/>
        </w:rPr>
      </w:pP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kern w:val="0"/>
          <w:sz w:val="24"/>
        </w:rPr>
        <w:t xml:space="preserve">   </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BE5329"/>
    <w:multiLevelType w:val="singleLevel"/>
    <w:tmpl w:val="64BE5329"/>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A44F2"/>
    <w:rsid w:val="000B0F79"/>
    <w:rsid w:val="000C03A9"/>
    <w:rsid w:val="000C3FA0"/>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04CA8"/>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128FF"/>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1637725"/>
    <w:rsid w:val="01CB1C9B"/>
    <w:rsid w:val="020F48EF"/>
    <w:rsid w:val="02417756"/>
    <w:rsid w:val="02E40AD0"/>
    <w:rsid w:val="02F3137F"/>
    <w:rsid w:val="033A4D39"/>
    <w:rsid w:val="034644C7"/>
    <w:rsid w:val="04196F12"/>
    <w:rsid w:val="04435A9E"/>
    <w:rsid w:val="045C1E64"/>
    <w:rsid w:val="048C5E7E"/>
    <w:rsid w:val="04950991"/>
    <w:rsid w:val="054A4FBF"/>
    <w:rsid w:val="054B7EFA"/>
    <w:rsid w:val="056B6F1A"/>
    <w:rsid w:val="05831998"/>
    <w:rsid w:val="05D8644B"/>
    <w:rsid w:val="060A409E"/>
    <w:rsid w:val="0610015A"/>
    <w:rsid w:val="06331B3C"/>
    <w:rsid w:val="066C6455"/>
    <w:rsid w:val="06866957"/>
    <w:rsid w:val="06930C07"/>
    <w:rsid w:val="072859C3"/>
    <w:rsid w:val="0744281B"/>
    <w:rsid w:val="07853686"/>
    <w:rsid w:val="079A3378"/>
    <w:rsid w:val="07B45D81"/>
    <w:rsid w:val="07C26F1E"/>
    <w:rsid w:val="07C52B3D"/>
    <w:rsid w:val="07D6576F"/>
    <w:rsid w:val="07F1682B"/>
    <w:rsid w:val="08064FC2"/>
    <w:rsid w:val="080D6F41"/>
    <w:rsid w:val="086D199A"/>
    <w:rsid w:val="089F7108"/>
    <w:rsid w:val="08A87A0E"/>
    <w:rsid w:val="08D300AE"/>
    <w:rsid w:val="09277EEB"/>
    <w:rsid w:val="09544BC9"/>
    <w:rsid w:val="096506FA"/>
    <w:rsid w:val="09B80512"/>
    <w:rsid w:val="0A01440A"/>
    <w:rsid w:val="0A15049C"/>
    <w:rsid w:val="0A272E8B"/>
    <w:rsid w:val="0A42093E"/>
    <w:rsid w:val="0A513B0D"/>
    <w:rsid w:val="0A5478A3"/>
    <w:rsid w:val="0AC448E9"/>
    <w:rsid w:val="0B960020"/>
    <w:rsid w:val="0CB94FFA"/>
    <w:rsid w:val="0CD152DE"/>
    <w:rsid w:val="0D037CFA"/>
    <w:rsid w:val="0D0A4803"/>
    <w:rsid w:val="0D3600BA"/>
    <w:rsid w:val="0D543E5F"/>
    <w:rsid w:val="0D865BC8"/>
    <w:rsid w:val="0DBF596A"/>
    <w:rsid w:val="0DD32259"/>
    <w:rsid w:val="0E143946"/>
    <w:rsid w:val="0E73282A"/>
    <w:rsid w:val="0E90785F"/>
    <w:rsid w:val="0EC252C3"/>
    <w:rsid w:val="0EF43DB9"/>
    <w:rsid w:val="0F0A7F86"/>
    <w:rsid w:val="0F7D59F6"/>
    <w:rsid w:val="0F850895"/>
    <w:rsid w:val="102F133E"/>
    <w:rsid w:val="10886C53"/>
    <w:rsid w:val="1091535F"/>
    <w:rsid w:val="10987645"/>
    <w:rsid w:val="10AC5A06"/>
    <w:rsid w:val="10B272CB"/>
    <w:rsid w:val="10ED247D"/>
    <w:rsid w:val="110764BF"/>
    <w:rsid w:val="113A6DA1"/>
    <w:rsid w:val="114758B1"/>
    <w:rsid w:val="115C628C"/>
    <w:rsid w:val="117B5CF3"/>
    <w:rsid w:val="11921C3C"/>
    <w:rsid w:val="119A5652"/>
    <w:rsid w:val="11BA7B51"/>
    <w:rsid w:val="11DC66A3"/>
    <w:rsid w:val="120F1E2C"/>
    <w:rsid w:val="12540566"/>
    <w:rsid w:val="12887EC7"/>
    <w:rsid w:val="12946645"/>
    <w:rsid w:val="12A0201F"/>
    <w:rsid w:val="12D3200B"/>
    <w:rsid w:val="13495D69"/>
    <w:rsid w:val="137E691B"/>
    <w:rsid w:val="13837E46"/>
    <w:rsid w:val="13986218"/>
    <w:rsid w:val="13B7767A"/>
    <w:rsid w:val="13B9670D"/>
    <w:rsid w:val="13DE4767"/>
    <w:rsid w:val="14484DCB"/>
    <w:rsid w:val="14852776"/>
    <w:rsid w:val="14F32DBB"/>
    <w:rsid w:val="15140BCE"/>
    <w:rsid w:val="15337B56"/>
    <w:rsid w:val="153C01B0"/>
    <w:rsid w:val="154B58FE"/>
    <w:rsid w:val="1584793E"/>
    <w:rsid w:val="15874EAA"/>
    <w:rsid w:val="15A42A8B"/>
    <w:rsid w:val="15C47445"/>
    <w:rsid w:val="15DF45C9"/>
    <w:rsid w:val="15E41B70"/>
    <w:rsid w:val="162E0DFB"/>
    <w:rsid w:val="16440A35"/>
    <w:rsid w:val="16577530"/>
    <w:rsid w:val="167255CF"/>
    <w:rsid w:val="16840173"/>
    <w:rsid w:val="16AF67C8"/>
    <w:rsid w:val="16FB6F37"/>
    <w:rsid w:val="1778450C"/>
    <w:rsid w:val="17825A05"/>
    <w:rsid w:val="17D31FDC"/>
    <w:rsid w:val="17D76C2B"/>
    <w:rsid w:val="17E3163D"/>
    <w:rsid w:val="17F8769D"/>
    <w:rsid w:val="18041AB4"/>
    <w:rsid w:val="1812072F"/>
    <w:rsid w:val="182B3A93"/>
    <w:rsid w:val="18702526"/>
    <w:rsid w:val="189F7450"/>
    <w:rsid w:val="190F268E"/>
    <w:rsid w:val="19287585"/>
    <w:rsid w:val="194427B5"/>
    <w:rsid w:val="19610BFF"/>
    <w:rsid w:val="19953307"/>
    <w:rsid w:val="19A07D04"/>
    <w:rsid w:val="19C00554"/>
    <w:rsid w:val="19EC565F"/>
    <w:rsid w:val="1A2C6A6A"/>
    <w:rsid w:val="1AB13D5A"/>
    <w:rsid w:val="1B2C6F2C"/>
    <w:rsid w:val="1B5D5F33"/>
    <w:rsid w:val="1B683E09"/>
    <w:rsid w:val="1BA24967"/>
    <w:rsid w:val="1BAF6A57"/>
    <w:rsid w:val="1BCE5D96"/>
    <w:rsid w:val="1BD94940"/>
    <w:rsid w:val="1BDE2098"/>
    <w:rsid w:val="1BE069CA"/>
    <w:rsid w:val="1C190CF6"/>
    <w:rsid w:val="1C465E86"/>
    <w:rsid w:val="1C726314"/>
    <w:rsid w:val="1C8B0511"/>
    <w:rsid w:val="1CD37257"/>
    <w:rsid w:val="1CE252F3"/>
    <w:rsid w:val="1D014BAB"/>
    <w:rsid w:val="1D104FDC"/>
    <w:rsid w:val="1D117096"/>
    <w:rsid w:val="1DE516B8"/>
    <w:rsid w:val="1E047274"/>
    <w:rsid w:val="1E311586"/>
    <w:rsid w:val="1E433C85"/>
    <w:rsid w:val="1ED877DF"/>
    <w:rsid w:val="1EED785E"/>
    <w:rsid w:val="1F0B3DFE"/>
    <w:rsid w:val="1F1E345F"/>
    <w:rsid w:val="1F274643"/>
    <w:rsid w:val="1F5522A7"/>
    <w:rsid w:val="1F57117B"/>
    <w:rsid w:val="1F7929AE"/>
    <w:rsid w:val="1FD45CE1"/>
    <w:rsid w:val="1FF41399"/>
    <w:rsid w:val="201E5567"/>
    <w:rsid w:val="21433609"/>
    <w:rsid w:val="214D162F"/>
    <w:rsid w:val="21980691"/>
    <w:rsid w:val="21FB0864"/>
    <w:rsid w:val="22042471"/>
    <w:rsid w:val="22171129"/>
    <w:rsid w:val="222D0D62"/>
    <w:rsid w:val="22551E62"/>
    <w:rsid w:val="227D729C"/>
    <w:rsid w:val="2350568B"/>
    <w:rsid w:val="23636F06"/>
    <w:rsid w:val="237F35E5"/>
    <w:rsid w:val="23A50D24"/>
    <w:rsid w:val="23E44373"/>
    <w:rsid w:val="241110D5"/>
    <w:rsid w:val="242806AA"/>
    <w:rsid w:val="24392A65"/>
    <w:rsid w:val="2467066D"/>
    <w:rsid w:val="247D5916"/>
    <w:rsid w:val="24E1340C"/>
    <w:rsid w:val="24E91956"/>
    <w:rsid w:val="250B4E48"/>
    <w:rsid w:val="252E26F1"/>
    <w:rsid w:val="2552129D"/>
    <w:rsid w:val="25AA765A"/>
    <w:rsid w:val="25C3267A"/>
    <w:rsid w:val="25D568B4"/>
    <w:rsid w:val="25F33B9E"/>
    <w:rsid w:val="260C731E"/>
    <w:rsid w:val="26103F21"/>
    <w:rsid w:val="26B533E7"/>
    <w:rsid w:val="26FD51EF"/>
    <w:rsid w:val="274A1863"/>
    <w:rsid w:val="27B21954"/>
    <w:rsid w:val="27BD7BC5"/>
    <w:rsid w:val="27BF7481"/>
    <w:rsid w:val="27C604DA"/>
    <w:rsid w:val="27EA63D1"/>
    <w:rsid w:val="287A5D0E"/>
    <w:rsid w:val="28B05EE9"/>
    <w:rsid w:val="28D30187"/>
    <w:rsid w:val="28E571A8"/>
    <w:rsid w:val="294C4E21"/>
    <w:rsid w:val="296D4B02"/>
    <w:rsid w:val="29C40F6C"/>
    <w:rsid w:val="29C565A0"/>
    <w:rsid w:val="2A103412"/>
    <w:rsid w:val="2A1E1418"/>
    <w:rsid w:val="2A770C99"/>
    <w:rsid w:val="2A9A5574"/>
    <w:rsid w:val="2B2942A8"/>
    <w:rsid w:val="2B3012EB"/>
    <w:rsid w:val="2B704201"/>
    <w:rsid w:val="2B7F1CCB"/>
    <w:rsid w:val="2BBB2833"/>
    <w:rsid w:val="2BC42334"/>
    <w:rsid w:val="2C1011CD"/>
    <w:rsid w:val="2C40390A"/>
    <w:rsid w:val="2C4C703B"/>
    <w:rsid w:val="2C994559"/>
    <w:rsid w:val="2D241337"/>
    <w:rsid w:val="2D68440E"/>
    <w:rsid w:val="2D6F1B20"/>
    <w:rsid w:val="2D753D30"/>
    <w:rsid w:val="2D8B7D42"/>
    <w:rsid w:val="2DA17B53"/>
    <w:rsid w:val="2DC02129"/>
    <w:rsid w:val="2DED2235"/>
    <w:rsid w:val="2E010168"/>
    <w:rsid w:val="2E6A7D66"/>
    <w:rsid w:val="2E7B51C5"/>
    <w:rsid w:val="2E8E2535"/>
    <w:rsid w:val="2EA605F1"/>
    <w:rsid w:val="2EA972CC"/>
    <w:rsid w:val="2EC31B75"/>
    <w:rsid w:val="2EC33B86"/>
    <w:rsid w:val="2EF83F09"/>
    <w:rsid w:val="2F216F19"/>
    <w:rsid w:val="2FB93DA2"/>
    <w:rsid w:val="2FE72027"/>
    <w:rsid w:val="306A1371"/>
    <w:rsid w:val="30A91F61"/>
    <w:rsid w:val="30B4726E"/>
    <w:rsid w:val="30B67831"/>
    <w:rsid w:val="30D02212"/>
    <w:rsid w:val="310E4E58"/>
    <w:rsid w:val="311E3372"/>
    <w:rsid w:val="3127549C"/>
    <w:rsid w:val="31533557"/>
    <w:rsid w:val="31AE49D4"/>
    <w:rsid w:val="31B41A9A"/>
    <w:rsid w:val="31C74937"/>
    <w:rsid w:val="31F02E84"/>
    <w:rsid w:val="32062205"/>
    <w:rsid w:val="322068C9"/>
    <w:rsid w:val="323C0EFE"/>
    <w:rsid w:val="326170B4"/>
    <w:rsid w:val="328F3B54"/>
    <w:rsid w:val="329A11A0"/>
    <w:rsid w:val="32FF7EB7"/>
    <w:rsid w:val="33424079"/>
    <w:rsid w:val="336359DD"/>
    <w:rsid w:val="339A1C68"/>
    <w:rsid w:val="339A5C1F"/>
    <w:rsid w:val="33D162D7"/>
    <w:rsid w:val="33D812CA"/>
    <w:rsid w:val="34126396"/>
    <w:rsid w:val="343E2E3B"/>
    <w:rsid w:val="345E593B"/>
    <w:rsid w:val="34605A84"/>
    <w:rsid w:val="346A7C1E"/>
    <w:rsid w:val="346C230B"/>
    <w:rsid w:val="35034F52"/>
    <w:rsid w:val="352C602C"/>
    <w:rsid w:val="352E0982"/>
    <w:rsid w:val="356354F5"/>
    <w:rsid w:val="35B16527"/>
    <w:rsid w:val="363C1BD7"/>
    <w:rsid w:val="364E3624"/>
    <w:rsid w:val="36774E48"/>
    <w:rsid w:val="36B76A85"/>
    <w:rsid w:val="36B82ADE"/>
    <w:rsid w:val="36E323C8"/>
    <w:rsid w:val="37174190"/>
    <w:rsid w:val="376879F0"/>
    <w:rsid w:val="378F057D"/>
    <w:rsid w:val="37EC4B4C"/>
    <w:rsid w:val="38282E1B"/>
    <w:rsid w:val="383529C2"/>
    <w:rsid w:val="387B665C"/>
    <w:rsid w:val="39010E11"/>
    <w:rsid w:val="39676CBC"/>
    <w:rsid w:val="39690814"/>
    <w:rsid w:val="39B76C90"/>
    <w:rsid w:val="39C37A55"/>
    <w:rsid w:val="39C53B44"/>
    <w:rsid w:val="39C84D10"/>
    <w:rsid w:val="39EF39C3"/>
    <w:rsid w:val="3A021304"/>
    <w:rsid w:val="3A23092B"/>
    <w:rsid w:val="3A35598B"/>
    <w:rsid w:val="3A595F4B"/>
    <w:rsid w:val="3A9D0C11"/>
    <w:rsid w:val="3AB87BB6"/>
    <w:rsid w:val="3B4C73CF"/>
    <w:rsid w:val="3BC05BE8"/>
    <w:rsid w:val="3BC55932"/>
    <w:rsid w:val="3C534D08"/>
    <w:rsid w:val="3C7826C2"/>
    <w:rsid w:val="3C8F2051"/>
    <w:rsid w:val="3CD87A38"/>
    <w:rsid w:val="3D4436A1"/>
    <w:rsid w:val="3D83215E"/>
    <w:rsid w:val="3DB8796B"/>
    <w:rsid w:val="3DF76443"/>
    <w:rsid w:val="3DFF3A1A"/>
    <w:rsid w:val="3E166344"/>
    <w:rsid w:val="3E4F6E87"/>
    <w:rsid w:val="3E6C1784"/>
    <w:rsid w:val="3E8C212D"/>
    <w:rsid w:val="3EA946F7"/>
    <w:rsid w:val="3EAB715E"/>
    <w:rsid w:val="3ED4630A"/>
    <w:rsid w:val="3ED615CF"/>
    <w:rsid w:val="3EEC674A"/>
    <w:rsid w:val="3F8907F6"/>
    <w:rsid w:val="3F8B7D7F"/>
    <w:rsid w:val="3FDA33E1"/>
    <w:rsid w:val="3FF20B0E"/>
    <w:rsid w:val="40670EF7"/>
    <w:rsid w:val="40682937"/>
    <w:rsid w:val="406A6BD4"/>
    <w:rsid w:val="40974D22"/>
    <w:rsid w:val="40AB1A12"/>
    <w:rsid w:val="40D52066"/>
    <w:rsid w:val="41012626"/>
    <w:rsid w:val="41414A49"/>
    <w:rsid w:val="415249F8"/>
    <w:rsid w:val="417575F2"/>
    <w:rsid w:val="41B92834"/>
    <w:rsid w:val="41BD7655"/>
    <w:rsid w:val="41CC7DB7"/>
    <w:rsid w:val="41DC334B"/>
    <w:rsid w:val="42631848"/>
    <w:rsid w:val="42CD30A6"/>
    <w:rsid w:val="42EE6E5E"/>
    <w:rsid w:val="42F60353"/>
    <w:rsid w:val="43553071"/>
    <w:rsid w:val="4365451E"/>
    <w:rsid w:val="437A1AF3"/>
    <w:rsid w:val="438556A7"/>
    <w:rsid w:val="43A6228A"/>
    <w:rsid w:val="43CD4677"/>
    <w:rsid w:val="43D63BB7"/>
    <w:rsid w:val="445A3B32"/>
    <w:rsid w:val="44814819"/>
    <w:rsid w:val="449B7167"/>
    <w:rsid w:val="44CC2C77"/>
    <w:rsid w:val="44E237E5"/>
    <w:rsid w:val="4524487F"/>
    <w:rsid w:val="45504986"/>
    <w:rsid w:val="455767F9"/>
    <w:rsid w:val="45AC3ECF"/>
    <w:rsid w:val="45CC078F"/>
    <w:rsid w:val="45FA1697"/>
    <w:rsid w:val="462907D8"/>
    <w:rsid w:val="466B1639"/>
    <w:rsid w:val="466B6F06"/>
    <w:rsid w:val="46860155"/>
    <w:rsid w:val="469F0F07"/>
    <w:rsid w:val="46BC2DEA"/>
    <w:rsid w:val="46C05878"/>
    <w:rsid w:val="46C43E23"/>
    <w:rsid w:val="46E93EA5"/>
    <w:rsid w:val="471B3B8B"/>
    <w:rsid w:val="476049FD"/>
    <w:rsid w:val="47802A85"/>
    <w:rsid w:val="47E65D23"/>
    <w:rsid w:val="47F54E11"/>
    <w:rsid w:val="47F6480D"/>
    <w:rsid w:val="4801691C"/>
    <w:rsid w:val="482B788B"/>
    <w:rsid w:val="48714C8C"/>
    <w:rsid w:val="487C60FD"/>
    <w:rsid w:val="489E098C"/>
    <w:rsid w:val="48B61CC6"/>
    <w:rsid w:val="48E87129"/>
    <w:rsid w:val="492A5B50"/>
    <w:rsid w:val="49321AAF"/>
    <w:rsid w:val="493A681C"/>
    <w:rsid w:val="493C2E02"/>
    <w:rsid w:val="494D579F"/>
    <w:rsid w:val="498C0831"/>
    <w:rsid w:val="498C1FB1"/>
    <w:rsid w:val="49BB19E3"/>
    <w:rsid w:val="49D81925"/>
    <w:rsid w:val="4A255416"/>
    <w:rsid w:val="4A295537"/>
    <w:rsid w:val="4A937164"/>
    <w:rsid w:val="4A9750EA"/>
    <w:rsid w:val="4AA40703"/>
    <w:rsid w:val="4AE65786"/>
    <w:rsid w:val="4B135EF0"/>
    <w:rsid w:val="4B1D70C8"/>
    <w:rsid w:val="4B690413"/>
    <w:rsid w:val="4BB86F47"/>
    <w:rsid w:val="4BF60566"/>
    <w:rsid w:val="4C1C3F8C"/>
    <w:rsid w:val="4C263A21"/>
    <w:rsid w:val="4C2F5D86"/>
    <w:rsid w:val="4C973694"/>
    <w:rsid w:val="4CCE54E6"/>
    <w:rsid w:val="4D5D4C67"/>
    <w:rsid w:val="4DFD248C"/>
    <w:rsid w:val="4E370E53"/>
    <w:rsid w:val="4EC3046A"/>
    <w:rsid w:val="4ECD4D2C"/>
    <w:rsid w:val="4EDD4EDE"/>
    <w:rsid w:val="4EE45C33"/>
    <w:rsid w:val="4EED4C04"/>
    <w:rsid w:val="4F323CFA"/>
    <w:rsid w:val="4F726F49"/>
    <w:rsid w:val="4FA51265"/>
    <w:rsid w:val="4FB2334F"/>
    <w:rsid w:val="4FBE27AA"/>
    <w:rsid w:val="4FDD6C50"/>
    <w:rsid w:val="500C5A60"/>
    <w:rsid w:val="50461117"/>
    <w:rsid w:val="504B6E9D"/>
    <w:rsid w:val="50874734"/>
    <w:rsid w:val="509A5F14"/>
    <w:rsid w:val="514B566F"/>
    <w:rsid w:val="515442E6"/>
    <w:rsid w:val="51954E8A"/>
    <w:rsid w:val="519B5496"/>
    <w:rsid w:val="51DF63BD"/>
    <w:rsid w:val="52136A46"/>
    <w:rsid w:val="52601858"/>
    <w:rsid w:val="52667895"/>
    <w:rsid w:val="52771979"/>
    <w:rsid w:val="52B20439"/>
    <w:rsid w:val="53140A76"/>
    <w:rsid w:val="5337488A"/>
    <w:rsid w:val="53735224"/>
    <w:rsid w:val="537D24F6"/>
    <w:rsid w:val="53AD73D7"/>
    <w:rsid w:val="53CD182A"/>
    <w:rsid w:val="543A32A9"/>
    <w:rsid w:val="543C05E0"/>
    <w:rsid w:val="545952F2"/>
    <w:rsid w:val="54B9651A"/>
    <w:rsid w:val="54F9389F"/>
    <w:rsid w:val="54FE4775"/>
    <w:rsid w:val="55222910"/>
    <w:rsid w:val="55514205"/>
    <w:rsid w:val="55643FAD"/>
    <w:rsid w:val="55843C30"/>
    <w:rsid w:val="559032FC"/>
    <w:rsid w:val="55EF2193"/>
    <w:rsid w:val="560165A7"/>
    <w:rsid w:val="560B3FD6"/>
    <w:rsid w:val="56195379"/>
    <w:rsid w:val="563121A3"/>
    <w:rsid w:val="563A5292"/>
    <w:rsid w:val="5646747A"/>
    <w:rsid w:val="567B0F8C"/>
    <w:rsid w:val="567E662B"/>
    <w:rsid w:val="56B83FB1"/>
    <w:rsid w:val="56CD2B10"/>
    <w:rsid w:val="56D476A1"/>
    <w:rsid w:val="56DA09C7"/>
    <w:rsid w:val="570A4C1D"/>
    <w:rsid w:val="574328BF"/>
    <w:rsid w:val="575F4375"/>
    <w:rsid w:val="5762766F"/>
    <w:rsid w:val="57AC1E66"/>
    <w:rsid w:val="57D41D62"/>
    <w:rsid w:val="584667E1"/>
    <w:rsid w:val="5884596F"/>
    <w:rsid w:val="589C1605"/>
    <w:rsid w:val="58AB7858"/>
    <w:rsid w:val="58E1781D"/>
    <w:rsid w:val="58F856CE"/>
    <w:rsid w:val="59471C07"/>
    <w:rsid w:val="59645BB0"/>
    <w:rsid w:val="59736D9D"/>
    <w:rsid w:val="598336AE"/>
    <w:rsid w:val="599B3F0F"/>
    <w:rsid w:val="59A2047A"/>
    <w:rsid w:val="5A3537A2"/>
    <w:rsid w:val="5A3E4ACF"/>
    <w:rsid w:val="5A41650D"/>
    <w:rsid w:val="5A7852B1"/>
    <w:rsid w:val="5AA97C90"/>
    <w:rsid w:val="5AD858CE"/>
    <w:rsid w:val="5AE4319D"/>
    <w:rsid w:val="5AF5024D"/>
    <w:rsid w:val="5C7E5C8C"/>
    <w:rsid w:val="5C8A37E8"/>
    <w:rsid w:val="5CE90207"/>
    <w:rsid w:val="5D875E55"/>
    <w:rsid w:val="5E3B759B"/>
    <w:rsid w:val="5E501568"/>
    <w:rsid w:val="5E50611E"/>
    <w:rsid w:val="5E544DB8"/>
    <w:rsid w:val="5EB138AE"/>
    <w:rsid w:val="5EB53035"/>
    <w:rsid w:val="5ED23CC7"/>
    <w:rsid w:val="5EE6353D"/>
    <w:rsid w:val="5F0310B7"/>
    <w:rsid w:val="5F0C287E"/>
    <w:rsid w:val="5F1655AE"/>
    <w:rsid w:val="5F377800"/>
    <w:rsid w:val="5F5952B0"/>
    <w:rsid w:val="5FDC2402"/>
    <w:rsid w:val="602E28A2"/>
    <w:rsid w:val="60C0423D"/>
    <w:rsid w:val="60C30298"/>
    <w:rsid w:val="60D76AF0"/>
    <w:rsid w:val="60DB2B02"/>
    <w:rsid w:val="60E7450D"/>
    <w:rsid w:val="60E80F88"/>
    <w:rsid w:val="60F2614D"/>
    <w:rsid w:val="61051BBD"/>
    <w:rsid w:val="6166406C"/>
    <w:rsid w:val="618F3AF2"/>
    <w:rsid w:val="61AF021E"/>
    <w:rsid w:val="61DA68DC"/>
    <w:rsid w:val="622708C6"/>
    <w:rsid w:val="62454B61"/>
    <w:rsid w:val="62460A47"/>
    <w:rsid w:val="62957D4A"/>
    <w:rsid w:val="634C5E2C"/>
    <w:rsid w:val="63554C8E"/>
    <w:rsid w:val="63890B77"/>
    <w:rsid w:val="63970830"/>
    <w:rsid w:val="639D1EC4"/>
    <w:rsid w:val="63A13700"/>
    <w:rsid w:val="63DA03E2"/>
    <w:rsid w:val="63DF1E75"/>
    <w:rsid w:val="64541B77"/>
    <w:rsid w:val="64667487"/>
    <w:rsid w:val="649D39A3"/>
    <w:rsid w:val="64A31301"/>
    <w:rsid w:val="64E9282A"/>
    <w:rsid w:val="65194891"/>
    <w:rsid w:val="65473967"/>
    <w:rsid w:val="65C63D9B"/>
    <w:rsid w:val="65F37A29"/>
    <w:rsid w:val="66103AAA"/>
    <w:rsid w:val="662C3C11"/>
    <w:rsid w:val="667640C4"/>
    <w:rsid w:val="66DC24A5"/>
    <w:rsid w:val="66DF3B52"/>
    <w:rsid w:val="672963E0"/>
    <w:rsid w:val="672F20B7"/>
    <w:rsid w:val="674B207E"/>
    <w:rsid w:val="675A4556"/>
    <w:rsid w:val="675C47D1"/>
    <w:rsid w:val="675E5725"/>
    <w:rsid w:val="679271B5"/>
    <w:rsid w:val="67AE1BA6"/>
    <w:rsid w:val="68191A65"/>
    <w:rsid w:val="681C6D27"/>
    <w:rsid w:val="68C76D6E"/>
    <w:rsid w:val="68F60924"/>
    <w:rsid w:val="69187C37"/>
    <w:rsid w:val="6943423A"/>
    <w:rsid w:val="69572330"/>
    <w:rsid w:val="698C4C9E"/>
    <w:rsid w:val="69E719A0"/>
    <w:rsid w:val="69F065E8"/>
    <w:rsid w:val="6A557981"/>
    <w:rsid w:val="6A5B0FA5"/>
    <w:rsid w:val="6A983C35"/>
    <w:rsid w:val="6AAC3F8C"/>
    <w:rsid w:val="6ADF3CE8"/>
    <w:rsid w:val="6AFD414A"/>
    <w:rsid w:val="6B4C2F45"/>
    <w:rsid w:val="6B6E4269"/>
    <w:rsid w:val="6B961612"/>
    <w:rsid w:val="6B966680"/>
    <w:rsid w:val="6B9C61DE"/>
    <w:rsid w:val="6BE577D3"/>
    <w:rsid w:val="6BEA36B3"/>
    <w:rsid w:val="6C0F6FE9"/>
    <w:rsid w:val="6C161AD0"/>
    <w:rsid w:val="6C911DCA"/>
    <w:rsid w:val="6D157AE9"/>
    <w:rsid w:val="6D275220"/>
    <w:rsid w:val="6D2E7D50"/>
    <w:rsid w:val="6DA3192A"/>
    <w:rsid w:val="6DAB24D2"/>
    <w:rsid w:val="6DB62E02"/>
    <w:rsid w:val="6DD90E21"/>
    <w:rsid w:val="6DDC725E"/>
    <w:rsid w:val="6DE0162F"/>
    <w:rsid w:val="6DFA3383"/>
    <w:rsid w:val="6E1A49C5"/>
    <w:rsid w:val="6E254EA7"/>
    <w:rsid w:val="6E3C5181"/>
    <w:rsid w:val="6E4B2AEB"/>
    <w:rsid w:val="6E754280"/>
    <w:rsid w:val="6EBB30B7"/>
    <w:rsid w:val="6F0D185D"/>
    <w:rsid w:val="6F262B98"/>
    <w:rsid w:val="6F2875FC"/>
    <w:rsid w:val="6F786BDA"/>
    <w:rsid w:val="6FA9351C"/>
    <w:rsid w:val="6FB31176"/>
    <w:rsid w:val="6FDF4741"/>
    <w:rsid w:val="6FF00FC0"/>
    <w:rsid w:val="702C77B8"/>
    <w:rsid w:val="70786034"/>
    <w:rsid w:val="70851CBD"/>
    <w:rsid w:val="709573C6"/>
    <w:rsid w:val="709C6E2A"/>
    <w:rsid w:val="709E2354"/>
    <w:rsid w:val="70E70772"/>
    <w:rsid w:val="71031842"/>
    <w:rsid w:val="71163687"/>
    <w:rsid w:val="711E47E2"/>
    <w:rsid w:val="71305B5A"/>
    <w:rsid w:val="713956B2"/>
    <w:rsid w:val="71900429"/>
    <w:rsid w:val="719027A5"/>
    <w:rsid w:val="71930C34"/>
    <w:rsid w:val="71C9496E"/>
    <w:rsid w:val="71EE76F7"/>
    <w:rsid w:val="720E1DB5"/>
    <w:rsid w:val="72366C76"/>
    <w:rsid w:val="725F0CAE"/>
    <w:rsid w:val="72981180"/>
    <w:rsid w:val="729C09F9"/>
    <w:rsid w:val="72B3756B"/>
    <w:rsid w:val="72F15C92"/>
    <w:rsid w:val="73001A15"/>
    <w:rsid w:val="73155C46"/>
    <w:rsid w:val="7366194C"/>
    <w:rsid w:val="736E248F"/>
    <w:rsid w:val="73734595"/>
    <w:rsid w:val="738F3AFD"/>
    <w:rsid w:val="73B91244"/>
    <w:rsid w:val="74062834"/>
    <w:rsid w:val="740D552E"/>
    <w:rsid w:val="74136087"/>
    <w:rsid w:val="7443680B"/>
    <w:rsid w:val="74472505"/>
    <w:rsid w:val="747E71DD"/>
    <w:rsid w:val="74A805D6"/>
    <w:rsid w:val="74A870B6"/>
    <w:rsid w:val="74E70150"/>
    <w:rsid w:val="74EC6D1E"/>
    <w:rsid w:val="74FA0674"/>
    <w:rsid w:val="74FA331C"/>
    <w:rsid w:val="754F1383"/>
    <w:rsid w:val="75DC198B"/>
    <w:rsid w:val="762A07F6"/>
    <w:rsid w:val="762B73A9"/>
    <w:rsid w:val="764A2B58"/>
    <w:rsid w:val="76661B90"/>
    <w:rsid w:val="77644889"/>
    <w:rsid w:val="77731DCC"/>
    <w:rsid w:val="77955676"/>
    <w:rsid w:val="77B301A9"/>
    <w:rsid w:val="77BE7190"/>
    <w:rsid w:val="77D83AB0"/>
    <w:rsid w:val="77DD4D17"/>
    <w:rsid w:val="77F43C8B"/>
    <w:rsid w:val="77FA47E4"/>
    <w:rsid w:val="780D59F8"/>
    <w:rsid w:val="781E08A5"/>
    <w:rsid w:val="782477FE"/>
    <w:rsid w:val="788D4C91"/>
    <w:rsid w:val="78F759E0"/>
    <w:rsid w:val="78FB1E09"/>
    <w:rsid w:val="795F38DB"/>
    <w:rsid w:val="79802062"/>
    <w:rsid w:val="79BB4445"/>
    <w:rsid w:val="79CB33E9"/>
    <w:rsid w:val="79CC1086"/>
    <w:rsid w:val="79E35336"/>
    <w:rsid w:val="79EF28EF"/>
    <w:rsid w:val="79FF0472"/>
    <w:rsid w:val="7A0E66B3"/>
    <w:rsid w:val="7A300713"/>
    <w:rsid w:val="7A3B7268"/>
    <w:rsid w:val="7AB968E7"/>
    <w:rsid w:val="7AC65BFC"/>
    <w:rsid w:val="7B0735D8"/>
    <w:rsid w:val="7B0F7EA2"/>
    <w:rsid w:val="7B2F3DDD"/>
    <w:rsid w:val="7B4B41CD"/>
    <w:rsid w:val="7B5A24C6"/>
    <w:rsid w:val="7B6F7E14"/>
    <w:rsid w:val="7BCC76A8"/>
    <w:rsid w:val="7BFE5099"/>
    <w:rsid w:val="7C1977A8"/>
    <w:rsid w:val="7C2D23EC"/>
    <w:rsid w:val="7CDB4C9F"/>
    <w:rsid w:val="7D016D57"/>
    <w:rsid w:val="7D2B624D"/>
    <w:rsid w:val="7D6F00D9"/>
    <w:rsid w:val="7DBC01D8"/>
    <w:rsid w:val="7DF80533"/>
    <w:rsid w:val="7E6622D6"/>
    <w:rsid w:val="7EA630E7"/>
    <w:rsid w:val="7EB61058"/>
    <w:rsid w:val="7ED004CF"/>
    <w:rsid w:val="7F691199"/>
    <w:rsid w:val="7F8C4BD0"/>
    <w:rsid w:val="7F9C17F8"/>
    <w:rsid w:val="7FA90BF5"/>
    <w:rsid w:val="7FBE3061"/>
    <w:rsid w:val="7FC66FC8"/>
    <w:rsid w:val="7FEC57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5"/>
    <w:qFormat/>
    <w:uiPriority w:val="0"/>
    <w:rPr>
      <w:b/>
      <w:bCs/>
    </w:rPr>
  </w:style>
  <w:style w:type="character" w:styleId="10">
    <w:name w:val="FollowedHyperlink"/>
    <w:basedOn w:val="9"/>
    <w:qFormat/>
    <w:uiPriority w:val="0"/>
    <w:rPr>
      <w:color w:val="000000"/>
      <w:u w:val="none"/>
    </w:rPr>
  </w:style>
  <w:style w:type="character" w:styleId="11">
    <w:name w:val="Hyperlink"/>
    <w:basedOn w:val="9"/>
    <w:qFormat/>
    <w:uiPriority w:val="0"/>
    <w:rPr>
      <w:color w:val="000000"/>
      <w:u w:val="none"/>
    </w:rPr>
  </w:style>
  <w:style w:type="character" w:styleId="12">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_Style 13"/>
    <w:basedOn w:val="1"/>
    <w:next w:val="1"/>
    <w:qFormat/>
    <w:uiPriority w:val="0"/>
    <w:pPr>
      <w:pBdr>
        <w:top w:val="single" w:color="auto" w:sz="6" w:space="1"/>
      </w:pBdr>
      <w:jc w:val="center"/>
    </w:pPr>
    <w:rPr>
      <w:rFonts w:ascii="Arial" w:eastAsia="宋体"/>
      <w:vanish/>
      <w:sz w:val="16"/>
    </w:rPr>
  </w:style>
  <w:style w:type="character" w:customStyle="1" w:styleId="15">
    <w:name w:val="批注主题 Char"/>
    <w:link w:val="7"/>
    <w:qFormat/>
    <w:uiPriority w:val="0"/>
    <w:rPr>
      <w:b/>
      <w:bCs/>
      <w:kern w:val="2"/>
      <w:sz w:val="21"/>
      <w:szCs w:val="24"/>
    </w:rPr>
  </w:style>
  <w:style w:type="character" w:customStyle="1" w:styleId="16">
    <w:name w:val="批注文字 Char"/>
    <w:link w:val="2"/>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15682</Words>
  <Characters>16214</Characters>
  <Lines>114</Lines>
  <Paragraphs>32</Paragraphs>
  <TotalTime>2</TotalTime>
  <ScaleCrop>false</ScaleCrop>
  <LinksUpToDate>false</LinksUpToDate>
  <CharactersWithSpaces>16363</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苏晨晓</cp:lastModifiedBy>
  <cp:lastPrinted>2023-03-20T06:17:00Z</cp:lastPrinted>
  <dcterms:modified xsi:type="dcterms:W3CDTF">2025-09-15T02:07:31Z</dcterms:modified>
  <dc:title>华夏理财固定收益纯债型封闭式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9CA373D9CFED4FBB8110A78974632525</vt:lpwstr>
  </property>
</Properties>
</file>