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华夏理财悦安封闭式理财产品</w:t>
      </w:r>
      <w:r>
        <w:rPr>
          <w:rFonts w:hint="eastAsia" w:eastAsia="黑体"/>
          <w:bCs/>
          <w:sz w:val="36"/>
          <w:szCs w:val="36"/>
          <w:lang w:val="en-US" w:eastAsia="zh-CN"/>
        </w:rPr>
        <w:t>335号</w:t>
      </w:r>
      <w:r>
        <w:rPr>
          <w:rFonts w:hint="eastAsia" w:eastAsia="黑体"/>
          <w:bCs/>
          <w:sz w:val="36"/>
          <w:szCs w:val="36"/>
        </w:rPr>
        <w:t>说明书</w:t>
      </w:r>
    </w:p>
    <w:p>
      <w:pPr>
        <w:pStyle w:val="3"/>
        <w:widowControl/>
        <w:spacing w:line="240" w:lineRule="auto"/>
        <w:ind w:firstLine="0"/>
        <w:jc w:val="center"/>
        <w:rPr>
          <w:rFonts w:eastAsia="黑体"/>
          <w:bCs/>
          <w:sz w:val="36"/>
          <w:szCs w:val="36"/>
        </w:rPr>
      </w:pPr>
    </w:p>
    <w:tbl>
      <w:tblPr>
        <w:tblStyle w:val="8"/>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招商银行股份有限公司全国统一投资者服务热线（95555转7）、华夏理财客户服务热线4001795577或其他代理销售机构客户服务热线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3"/>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华夏理财悦安封闭式理财产品</w:t>
            </w:r>
            <w:r>
              <w:rPr>
                <w:rFonts w:hint="eastAsia" w:ascii="仿宋" w:hAnsi="仿宋" w:eastAsia="仿宋"/>
                <w:b/>
                <w:bCs/>
                <w:szCs w:val="21"/>
                <w:lang w:val="en-US" w:eastAsia="zh-CN"/>
              </w:rPr>
              <w:t>335号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w:t>
            </w:r>
            <w:r>
              <w:rPr>
                <w:rFonts w:hint="eastAsia" w:ascii="仿宋" w:hAnsi="仿宋" w:eastAsia="仿宋"/>
                <w:b/>
                <w:bCs/>
                <w:szCs w:val="21"/>
                <w:lang w:eastAsia="zh-CN"/>
              </w:rPr>
              <w:t>华夏理财悦安封闭式335号271天（存款存单策略）</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eastAsia="zh-CN"/>
              </w:rPr>
              <w:t>25121961（招商银行销售代码：HX012118）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Z7003925001314</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PR1级（低风险）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default" w:ascii="仿宋" w:hAnsi="仿宋" w:eastAsia="仿宋"/>
                <w:bCs/>
                <w:szCs w:val="21"/>
                <w:lang w:val="en-US" w:eastAsia="zh-CN"/>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lang w:eastAsia="zh-CN"/>
              </w:rPr>
              <w:t>、</w:t>
            </w:r>
            <w:r>
              <w:rPr>
                <w:rFonts w:hint="eastAsia" w:ascii="仿宋" w:hAnsi="仿宋" w:eastAsia="仿宋"/>
                <w:bCs/>
                <w:szCs w:val="21"/>
                <w:lang w:val="en-US" w:eastAsia="zh-CN"/>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rPr>
              <w:t>：</w:t>
            </w:r>
            <w:r>
              <w:rPr>
                <w:rFonts w:hint="eastAsia" w:ascii="仿宋" w:hAnsi="仿宋" w:eastAsia="仿宋"/>
                <w:bCs/>
                <w:szCs w:val="21"/>
                <w:lang w:eastAsia="zh-CN"/>
              </w:rPr>
              <w:t>【</w:t>
            </w:r>
            <w:r>
              <w:rPr>
                <w:rFonts w:hint="eastAsia" w:ascii="仿宋" w:hAnsi="仿宋" w:eastAsia="仿宋"/>
                <w:bCs/>
                <w:szCs w:val="21"/>
                <w:u w:val="single"/>
              </w:rPr>
              <w:t>CR1（谨慎型）、CR2（稳健型）、CR3（平衡型）、CR4（进取型）、CR5（激进型）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1.80%-2.10%</w:t>
            </w:r>
            <w:r>
              <w:rPr>
                <w:rFonts w:hint="eastAsia" w:ascii="仿宋" w:hAnsi="仿宋" w:eastAsia="仿宋" w:cs="Cambria"/>
                <w:bCs/>
                <w:szCs w:val="21"/>
              </w:rPr>
              <w:t>（年化）。以产品主要投资于存款类资产为例，参考当前资产收益水平，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_Hlk290294163"/>
            <w:bookmarkStart w:id="4"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271天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w:t>
            </w:r>
            <w:r>
              <w:rPr>
                <w:rFonts w:hint="eastAsia" w:ascii="仿宋" w:hAnsi="仿宋" w:eastAsia="仿宋"/>
                <w:b/>
                <w:bCs/>
                <w:szCs w:val="21"/>
                <w:lang w:val="en-US" w:eastAsia="zh-CN"/>
              </w:rPr>
              <w:t>3</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uto"/>
              <w:ind w:firstLine="420"/>
              <w:jc w:val="left"/>
              <w:rPr>
                <w:rFonts w:ascii="仿宋" w:hAnsi="仿宋" w:eastAsia="仿宋"/>
                <w:b/>
                <w:bCs/>
                <w:szCs w:val="21"/>
              </w:rPr>
            </w:pPr>
            <w:r>
              <w:rPr>
                <w:rFonts w:hint="eastAsia" w:ascii="仿宋" w:hAnsi="仿宋" w:eastAsia="仿宋"/>
                <w:b/>
                <w:bCs/>
                <w:szCs w:val="21"/>
              </w:rPr>
              <w:t>F=E×【0.0</w:t>
            </w:r>
            <w:r>
              <w:rPr>
                <w:rFonts w:hint="eastAsia" w:ascii="仿宋" w:hAnsi="仿宋" w:eastAsia="仿宋"/>
                <w:b/>
                <w:bCs/>
                <w:szCs w:val="21"/>
                <w:lang w:val="en-US" w:eastAsia="zh-CN"/>
              </w:rPr>
              <w:t>3</w:t>
            </w:r>
            <w:r>
              <w:rPr>
                <w:rFonts w:hint="eastAsia" w:ascii="仿宋" w:hAnsi="仿宋" w:eastAsia="仿宋"/>
                <w:b/>
                <w:bCs/>
                <w:szCs w:val="21"/>
              </w:rPr>
              <w:t>%】</w:t>
            </w:r>
            <w:r>
              <w:rPr>
                <w:rFonts w:hint="eastAsia" w:ascii="仿宋" w:hAnsi="仿宋" w:eastAsia="仿宋"/>
                <w:b/>
                <w:szCs w:val="21"/>
              </w:rPr>
              <w:t>/当年天数。</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15</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hint="eastAsia" w:ascii="仿宋" w:hAnsi="仿宋" w:eastAsia="仿宋"/>
                <w:b/>
                <w:bCs/>
                <w:szCs w:val="21"/>
                <w:lang w:val="en-US" w:eastAsia="zh-CN"/>
              </w:rPr>
              <w:t>0.15%</w:t>
            </w:r>
            <w:r>
              <w:rPr>
                <w:rFonts w:hint="eastAsia" w:ascii="仿宋" w:hAnsi="仿宋" w:eastAsia="仿宋"/>
                <w:b/>
                <w:bCs/>
                <w:szCs w:val="21"/>
              </w:rPr>
              <w:t>】/当年天数。F为销售手续费；E为计算基数。</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10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10</w:t>
            </w:r>
            <w:r>
              <w:rPr>
                <w:rFonts w:ascii="仿宋" w:hAnsi="仿宋" w:eastAsia="仿宋"/>
                <w:b/>
                <w:bCs/>
                <w:szCs w:val="21"/>
              </w:rPr>
              <w:t>%</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szCs w:val="21"/>
              </w:rPr>
            </w:pPr>
            <w:r>
              <w:rPr>
                <w:rFonts w:hint="eastAsia" w:ascii="仿宋" w:hAnsi="仿宋" w:eastAsia="仿宋"/>
                <w:b/>
                <w:bCs/>
                <w:szCs w:val="21"/>
              </w:rPr>
              <w:t>本</w:t>
            </w:r>
            <w:r>
              <w:rPr>
                <w:rFonts w:hint="eastAsia" w:ascii="仿宋" w:hAnsi="仿宋" w:eastAsia="仿宋"/>
                <w:b/>
                <w:bCs/>
                <w:szCs w:val="21"/>
                <w:lang w:val="en-US" w:eastAsia="zh-CN"/>
              </w:rPr>
              <w:t>理财</w:t>
            </w:r>
            <w:r>
              <w:rPr>
                <w:rFonts w:hint="eastAsia" w:ascii="仿宋" w:hAnsi="仿宋" w:eastAsia="仿宋"/>
                <w:b/>
                <w:bCs/>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szCs w:val="21"/>
                <w:lang w:val="en-US" w:eastAsia="zh-CN"/>
              </w:rPr>
              <w:t>50%</w:t>
            </w:r>
            <w:r>
              <w:rPr>
                <w:rFonts w:hint="eastAsia" w:ascii="仿宋" w:hAnsi="仿宋" w:eastAsia="仿宋"/>
                <w:b/>
                <w:bCs/>
                <w:szCs w:val="21"/>
              </w:rPr>
              <w:t>归投资人所有，</w:t>
            </w:r>
            <w:r>
              <w:rPr>
                <w:rFonts w:hint="eastAsia" w:ascii="仿宋" w:hAnsi="仿宋" w:eastAsia="仿宋"/>
                <w:b/>
                <w:bCs/>
                <w:szCs w:val="21"/>
                <w:lang w:val="en-US" w:eastAsia="zh-CN"/>
              </w:rPr>
              <w:t>50%</w:t>
            </w:r>
            <w:r>
              <w:rPr>
                <w:rFonts w:hint="eastAsia" w:ascii="仿宋" w:hAnsi="仿宋" w:eastAsia="仿宋"/>
                <w:b/>
                <w:bCs/>
                <w:szCs w:val="21"/>
              </w:rPr>
              <w:t>作为管理人的超额管理费。</w:t>
            </w:r>
          </w:p>
          <w:p>
            <w:pPr>
              <w:adjustRightInd w:val="0"/>
              <w:snapToGrid w:val="0"/>
              <w:spacing w:line="300" w:lineRule="exact"/>
              <w:ind w:firstLine="420"/>
              <w:rPr>
                <w:rFonts w:hint="eastAsia" w:ascii="仿宋" w:hAnsi="仿宋" w:eastAsia="仿宋"/>
                <w:b/>
                <w:bCs/>
                <w:szCs w:val="21"/>
              </w:rPr>
            </w:pPr>
            <w:r>
              <w:rPr>
                <w:rFonts w:hint="eastAsia" w:ascii="仿宋" w:hAnsi="仿宋" w:eastAsia="仿宋"/>
                <w:b/>
                <w:bCs/>
                <w:szCs w:val="21"/>
              </w:rPr>
              <w:t>超额计提基准为</w:t>
            </w:r>
            <w:r>
              <w:rPr>
                <w:rFonts w:hint="eastAsia" w:ascii="仿宋" w:hAnsi="仿宋" w:eastAsia="仿宋"/>
                <w:b/>
                <w:bCs/>
                <w:szCs w:val="21"/>
                <w:lang w:val="en-US" w:eastAsia="zh-CN"/>
              </w:rPr>
              <w:t>2.10</w:t>
            </w:r>
            <w:r>
              <w:rPr>
                <w:rFonts w:hint="eastAsia" w:ascii="仿宋" w:hAnsi="仿宋" w:eastAsia="仿宋"/>
                <w:b/>
                <w:bCs/>
                <w:szCs w:val="21"/>
              </w:rPr>
              <w:t>%（年化）。</w:t>
            </w:r>
          </w:p>
          <w:p>
            <w:pPr>
              <w:adjustRightInd w:val="0"/>
              <w:snapToGrid w:val="0"/>
              <w:spacing w:line="300" w:lineRule="exact"/>
              <w:ind w:firstLine="420"/>
              <w:rPr>
                <w:rFonts w:hint="eastAsia" w:ascii="仿宋" w:hAnsi="仿宋" w:eastAsia="仿宋"/>
                <w:b/>
                <w:bCs/>
                <w:szCs w:val="21"/>
              </w:rPr>
            </w:pPr>
            <w:r>
              <w:rPr>
                <w:rFonts w:hint="eastAsia" w:ascii="仿宋" w:hAnsi="仿宋" w:eastAsia="仿宋"/>
                <w:b/>
                <w:bCs/>
                <w:szCs w:val="21"/>
              </w:rPr>
              <w:t>计算规则详见</w:t>
            </w:r>
            <w:r>
              <w:rPr>
                <w:rFonts w:hint="eastAsia" w:ascii="仿宋" w:hAnsi="仿宋" w:eastAsia="仿宋"/>
                <w:b/>
                <w:bCs/>
                <w:szCs w:val="21"/>
                <w:lang w:eastAsia="zh-CN"/>
              </w:rPr>
              <w:t>“超额管理费”</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w:t>
            </w:r>
            <w:r>
              <w:rPr>
                <w:rFonts w:hint="eastAsia" w:ascii="仿宋" w:hAnsi="仿宋" w:eastAsia="仿宋" w:cs="Cambria"/>
                <w:b/>
                <w:bCs/>
                <w:szCs w:val="21"/>
                <w:lang w:val="en-US" w:eastAsia="zh-CN"/>
              </w:rPr>
              <w:t>理财</w:t>
            </w:r>
            <w:r>
              <w:rPr>
                <w:rFonts w:hint="eastAsia" w:ascii="仿宋" w:hAnsi="仿宋" w:eastAsia="仿宋" w:cs="Cambria"/>
                <w:b/>
                <w:bCs/>
                <w:szCs w:val="21"/>
              </w:rPr>
              <w:t>产品超额管理费的计算公式：</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其中：</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年化收益率=（计提日累计单位净值-1.0000）÷1.0000×365÷当期持有天数。</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3"/>
        <w:snapToGrid w:val="0"/>
        <w:spacing w:after="156" w:afterLines="50" w:line="400" w:lineRule="exact"/>
        <w:ind w:firstLine="482" w:firstLineChars="200"/>
        <w:jc w:val="both"/>
        <w:rPr>
          <w:rFonts w:ascii="Times New Roman" w:eastAsia="黑体" w:cs="Times New Roman"/>
          <w:b/>
          <w:color w:val="auto"/>
        </w:rPr>
      </w:pPr>
    </w:p>
    <w:p>
      <w:pPr>
        <w:pStyle w:val="13"/>
        <w:keepNext/>
        <w:snapToGrid w:val="0"/>
        <w:spacing w:after="156" w:afterLines="50" w:line="400" w:lineRule="exact"/>
        <w:ind w:firstLine="482" w:firstLineChars="200"/>
        <w:jc w:val="both"/>
        <w:outlineLvl w:val="0"/>
        <w:rPr>
          <w:rFonts w:hint="eastAsia" w:ascii="仿宋" w:hAnsi="仿宋" w:eastAsia="仿宋" w:cs="宋体"/>
          <w:b w:val="0"/>
          <w:color w:val="000000"/>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本理财产品计划100%投资于银行</w:t>
      </w:r>
      <w:r>
        <w:rPr>
          <w:rFonts w:ascii="仿宋" w:hAnsi="仿宋" w:eastAsia="仿宋" w:cs="宋体"/>
          <w:color w:val="000000"/>
          <w:kern w:val="0"/>
          <w:sz w:val="24"/>
        </w:rPr>
        <w:t>存款</w:t>
      </w:r>
      <w:r>
        <w:rPr>
          <w:rFonts w:hint="eastAsia" w:ascii="仿宋" w:hAnsi="仿宋" w:eastAsia="仿宋" w:cs="宋体"/>
          <w:color w:val="000000"/>
          <w:kern w:val="0"/>
          <w:sz w:val="24"/>
        </w:rPr>
        <w:t>、同业存单。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逆回购</w:t>
      </w:r>
      <w:r>
        <w:rPr>
          <w:rFonts w:hint="eastAsia" w:ascii="仿宋" w:hAnsi="仿宋" w:eastAsia="仿宋" w:cs="宋体"/>
          <w:kern w:val="0"/>
          <w:sz w:val="24"/>
        </w:rPr>
        <w:t>业务。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3"/>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3"/>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w:t>
      </w:r>
      <w:r>
        <w:rPr>
          <w:rFonts w:hint="eastAsia" w:ascii="仿宋" w:hAnsi="仿宋" w:eastAsia="仿宋" w:cs="宋体"/>
          <w:color w:val="000000"/>
          <w:kern w:val="0"/>
          <w:sz w:val="24"/>
        </w:rPr>
        <w:t>同业存单</w:t>
      </w:r>
      <w:r>
        <w:rPr>
          <w:rFonts w:hint="eastAsia" w:ascii="仿宋" w:hAnsi="仿宋" w:eastAsia="仿宋" w:cs="仿宋"/>
        </w:rPr>
        <w:t>等固定</w:t>
      </w:r>
      <w:r>
        <w:rPr>
          <w:rFonts w:ascii="仿宋" w:hAnsi="仿宋" w:eastAsia="仿宋" w:cs="仿宋"/>
        </w:rPr>
        <w:t>收益类</w:t>
      </w:r>
      <w:r>
        <w:rPr>
          <w:rFonts w:hint="eastAsia" w:ascii="仿宋" w:hAnsi="仿宋" w:eastAsia="仿宋" w:cs="仿宋"/>
        </w:rPr>
        <w:t>资产以及资产管理产品等资产。</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3"/>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3"/>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3"/>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3"/>
        <w:numPr>
          <w:ilvl w:val="0"/>
          <w:numId w:val="1"/>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3"/>
        <w:snapToGrid w:val="0"/>
        <w:spacing w:beforeLines="0" w:afterLines="0" w:line="276" w:lineRule="auto"/>
        <w:ind w:firstLine="0" w:firstLineChars="0"/>
        <w:contextualSpacing/>
        <w:jc w:val="both"/>
        <w:rPr>
          <w:rFonts w:hint="eastAsia" w:ascii="Times New Roman" w:eastAsia="黑体" w:cs="Times New Roman"/>
          <w:b/>
          <w:lang w:eastAsia="zh-CN"/>
        </w:rPr>
      </w:pPr>
      <w:r>
        <w:rPr>
          <w:rFonts w:hint="eastAsia" w:ascii="Times New Roman" w:eastAsia="黑体" w:cs="Times New Roman"/>
          <w:b/>
          <w:lang w:val="en-US" w:eastAsia="zh-CN"/>
        </w:rPr>
        <w:t xml:space="preserve">    </w:t>
      </w: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3"/>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投资于银行存款、同业存单等固定收益类资产</w:t>
      </w:r>
      <w:r>
        <w:rPr>
          <w:rFonts w:hint="eastAsia" w:ascii="Times New Roman" w:eastAsia="黑体" w:cs="Times New Roman"/>
          <w:b/>
        </w:rPr>
        <w:t>，因此可能面临如下特定风险：</w:t>
      </w:r>
    </w:p>
    <w:p>
      <w:pPr>
        <w:pStyle w:val="13"/>
        <w:numPr>
          <w:ilvl w:val="0"/>
          <w:numId w:val="0"/>
        </w:numPr>
        <w:snapToGrid w:val="0"/>
        <w:spacing w:beforeLines="0" w:afterLines="0" w:line="276" w:lineRule="auto"/>
        <w:ind w:firstLine="0"/>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 xml:space="preserve">    1.</w:t>
      </w:r>
      <w:r>
        <w:rPr>
          <w:rFonts w:hint="eastAsia" w:ascii="Times New Roman" w:hAnsi="Times New Roman" w:eastAsia="黑体" w:cs="Times New Roman"/>
          <w:b/>
          <w:kern w:val="0"/>
          <w:sz w:val="24"/>
          <w:szCs w:val="24"/>
          <w:lang w:val="en-US" w:eastAsia="zh-CN" w:bidi="ar-SA"/>
        </w:rPr>
        <w:t>投资于存款类资产的可能风险：本产品拟投资的存款类资产在极端情况下可能面临被拒绝支取、因提前支取而被收取罚息等费用的风险，从而影响投资者收益，甚至使本产品本金遭受损失。</w:t>
      </w:r>
    </w:p>
    <w:p>
      <w:pPr>
        <w:pStyle w:val="13"/>
        <w:numPr>
          <w:ilvl w:val="0"/>
          <w:numId w:val="0"/>
        </w:numPr>
        <w:snapToGrid w:val="0"/>
        <w:spacing w:beforeLines="0" w:afterLines="0" w:line="276" w:lineRule="auto"/>
        <w:ind w:firstLine="482" w:firstLineChars="200"/>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2.</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3"/>
        <w:numPr>
          <w:ilvl w:val="0"/>
          <w:numId w:val="0"/>
        </w:numPr>
        <w:snapToGrid w:val="0"/>
        <w:spacing w:beforeLines="0" w:afterLines="0" w:line="276" w:lineRule="auto"/>
        <w:ind w:firstLine="482" w:firstLineChars="200"/>
        <w:contextualSpacing/>
        <w:jc w:val="both"/>
        <w:rPr>
          <w:rFonts w:hint="eastAsia" w:ascii="Times New Roman" w:hAnsi="Times New Roman" w:eastAsia="黑体" w:cs="Times New Roman"/>
          <w:b/>
          <w:kern w:val="0"/>
          <w:sz w:val="24"/>
          <w:szCs w:val="24"/>
          <w:lang w:val="en-US" w:eastAsia="zh-CN" w:bidi="ar-SA"/>
        </w:rPr>
      </w:pP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3"/>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kern w:val="0"/>
          <w:sz w:val="24"/>
        </w:rPr>
        <w:t xml:space="preserve">   </w:t>
      </w: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BE5329"/>
    <w:multiLevelType w:val="singleLevel"/>
    <w:tmpl w:val="64BE5329"/>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jNGM4MTU2NGYwYzU4Yzk0YTM2ZWYxMjcxYjBmZTAifQ=="/>
  </w:docVars>
  <w:rsids>
    <w:rsidRoot w:val="003D0255"/>
    <w:rsid w:val="00001C1B"/>
    <w:rsid w:val="00010FE2"/>
    <w:rsid w:val="00013C4E"/>
    <w:rsid w:val="000161B5"/>
    <w:rsid w:val="00021827"/>
    <w:rsid w:val="00025F33"/>
    <w:rsid w:val="00033110"/>
    <w:rsid w:val="000337FD"/>
    <w:rsid w:val="000431D6"/>
    <w:rsid w:val="00056226"/>
    <w:rsid w:val="00063AA0"/>
    <w:rsid w:val="00066824"/>
    <w:rsid w:val="00096678"/>
    <w:rsid w:val="000A088E"/>
    <w:rsid w:val="000A44F2"/>
    <w:rsid w:val="000B0F79"/>
    <w:rsid w:val="000C03A9"/>
    <w:rsid w:val="000C3FA0"/>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1AD5"/>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A3C84"/>
    <w:rsid w:val="002B2BDD"/>
    <w:rsid w:val="002B5A7F"/>
    <w:rsid w:val="002F6B80"/>
    <w:rsid w:val="00305047"/>
    <w:rsid w:val="00316AFC"/>
    <w:rsid w:val="003243A1"/>
    <w:rsid w:val="00332318"/>
    <w:rsid w:val="00333AEC"/>
    <w:rsid w:val="0033431D"/>
    <w:rsid w:val="00344E4C"/>
    <w:rsid w:val="00345CAB"/>
    <w:rsid w:val="003536CA"/>
    <w:rsid w:val="00370E7B"/>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530CC"/>
    <w:rsid w:val="00482583"/>
    <w:rsid w:val="0048600F"/>
    <w:rsid w:val="00493909"/>
    <w:rsid w:val="004A2CEA"/>
    <w:rsid w:val="004B3C7D"/>
    <w:rsid w:val="004C7E7D"/>
    <w:rsid w:val="004D72E5"/>
    <w:rsid w:val="004E4564"/>
    <w:rsid w:val="004E46BF"/>
    <w:rsid w:val="004E7458"/>
    <w:rsid w:val="004F3054"/>
    <w:rsid w:val="00504CA8"/>
    <w:rsid w:val="00511A6C"/>
    <w:rsid w:val="00511F92"/>
    <w:rsid w:val="0051737C"/>
    <w:rsid w:val="005228EC"/>
    <w:rsid w:val="00525851"/>
    <w:rsid w:val="0053489D"/>
    <w:rsid w:val="00541B21"/>
    <w:rsid w:val="00546540"/>
    <w:rsid w:val="005622E8"/>
    <w:rsid w:val="00567419"/>
    <w:rsid w:val="0058195A"/>
    <w:rsid w:val="00583E9D"/>
    <w:rsid w:val="00587F99"/>
    <w:rsid w:val="005902F0"/>
    <w:rsid w:val="005A1AD3"/>
    <w:rsid w:val="005B0C42"/>
    <w:rsid w:val="005B5A4F"/>
    <w:rsid w:val="005B7E09"/>
    <w:rsid w:val="005D1B39"/>
    <w:rsid w:val="005D5825"/>
    <w:rsid w:val="005E4F8D"/>
    <w:rsid w:val="005F69E2"/>
    <w:rsid w:val="006030F8"/>
    <w:rsid w:val="00603823"/>
    <w:rsid w:val="006128FF"/>
    <w:rsid w:val="00623292"/>
    <w:rsid w:val="00627FD4"/>
    <w:rsid w:val="006309B4"/>
    <w:rsid w:val="0064430D"/>
    <w:rsid w:val="006609EB"/>
    <w:rsid w:val="00661DAE"/>
    <w:rsid w:val="00664F8D"/>
    <w:rsid w:val="00665902"/>
    <w:rsid w:val="00665BDD"/>
    <w:rsid w:val="006714E1"/>
    <w:rsid w:val="00681C15"/>
    <w:rsid w:val="00686350"/>
    <w:rsid w:val="00697279"/>
    <w:rsid w:val="006A3BD2"/>
    <w:rsid w:val="006B14EB"/>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A7DDD"/>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079B5"/>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1640A"/>
    <w:rsid w:val="00A23D14"/>
    <w:rsid w:val="00A40B5C"/>
    <w:rsid w:val="00A428E9"/>
    <w:rsid w:val="00A55BA0"/>
    <w:rsid w:val="00A762A9"/>
    <w:rsid w:val="00A93551"/>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47353"/>
    <w:rsid w:val="00B5117E"/>
    <w:rsid w:val="00B64A10"/>
    <w:rsid w:val="00B7068C"/>
    <w:rsid w:val="00B835AA"/>
    <w:rsid w:val="00B86087"/>
    <w:rsid w:val="00B90CDB"/>
    <w:rsid w:val="00B960A6"/>
    <w:rsid w:val="00B97A5C"/>
    <w:rsid w:val="00BE486A"/>
    <w:rsid w:val="00BE5DF1"/>
    <w:rsid w:val="00BF042F"/>
    <w:rsid w:val="00C00CA6"/>
    <w:rsid w:val="00C20594"/>
    <w:rsid w:val="00C2501F"/>
    <w:rsid w:val="00C26621"/>
    <w:rsid w:val="00C34C70"/>
    <w:rsid w:val="00C45DCF"/>
    <w:rsid w:val="00C472F0"/>
    <w:rsid w:val="00C51BDC"/>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953"/>
    <w:rsid w:val="00D92F2F"/>
    <w:rsid w:val="00D96806"/>
    <w:rsid w:val="00DA1051"/>
    <w:rsid w:val="00DB3201"/>
    <w:rsid w:val="00DB5CD9"/>
    <w:rsid w:val="00DB6A3F"/>
    <w:rsid w:val="00DC5F87"/>
    <w:rsid w:val="00DE1803"/>
    <w:rsid w:val="00DE7DB8"/>
    <w:rsid w:val="00DF01F0"/>
    <w:rsid w:val="00E01C5E"/>
    <w:rsid w:val="00E02F1C"/>
    <w:rsid w:val="00E064E3"/>
    <w:rsid w:val="00E06630"/>
    <w:rsid w:val="00E227E6"/>
    <w:rsid w:val="00E254D4"/>
    <w:rsid w:val="00E32C0D"/>
    <w:rsid w:val="00E53D13"/>
    <w:rsid w:val="00E62046"/>
    <w:rsid w:val="00E65F0B"/>
    <w:rsid w:val="00E8067C"/>
    <w:rsid w:val="00E8204B"/>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45E28"/>
    <w:rsid w:val="00F512E9"/>
    <w:rsid w:val="00F54606"/>
    <w:rsid w:val="00F67A6A"/>
    <w:rsid w:val="00F67A9C"/>
    <w:rsid w:val="00F67EC0"/>
    <w:rsid w:val="00F72DB1"/>
    <w:rsid w:val="00F77DC9"/>
    <w:rsid w:val="00F82368"/>
    <w:rsid w:val="00FA70D5"/>
    <w:rsid w:val="00FB10EC"/>
    <w:rsid w:val="00FC0983"/>
    <w:rsid w:val="00FC21F8"/>
    <w:rsid w:val="00FC6689"/>
    <w:rsid w:val="00FC72F2"/>
    <w:rsid w:val="00FF1A4F"/>
    <w:rsid w:val="00FF5911"/>
    <w:rsid w:val="015E11C2"/>
    <w:rsid w:val="01637725"/>
    <w:rsid w:val="01CB1C9B"/>
    <w:rsid w:val="020F48EF"/>
    <w:rsid w:val="02417756"/>
    <w:rsid w:val="02E40AD0"/>
    <w:rsid w:val="02F3137F"/>
    <w:rsid w:val="033A4D39"/>
    <w:rsid w:val="034644C7"/>
    <w:rsid w:val="04196F12"/>
    <w:rsid w:val="04435A9E"/>
    <w:rsid w:val="045C1E64"/>
    <w:rsid w:val="048C5E7E"/>
    <w:rsid w:val="04950991"/>
    <w:rsid w:val="04C75A47"/>
    <w:rsid w:val="054A4FBF"/>
    <w:rsid w:val="054B7EFA"/>
    <w:rsid w:val="05831998"/>
    <w:rsid w:val="05D8644B"/>
    <w:rsid w:val="060A409E"/>
    <w:rsid w:val="0610015A"/>
    <w:rsid w:val="06331B3C"/>
    <w:rsid w:val="066C6455"/>
    <w:rsid w:val="06866957"/>
    <w:rsid w:val="06930C07"/>
    <w:rsid w:val="072859C3"/>
    <w:rsid w:val="0744281B"/>
    <w:rsid w:val="07853686"/>
    <w:rsid w:val="079A3378"/>
    <w:rsid w:val="07B45D81"/>
    <w:rsid w:val="07C26F1E"/>
    <w:rsid w:val="07C52B3D"/>
    <w:rsid w:val="07D6576F"/>
    <w:rsid w:val="07F1682B"/>
    <w:rsid w:val="08064FC2"/>
    <w:rsid w:val="080D6F41"/>
    <w:rsid w:val="086D199A"/>
    <w:rsid w:val="089F7108"/>
    <w:rsid w:val="08A87A0E"/>
    <w:rsid w:val="08D300AE"/>
    <w:rsid w:val="09277EEB"/>
    <w:rsid w:val="09544BC9"/>
    <w:rsid w:val="096506FA"/>
    <w:rsid w:val="09B80512"/>
    <w:rsid w:val="0A01440A"/>
    <w:rsid w:val="0A15049C"/>
    <w:rsid w:val="0A272E8B"/>
    <w:rsid w:val="0A42093E"/>
    <w:rsid w:val="0A513B0D"/>
    <w:rsid w:val="0A5478A3"/>
    <w:rsid w:val="0AC448E9"/>
    <w:rsid w:val="0B960020"/>
    <w:rsid w:val="0CB94FFA"/>
    <w:rsid w:val="0CD152DE"/>
    <w:rsid w:val="0D037CFA"/>
    <w:rsid w:val="0D0A4803"/>
    <w:rsid w:val="0D3600BA"/>
    <w:rsid w:val="0D543E5F"/>
    <w:rsid w:val="0D865BC8"/>
    <w:rsid w:val="0DBF596A"/>
    <w:rsid w:val="0DD32259"/>
    <w:rsid w:val="0E143946"/>
    <w:rsid w:val="0E73282A"/>
    <w:rsid w:val="0E90785F"/>
    <w:rsid w:val="0EC252C3"/>
    <w:rsid w:val="0EF43DB9"/>
    <w:rsid w:val="0F0A7F86"/>
    <w:rsid w:val="0F7D59F6"/>
    <w:rsid w:val="0F850895"/>
    <w:rsid w:val="0FE975D8"/>
    <w:rsid w:val="102F133E"/>
    <w:rsid w:val="10886C53"/>
    <w:rsid w:val="1091535F"/>
    <w:rsid w:val="10987645"/>
    <w:rsid w:val="10AC5A06"/>
    <w:rsid w:val="10B272CB"/>
    <w:rsid w:val="10ED247D"/>
    <w:rsid w:val="110764BF"/>
    <w:rsid w:val="113A6DA1"/>
    <w:rsid w:val="114758B1"/>
    <w:rsid w:val="115C628C"/>
    <w:rsid w:val="117B5CF3"/>
    <w:rsid w:val="11921C3C"/>
    <w:rsid w:val="119A5652"/>
    <w:rsid w:val="11BA7B51"/>
    <w:rsid w:val="11DC66A3"/>
    <w:rsid w:val="120F1E2C"/>
    <w:rsid w:val="12540566"/>
    <w:rsid w:val="12887EC7"/>
    <w:rsid w:val="12946645"/>
    <w:rsid w:val="12A0201F"/>
    <w:rsid w:val="12D3200B"/>
    <w:rsid w:val="132F62D2"/>
    <w:rsid w:val="13495D69"/>
    <w:rsid w:val="137E691B"/>
    <w:rsid w:val="13837E46"/>
    <w:rsid w:val="13986218"/>
    <w:rsid w:val="13B7767A"/>
    <w:rsid w:val="13B9670D"/>
    <w:rsid w:val="13DE4767"/>
    <w:rsid w:val="14484DCB"/>
    <w:rsid w:val="14852776"/>
    <w:rsid w:val="14F32DBB"/>
    <w:rsid w:val="15140BCE"/>
    <w:rsid w:val="15337B56"/>
    <w:rsid w:val="153C01B0"/>
    <w:rsid w:val="154B58FE"/>
    <w:rsid w:val="1584793E"/>
    <w:rsid w:val="15874EAA"/>
    <w:rsid w:val="15A42A8B"/>
    <w:rsid w:val="15C47445"/>
    <w:rsid w:val="15DF45C9"/>
    <w:rsid w:val="15E41B70"/>
    <w:rsid w:val="162E0DFB"/>
    <w:rsid w:val="16440A35"/>
    <w:rsid w:val="16577530"/>
    <w:rsid w:val="167255CF"/>
    <w:rsid w:val="16840173"/>
    <w:rsid w:val="16AF67C8"/>
    <w:rsid w:val="16FB6F37"/>
    <w:rsid w:val="1778450C"/>
    <w:rsid w:val="17825A05"/>
    <w:rsid w:val="17D31FDC"/>
    <w:rsid w:val="17D76C2B"/>
    <w:rsid w:val="17E3163D"/>
    <w:rsid w:val="17F8769D"/>
    <w:rsid w:val="18041AB4"/>
    <w:rsid w:val="1812072F"/>
    <w:rsid w:val="182B3A93"/>
    <w:rsid w:val="18702526"/>
    <w:rsid w:val="189F7450"/>
    <w:rsid w:val="190F268E"/>
    <w:rsid w:val="19287585"/>
    <w:rsid w:val="194427B5"/>
    <w:rsid w:val="19610BFF"/>
    <w:rsid w:val="19953307"/>
    <w:rsid w:val="19A07D04"/>
    <w:rsid w:val="19C00554"/>
    <w:rsid w:val="19EC565F"/>
    <w:rsid w:val="1A2C6A6A"/>
    <w:rsid w:val="1AB13D5A"/>
    <w:rsid w:val="1B2C6F2C"/>
    <w:rsid w:val="1B5D5F33"/>
    <w:rsid w:val="1B683E09"/>
    <w:rsid w:val="1BA24967"/>
    <w:rsid w:val="1BAF6A57"/>
    <w:rsid w:val="1BCE5D96"/>
    <w:rsid w:val="1BD94940"/>
    <w:rsid w:val="1BDE2098"/>
    <w:rsid w:val="1BE069CA"/>
    <w:rsid w:val="1C190CF6"/>
    <w:rsid w:val="1C465E86"/>
    <w:rsid w:val="1C726314"/>
    <w:rsid w:val="1C8B0511"/>
    <w:rsid w:val="1CD37257"/>
    <w:rsid w:val="1CE252F3"/>
    <w:rsid w:val="1D014BAB"/>
    <w:rsid w:val="1D104FDC"/>
    <w:rsid w:val="1D117096"/>
    <w:rsid w:val="1DE516B8"/>
    <w:rsid w:val="1E047274"/>
    <w:rsid w:val="1E311586"/>
    <w:rsid w:val="1E433C85"/>
    <w:rsid w:val="1ED877DF"/>
    <w:rsid w:val="1EED785E"/>
    <w:rsid w:val="1F0B3DFE"/>
    <w:rsid w:val="1F1E345F"/>
    <w:rsid w:val="1F274643"/>
    <w:rsid w:val="1F5522A7"/>
    <w:rsid w:val="1F57117B"/>
    <w:rsid w:val="1F7929AE"/>
    <w:rsid w:val="1FD45CE1"/>
    <w:rsid w:val="1FF41399"/>
    <w:rsid w:val="201E5567"/>
    <w:rsid w:val="21433609"/>
    <w:rsid w:val="214D162F"/>
    <w:rsid w:val="216E0C27"/>
    <w:rsid w:val="21980691"/>
    <w:rsid w:val="21FB0864"/>
    <w:rsid w:val="22042471"/>
    <w:rsid w:val="22171129"/>
    <w:rsid w:val="222D0D62"/>
    <w:rsid w:val="22551E62"/>
    <w:rsid w:val="227D729C"/>
    <w:rsid w:val="23320572"/>
    <w:rsid w:val="2350568B"/>
    <w:rsid w:val="237F35E5"/>
    <w:rsid w:val="23A50D24"/>
    <w:rsid w:val="23E44373"/>
    <w:rsid w:val="241110D5"/>
    <w:rsid w:val="242806AA"/>
    <w:rsid w:val="24392A65"/>
    <w:rsid w:val="2467066D"/>
    <w:rsid w:val="247D5916"/>
    <w:rsid w:val="24E1340C"/>
    <w:rsid w:val="24E91956"/>
    <w:rsid w:val="250B4E48"/>
    <w:rsid w:val="252E26F1"/>
    <w:rsid w:val="2552129D"/>
    <w:rsid w:val="25AA765A"/>
    <w:rsid w:val="25C3267A"/>
    <w:rsid w:val="25D568B4"/>
    <w:rsid w:val="25F33B9E"/>
    <w:rsid w:val="260C731E"/>
    <w:rsid w:val="26103F21"/>
    <w:rsid w:val="26B533E7"/>
    <w:rsid w:val="26FD51EF"/>
    <w:rsid w:val="274A1863"/>
    <w:rsid w:val="27B21954"/>
    <w:rsid w:val="27BD7BC5"/>
    <w:rsid w:val="27BF7481"/>
    <w:rsid w:val="27C604DA"/>
    <w:rsid w:val="27EA63D1"/>
    <w:rsid w:val="287A5D0E"/>
    <w:rsid w:val="28B05EE9"/>
    <w:rsid w:val="28D30187"/>
    <w:rsid w:val="28E571A8"/>
    <w:rsid w:val="29151C7E"/>
    <w:rsid w:val="294C4E21"/>
    <w:rsid w:val="296D4B02"/>
    <w:rsid w:val="29C40F6C"/>
    <w:rsid w:val="29C565A0"/>
    <w:rsid w:val="2A103412"/>
    <w:rsid w:val="2A1E1418"/>
    <w:rsid w:val="2A770C99"/>
    <w:rsid w:val="2A9A5574"/>
    <w:rsid w:val="2B2942A8"/>
    <w:rsid w:val="2B3012EB"/>
    <w:rsid w:val="2B704201"/>
    <w:rsid w:val="2B7F1CCB"/>
    <w:rsid w:val="2BBB2833"/>
    <w:rsid w:val="2BC42334"/>
    <w:rsid w:val="2C1011CD"/>
    <w:rsid w:val="2C40390A"/>
    <w:rsid w:val="2C4C703B"/>
    <w:rsid w:val="2C994559"/>
    <w:rsid w:val="2D241337"/>
    <w:rsid w:val="2D68440E"/>
    <w:rsid w:val="2D6F1B20"/>
    <w:rsid w:val="2D753D30"/>
    <w:rsid w:val="2D8B7D42"/>
    <w:rsid w:val="2DA17B53"/>
    <w:rsid w:val="2DC02129"/>
    <w:rsid w:val="2DED2235"/>
    <w:rsid w:val="2E010168"/>
    <w:rsid w:val="2E6A7D66"/>
    <w:rsid w:val="2E7B51C5"/>
    <w:rsid w:val="2E8E2535"/>
    <w:rsid w:val="2EA605F1"/>
    <w:rsid w:val="2EA972CC"/>
    <w:rsid w:val="2EC31B75"/>
    <w:rsid w:val="2EC33B86"/>
    <w:rsid w:val="2EF83F09"/>
    <w:rsid w:val="2F216F19"/>
    <w:rsid w:val="2FB93DA2"/>
    <w:rsid w:val="2FE72027"/>
    <w:rsid w:val="306A1371"/>
    <w:rsid w:val="30A91F61"/>
    <w:rsid w:val="30B4726E"/>
    <w:rsid w:val="30B67831"/>
    <w:rsid w:val="30D02212"/>
    <w:rsid w:val="310E4E58"/>
    <w:rsid w:val="311E3372"/>
    <w:rsid w:val="3127549C"/>
    <w:rsid w:val="31533557"/>
    <w:rsid w:val="31AE49D4"/>
    <w:rsid w:val="31B41A9A"/>
    <w:rsid w:val="31C74937"/>
    <w:rsid w:val="31D97ACB"/>
    <w:rsid w:val="31F02E84"/>
    <w:rsid w:val="32062205"/>
    <w:rsid w:val="322068C9"/>
    <w:rsid w:val="323C0EFE"/>
    <w:rsid w:val="326170B4"/>
    <w:rsid w:val="328F3B54"/>
    <w:rsid w:val="329A11A0"/>
    <w:rsid w:val="32FF7EB7"/>
    <w:rsid w:val="33424079"/>
    <w:rsid w:val="336359DD"/>
    <w:rsid w:val="339A1C68"/>
    <w:rsid w:val="339A5C1F"/>
    <w:rsid w:val="33D162D7"/>
    <w:rsid w:val="33D812CA"/>
    <w:rsid w:val="34126396"/>
    <w:rsid w:val="343E2E3B"/>
    <w:rsid w:val="345E593B"/>
    <w:rsid w:val="34605A84"/>
    <w:rsid w:val="346A7C1E"/>
    <w:rsid w:val="346C230B"/>
    <w:rsid w:val="35034F52"/>
    <w:rsid w:val="352C602C"/>
    <w:rsid w:val="352E0982"/>
    <w:rsid w:val="356354F5"/>
    <w:rsid w:val="35B16527"/>
    <w:rsid w:val="363C1BD7"/>
    <w:rsid w:val="364E3624"/>
    <w:rsid w:val="36774E48"/>
    <w:rsid w:val="36B76A85"/>
    <w:rsid w:val="36B82ADE"/>
    <w:rsid w:val="36E323C8"/>
    <w:rsid w:val="37174190"/>
    <w:rsid w:val="376879F0"/>
    <w:rsid w:val="378F057D"/>
    <w:rsid w:val="37EC4B4C"/>
    <w:rsid w:val="38282E1B"/>
    <w:rsid w:val="383529C2"/>
    <w:rsid w:val="387B665C"/>
    <w:rsid w:val="39010E11"/>
    <w:rsid w:val="39676CBC"/>
    <w:rsid w:val="39690814"/>
    <w:rsid w:val="39B76C90"/>
    <w:rsid w:val="39C37A55"/>
    <w:rsid w:val="39C53B44"/>
    <w:rsid w:val="39C84D10"/>
    <w:rsid w:val="39EF39C3"/>
    <w:rsid w:val="3A021304"/>
    <w:rsid w:val="3A23092B"/>
    <w:rsid w:val="3A35598B"/>
    <w:rsid w:val="3A595F4B"/>
    <w:rsid w:val="3A9D0C11"/>
    <w:rsid w:val="3AB87BB6"/>
    <w:rsid w:val="3B4C73CF"/>
    <w:rsid w:val="3BC05BE8"/>
    <w:rsid w:val="3BC55932"/>
    <w:rsid w:val="3C534D08"/>
    <w:rsid w:val="3C7826C2"/>
    <w:rsid w:val="3C8F2051"/>
    <w:rsid w:val="3CD87A38"/>
    <w:rsid w:val="3D4436A1"/>
    <w:rsid w:val="3D83215E"/>
    <w:rsid w:val="3DB8796B"/>
    <w:rsid w:val="3DF76443"/>
    <w:rsid w:val="3DFF3A1A"/>
    <w:rsid w:val="3E166344"/>
    <w:rsid w:val="3E4F6E87"/>
    <w:rsid w:val="3E6C1784"/>
    <w:rsid w:val="3E8C212D"/>
    <w:rsid w:val="3EA946F7"/>
    <w:rsid w:val="3EAB715E"/>
    <w:rsid w:val="3ED4630A"/>
    <w:rsid w:val="3ED615CF"/>
    <w:rsid w:val="3EEC674A"/>
    <w:rsid w:val="3F8907F6"/>
    <w:rsid w:val="3F8B7D7F"/>
    <w:rsid w:val="3FDA33E1"/>
    <w:rsid w:val="3FF20B0E"/>
    <w:rsid w:val="40670EF7"/>
    <w:rsid w:val="40682937"/>
    <w:rsid w:val="406A6BD4"/>
    <w:rsid w:val="40974D22"/>
    <w:rsid w:val="40AB1A12"/>
    <w:rsid w:val="40D52066"/>
    <w:rsid w:val="41012626"/>
    <w:rsid w:val="41414A49"/>
    <w:rsid w:val="415249F8"/>
    <w:rsid w:val="417575F2"/>
    <w:rsid w:val="419418DC"/>
    <w:rsid w:val="41B92834"/>
    <w:rsid w:val="41BD7655"/>
    <w:rsid w:val="41CC7DB7"/>
    <w:rsid w:val="41DC334B"/>
    <w:rsid w:val="42631848"/>
    <w:rsid w:val="42CD30A6"/>
    <w:rsid w:val="42EE6E5E"/>
    <w:rsid w:val="42F60353"/>
    <w:rsid w:val="4365451E"/>
    <w:rsid w:val="437A1AF3"/>
    <w:rsid w:val="438556A7"/>
    <w:rsid w:val="43A6228A"/>
    <w:rsid w:val="43CD4677"/>
    <w:rsid w:val="43D63BB7"/>
    <w:rsid w:val="445A3B32"/>
    <w:rsid w:val="44814819"/>
    <w:rsid w:val="449B7167"/>
    <w:rsid w:val="44CC2C77"/>
    <w:rsid w:val="44E237E5"/>
    <w:rsid w:val="4524487F"/>
    <w:rsid w:val="45504986"/>
    <w:rsid w:val="455767F9"/>
    <w:rsid w:val="45AC3ECF"/>
    <w:rsid w:val="45CC078F"/>
    <w:rsid w:val="45FA1697"/>
    <w:rsid w:val="462907D8"/>
    <w:rsid w:val="466B1639"/>
    <w:rsid w:val="466B6F06"/>
    <w:rsid w:val="46860155"/>
    <w:rsid w:val="469F0F07"/>
    <w:rsid w:val="46BC2DEA"/>
    <w:rsid w:val="46C05878"/>
    <w:rsid w:val="46C43E23"/>
    <w:rsid w:val="46E93EA5"/>
    <w:rsid w:val="471B3B8B"/>
    <w:rsid w:val="476049FD"/>
    <w:rsid w:val="47802A85"/>
    <w:rsid w:val="47E65D23"/>
    <w:rsid w:val="47F54E11"/>
    <w:rsid w:val="47F6480D"/>
    <w:rsid w:val="4801691C"/>
    <w:rsid w:val="482B788B"/>
    <w:rsid w:val="48391F3D"/>
    <w:rsid w:val="48714C8C"/>
    <w:rsid w:val="487C60FD"/>
    <w:rsid w:val="489E098C"/>
    <w:rsid w:val="48B61CC6"/>
    <w:rsid w:val="48BD34D6"/>
    <w:rsid w:val="48E87129"/>
    <w:rsid w:val="492A5B50"/>
    <w:rsid w:val="49321AAF"/>
    <w:rsid w:val="493A681C"/>
    <w:rsid w:val="493C2E02"/>
    <w:rsid w:val="494D579F"/>
    <w:rsid w:val="498C0831"/>
    <w:rsid w:val="498C1FB1"/>
    <w:rsid w:val="49BB19E3"/>
    <w:rsid w:val="49D81925"/>
    <w:rsid w:val="4A134EFF"/>
    <w:rsid w:val="4A255416"/>
    <w:rsid w:val="4A295537"/>
    <w:rsid w:val="4A937164"/>
    <w:rsid w:val="4A9750EA"/>
    <w:rsid w:val="4AA40703"/>
    <w:rsid w:val="4AE65786"/>
    <w:rsid w:val="4B135EF0"/>
    <w:rsid w:val="4B1D70C8"/>
    <w:rsid w:val="4B690413"/>
    <w:rsid w:val="4BB86F47"/>
    <w:rsid w:val="4BF60566"/>
    <w:rsid w:val="4C1C3F8C"/>
    <w:rsid w:val="4C263A21"/>
    <w:rsid w:val="4C2F5D86"/>
    <w:rsid w:val="4C973694"/>
    <w:rsid w:val="4CCE54E6"/>
    <w:rsid w:val="4D5D4C67"/>
    <w:rsid w:val="4DFD248C"/>
    <w:rsid w:val="4E370E53"/>
    <w:rsid w:val="4EC3046A"/>
    <w:rsid w:val="4ECD4D2C"/>
    <w:rsid w:val="4EDD4EDE"/>
    <w:rsid w:val="4EE45C33"/>
    <w:rsid w:val="4EED4C04"/>
    <w:rsid w:val="4F323CFA"/>
    <w:rsid w:val="4F726F49"/>
    <w:rsid w:val="4FA51265"/>
    <w:rsid w:val="4FB2334F"/>
    <w:rsid w:val="4FBE27AA"/>
    <w:rsid w:val="4FDD6C50"/>
    <w:rsid w:val="500C5A60"/>
    <w:rsid w:val="50461117"/>
    <w:rsid w:val="504B6E9D"/>
    <w:rsid w:val="50874734"/>
    <w:rsid w:val="509A5F14"/>
    <w:rsid w:val="514B566F"/>
    <w:rsid w:val="515442E6"/>
    <w:rsid w:val="51954E8A"/>
    <w:rsid w:val="519B5496"/>
    <w:rsid w:val="51DF63BD"/>
    <w:rsid w:val="52667895"/>
    <w:rsid w:val="52771979"/>
    <w:rsid w:val="52B20439"/>
    <w:rsid w:val="52F47489"/>
    <w:rsid w:val="53140A76"/>
    <w:rsid w:val="5337488A"/>
    <w:rsid w:val="53735224"/>
    <w:rsid w:val="537D24F6"/>
    <w:rsid w:val="53AD73D7"/>
    <w:rsid w:val="53CD182A"/>
    <w:rsid w:val="543A32A9"/>
    <w:rsid w:val="543C05E0"/>
    <w:rsid w:val="545952F2"/>
    <w:rsid w:val="54B9651A"/>
    <w:rsid w:val="54F9389F"/>
    <w:rsid w:val="54FE4775"/>
    <w:rsid w:val="55222910"/>
    <w:rsid w:val="55514205"/>
    <w:rsid w:val="55643FAD"/>
    <w:rsid w:val="55843C30"/>
    <w:rsid w:val="559032FC"/>
    <w:rsid w:val="55EF2193"/>
    <w:rsid w:val="560165A7"/>
    <w:rsid w:val="560B3FD6"/>
    <w:rsid w:val="56195379"/>
    <w:rsid w:val="563121A3"/>
    <w:rsid w:val="563A5292"/>
    <w:rsid w:val="5646747A"/>
    <w:rsid w:val="567B0F8C"/>
    <w:rsid w:val="567E662B"/>
    <w:rsid w:val="56B83FB1"/>
    <w:rsid w:val="56CD2B10"/>
    <w:rsid w:val="56D476A1"/>
    <w:rsid w:val="56DA09C7"/>
    <w:rsid w:val="570A4C1D"/>
    <w:rsid w:val="574328BF"/>
    <w:rsid w:val="575F4375"/>
    <w:rsid w:val="5762766F"/>
    <w:rsid w:val="57AC1E66"/>
    <w:rsid w:val="57D41D62"/>
    <w:rsid w:val="584667E1"/>
    <w:rsid w:val="5884596F"/>
    <w:rsid w:val="589C1605"/>
    <w:rsid w:val="58AB7858"/>
    <w:rsid w:val="58E1781D"/>
    <w:rsid w:val="58F856CE"/>
    <w:rsid w:val="59471C07"/>
    <w:rsid w:val="59645BB0"/>
    <w:rsid w:val="59736D9D"/>
    <w:rsid w:val="598336AE"/>
    <w:rsid w:val="599B3F0F"/>
    <w:rsid w:val="59A2047A"/>
    <w:rsid w:val="59C030BE"/>
    <w:rsid w:val="5A3537A2"/>
    <w:rsid w:val="5A3E4ACF"/>
    <w:rsid w:val="5A41650D"/>
    <w:rsid w:val="5A7852B1"/>
    <w:rsid w:val="5AA97C90"/>
    <w:rsid w:val="5AD858CE"/>
    <w:rsid w:val="5AE4319D"/>
    <w:rsid w:val="5C7E5C8C"/>
    <w:rsid w:val="5C8A37E8"/>
    <w:rsid w:val="5CE90207"/>
    <w:rsid w:val="5D875E55"/>
    <w:rsid w:val="5E3B759B"/>
    <w:rsid w:val="5E501568"/>
    <w:rsid w:val="5E50611E"/>
    <w:rsid w:val="5E544DB8"/>
    <w:rsid w:val="5EB138AE"/>
    <w:rsid w:val="5EB53035"/>
    <w:rsid w:val="5ED23CC7"/>
    <w:rsid w:val="5EE6353D"/>
    <w:rsid w:val="5F0310B7"/>
    <w:rsid w:val="5F0C287E"/>
    <w:rsid w:val="5F1655AE"/>
    <w:rsid w:val="5F377800"/>
    <w:rsid w:val="5F5952B0"/>
    <w:rsid w:val="5FDC2402"/>
    <w:rsid w:val="602E28A2"/>
    <w:rsid w:val="60C0423D"/>
    <w:rsid w:val="60C30298"/>
    <w:rsid w:val="60D76AF0"/>
    <w:rsid w:val="60DB2B02"/>
    <w:rsid w:val="60E7450D"/>
    <w:rsid w:val="60E80F88"/>
    <w:rsid w:val="60F2614D"/>
    <w:rsid w:val="61051BBD"/>
    <w:rsid w:val="6166406C"/>
    <w:rsid w:val="618F3AF2"/>
    <w:rsid w:val="61AF021E"/>
    <w:rsid w:val="61DA68DC"/>
    <w:rsid w:val="622708C6"/>
    <w:rsid w:val="62454B61"/>
    <w:rsid w:val="62460A47"/>
    <w:rsid w:val="62957D4A"/>
    <w:rsid w:val="634C5E2C"/>
    <w:rsid w:val="63554C8E"/>
    <w:rsid w:val="63890B77"/>
    <w:rsid w:val="63970830"/>
    <w:rsid w:val="639D1EC4"/>
    <w:rsid w:val="63A13700"/>
    <w:rsid w:val="63DA03E2"/>
    <w:rsid w:val="63DF1E75"/>
    <w:rsid w:val="63DF4C30"/>
    <w:rsid w:val="64541B77"/>
    <w:rsid w:val="64667487"/>
    <w:rsid w:val="649D39A3"/>
    <w:rsid w:val="64E9282A"/>
    <w:rsid w:val="65194891"/>
    <w:rsid w:val="65473967"/>
    <w:rsid w:val="65C63D9B"/>
    <w:rsid w:val="65F37A29"/>
    <w:rsid w:val="66103AAA"/>
    <w:rsid w:val="662C3C11"/>
    <w:rsid w:val="667640C4"/>
    <w:rsid w:val="66DC24A5"/>
    <w:rsid w:val="66DF3B52"/>
    <w:rsid w:val="672963E0"/>
    <w:rsid w:val="672F20B7"/>
    <w:rsid w:val="674B207E"/>
    <w:rsid w:val="675A4556"/>
    <w:rsid w:val="675C47D1"/>
    <w:rsid w:val="675E5725"/>
    <w:rsid w:val="679271B5"/>
    <w:rsid w:val="67AE1BA6"/>
    <w:rsid w:val="68191A65"/>
    <w:rsid w:val="681C6D27"/>
    <w:rsid w:val="68C76D6E"/>
    <w:rsid w:val="68F60924"/>
    <w:rsid w:val="69187C37"/>
    <w:rsid w:val="6943423A"/>
    <w:rsid w:val="69572330"/>
    <w:rsid w:val="698C4C9E"/>
    <w:rsid w:val="69E719A0"/>
    <w:rsid w:val="69F065E8"/>
    <w:rsid w:val="6A557981"/>
    <w:rsid w:val="6A5B0FA5"/>
    <w:rsid w:val="6A983C35"/>
    <w:rsid w:val="6AAC3F8C"/>
    <w:rsid w:val="6ADF3CE8"/>
    <w:rsid w:val="6AFD414A"/>
    <w:rsid w:val="6B4C2F45"/>
    <w:rsid w:val="6B6E4269"/>
    <w:rsid w:val="6B961612"/>
    <w:rsid w:val="6B966680"/>
    <w:rsid w:val="6B9C61DE"/>
    <w:rsid w:val="6BEA36B3"/>
    <w:rsid w:val="6C0F6FE9"/>
    <w:rsid w:val="6C161AD0"/>
    <w:rsid w:val="6CD22285"/>
    <w:rsid w:val="6D157AE9"/>
    <w:rsid w:val="6D275220"/>
    <w:rsid w:val="6D2E7D50"/>
    <w:rsid w:val="6DA3192A"/>
    <w:rsid w:val="6DAB24D2"/>
    <w:rsid w:val="6DB62E02"/>
    <w:rsid w:val="6DD90E21"/>
    <w:rsid w:val="6DDC725E"/>
    <w:rsid w:val="6DE0162F"/>
    <w:rsid w:val="6DFA3383"/>
    <w:rsid w:val="6E1A49C5"/>
    <w:rsid w:val="6E254EA7"/>
    <w:rsid w:val="6E3C5181"/>
    <w:rsid w:val="6E4B2AEB"/>
    <w:rsid w:val="6E754280"/>
    <w:rsid w:val="6EBB30B7"/>
    <w:rsid w:val="6F0D185D"/>
    <w:rsid w:val="6F262B98"/>
    <w:rsid w:val="6F2875FC"/>
    <w:rsid w:val="6F786BDA"/>
    <w:rsid w:val="6FA9351C"/>
    <w:rsid w:val="6FB31176"/>
    <w:rsid w:val="6FDF4741"/>
    <w:rsid w:val="6FF00FC0"/>
    <w:rsid w:val="702C77B8"/>
    <w:rsid w:val="70786034"/>
    <w:rsid w:val="70851CBD"/>
    <w:rsid w:val="709573C6"/>
    <w:rsid w:val="709C6E2A"/>
    <w:rsid w:val="709E2354"/>
    <w:rsid w:val="70E70772"/>
    <w:rsid w:val="71031842"/>
    <w:rsid w:val="713956B2"/>
    <w:rsid w:val="71900429"/>
    <w:rsid w:val="719027A5"/>
    <w:rsid w:val="71930C34"/>
    <w:rsid w:val="719B1CDE"/>
    <w:rsid w:val="71C9496E"/>
    <w:rsid w:val="71EE76F7"/>
    <w:rsid w:val="720E1DB5"/>
    <w:rsid w:val="72366C76"/>
    <w:rsid w:val="725F0CAE"/>
    <w:rsid w:val="72981180"/>
    <w:rsid w:val="729C09F9"/>
    <w:rsid w:val="72B3756B"/>
    <w:rsid w:val="72F15C92"/>
    <w:rsid w:val="73001A15"/>
    <w:rsid w:val="73155C46"/>
    <w:rsid w:val="7366194C"/>
    <w:rsid w:val="736E248F"/>
    <w:rsid w:val="738F3AFD"/>
    <w:rsid w:val="73B91244"/>
    <w:rsid w:val="74062834"/>
    <w:rsid w:val="740D552E"/>
    <w:rsid w:val="74136087"/>
    <w:rsid w:val="7443680B"/>
    <w:rsid w:val="74472505"/>
    <w:rsid w:val="747E71DD"/>
    <w:rsid w:val="74A805D6"/>
    <w:rsid w:val="74A870B6"/>
    <w:rsid w:val="74E70150"/>
    <w:rsid w:val="74EC6D1E"/>
    <w:rsid w:val="74FA0674"/>
    <w:rsid w:val="74FA331C"/>
    <w:rsid w:val="75394E27"/>
    <w:rsid w:val="754F1383"/>
    <w:rsid w:val="7597498F"/>
    <w:rsid w:val="75DC198B"/>
    <w:rsid w:val="75DF4A02"/>
    <w:rsid w:val="762A07F6"/>
    <w:rsid w:val="764A2B58"/>
    <w:rsid w:val="76661B90"/>
    <w:rsid w:val="77644889"/>
    <w:rsid w:val="77731DCC"/>
    <w:rsid w:val="77955676"/>
    <w:rsid w:val="77B301A9"/>
    <w:rsid w:val="77BE7190"/>
    <w:rsid w:val="77D83AB0"/>
    <w:rsid w:val="77DD4D17"/>
    <w:rsid w:val="77F43C8B"/>
    <w:rsid w:val="77FA47E4"/>
    <w:rsid w:val="780D59F8"/>
    <w:rsid w:val="781E08A5"/>
    <w:rsid w:val="782477FE"/>
    <w:rsid w:val="78F759E0"/>
    <w:rsid w:val="78FB1E09"/>
    <w:rsid w:val="795F38DB"/>
    <w:rsid w:val="79802062"/>
    <w:rsid w:val="79BB4445"/>
    <w:rsid w:val="79CB1D62"/>
    <w:rsid w:val="79CB33E9"/>
    <w:rsid w:val="79CC1086"/>
    <w:rsid w:val="79E35336"/>
    <w:rsid w:val="79EF28EF"/>
    <w:rsid w:val="79FF0472"/>
    <w:rsid w:val="7A0E66B3"/>
    <w:rsid w:val="7A300713"/>
    <w:rsid w:val="7A3B7268"/>
    <w:rsid w:val="7AB968E7"/>
    <w:rsid w:val="7AC65BFC"/>
    <w:rsid w:val="7B0735D8"/>
    <w:rsid w:val="7B0F7EA2"/>
    <w:rsid w:val="7B2F3DDD"/>
    <w:rsid w:val="7B4B41CD"/>
    <w:rsid w:val="7B5A24C6"/>
    <w:rsid w:val="7B6F7E14"/>
    <w:rsid w:val="7BFE5099"/>
    <w:rsid w:val="7C1977A8"/>
    <w:rsid w:val="7C2D23EC"/>
    <w:rsid w:val="7CDB4C9F"/>
    <w:rsid w:val="7D016D57"/>
    <w:rsid w:val="7D2B624D"/>
    <w:rsid w:val="7D5D23BD"/>
    <w:rsid w:val="7D6F00D9"/>
    <w:rsid w:val="7DBC01D8"/>
    <w:rsid w:val="7DF80533"/>
    <w:rsid w:val="7E6622D6"/>
    <w:rsid w:val="7EA630E7"/>
    <w:rsid w:val="7EB61058"/>
    <w:rsid w:val="7ED004CF"/>
    <w:rsid w:val="7F691199"/>
    <w:rsid w:val="7F8C4BD0"/>
    <w:rsid w:val="7F9C17F8"/>
    <w:rsid w:val="7FA90BF5"/>
    <w:rsid w:val="7FBE3061"/>
    <w:rsid w:val="7FC66FC8"/>
    <w:rsid w:val="7FEC571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5"/>
    <w:qFormat/>
    <w:uiPriority w:val="0"/>
    <w:rPr>
      <w:b/>
      <w:bCs/>
    </w:rPr>
  </w:style>
  <w:style w:type="character" w:styleId="10">
    <w:name w:val="FollowedHyperlink"/>
    <w:basedOn w:val="9"/>
    <w:qFormat/>
    <w:uiPriority w:val="0"/>
    <w:rPr>
      <w:color w:val="000000"/>
      <w:u w:val="none"/>
    </w:rPr>
  </w:style>
  <w:style w:type="character" w:styleId="11">
    <w:name w:val="Hyperlink"/>
    <w:basedOn w:val="9"/>
    <w:qFormat/>
    <w:uiPriority w:val="0"/>
    <w:rPr>
      <w:color w:val="000000"/>
      <w:u w:val="none"/>
    </w:rPr>
  </w:style>
  <w:style w:type="character" w:styleId="12">
    <w:name w:val="annotation reference"/>
    <w:qFormat/>
    <w:uiPriority w:val="0"/>
    <w:rPr>
      <w:sz w:val="21"/>
      <w:szCs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_Style 13"/>
    <w:basedOn w:val="1"/>
    <w:next w:val="1"/>
    <w:qFormat/>
    <w:uiPriority w:val="0"/>
    <w:pPr>
      <w:pBdr>
        <w:top w:val="single" w:color="auto" w:sz="6" w:space="1"/>
      </w:pBdr>
      <w:jc w:val="center"/>
    </w:pPr>
    <w:rPr>
      <w:rFonts w:ascii="Arial" w:eastAsia="宋体"/>
      <w:vanish/>
      <w:sz w:val="16"/>
    </w:rPr>
  </w:style>
  <w:style w:type="character" w:customStyle="1" w:styleId="15">
    <w:name w:val="批注主题 Char"/>
    <w:link w:val="7"/>
    <w:qFormat/>
    <w:uiPriority w:val="0"/>
    <w:rPr>
      <w:b/>
      <w:bCs/>
      <w:kern w:val="2"/>
      <w:sz w:val="21"/>
      <w:szCs w:val="24"/>
    </w:rPr>
  </w:style>
  <w:style w:type="character" w:customStyle="1" w:styleId="16">
    <w:name w:val="批注文字 Char"/>
    <w:link w:val="2"/>
    <w:qFormat/>
    <w:uiPriority w:val="0"/>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15682</Words>
  <Characters>16214</Characters>
  <Lines>114</Lines>
  <Paragraphs>32</Paragraphs>
  <TotalTime>4</TotalTime>
  <ScaleCrop>false</ScaleCrop>
  <LinksUpToDate>false</LinksUpToDate>
  <CharactersWithSpaces>16363</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2023-04-26T06:48:00Z</dcterms:created>
  <dc:creator>ylh</dc:creator>
  <cp:keywords>稳健低波</cp:keywords>
  <cp:lastModifiedBy>苏晨晓</cp:lastModifiedBy>
  <cp:lastPrinted>2023-03-20T06:17:00Z</cp:lastPrinted>
  <dcterms:modified xsi:type="dcterms:W3CDTF">2025-10-09T02:00:35Z</dcterms:modified>
  <dc:title>华夏理财固定收益纯债型封闭式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9CA373D9CFED4FBB8110A78974632525</vt:lpwstr>
  </property>
</Properties>
</file>