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adjustRightInd w:val="0"/>
        <w:snapToGrid w:val="0"/>
        <w:spacing w:line="400" w:lineRule="exact"/>
        <w:ind w:firstLine="0"/>
        <w:jc w:val="center"/>
        <w:rPr>
          <w:rFonts w:hint="eastAsia" w:eastAsia="黑体"/>
          <w:bCs/>
          <w:kern w:val="2"/>
          <w:sz w:val="36"/>
          <w:szCs w:val="36"/>
          <w:lang w:eastAsia="zh-CN"/>
        </w:rPr>
      </w:pPr>
      <w:bookmarkStart w:id="4" w:name="_GoBack"/>
      <w:bookmarkEnd w:id="4"/>
      <w:r>
        <w:rPr>
          <w:rFonts w:hint="eastAsia" w:eastAsia="黑体"/>
          <w:bCs/>
          <w:kern w:val="2"/>
          <w:sz w:val="36"/>
          <w:szCs w:val="36"/>
        </w:rPr>
        <w:t>华夏理财固定收益增强最短持有</w:t>
      </w:r>
      <w:r>
        <w:rPr>
          <w:rFonts w:hint="eastAsia" w:eastAsia="黑体"/>
          <w:bCs/>
          <w:kern w:val="2"/>
          <w:sz w:val="36"/>
          <w:szCs w:val="36"/>
          <w:lang w:eastAsia="zh-CN"/>
        </w:rPr>
        <w:t>60天理财产品C款</w:t>
      </w:r>
    </w:p>
    <w:p>
      <w:pPr>
        <w:pStyle w:val="6"/>
        <w:adjustRightInd w:val="0"/>
        <w:snapToGrid w:val="0"/>
        <w:spacing w:line="400" w:lineRule="exact"/>
        <w:ind w:firstLine="0"/>
        <w:jc w:val="center"/>
        <w:rPr>
          <w:rFonts w:eastAsia="黑体"/>
          <w:bCs/>
          <w:kern w:val="2"/>
          <w:sz w:val="36"/>
          <w:szCs w:val="36"/>
        </w:rPr>
      </w:pPr>
      <w:r>
        <w:rPr>
          <w:rFonts w:hint="eastAsia" w:eastAsia="黑体"/>
          <w:bCs/>
          <w:kern w:val="2"/>
          <w:sz w:val="36"/>
          <w:szCs w:val="36"/>
        </w:rPr>
        <w:t>说明书</w:t>
      </w: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一、理财非存款，产品有风险，投资须谨慎。</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二、本理财产品为非保本浮动收益净值型理财产品，华夏理财有限责任公司（以下简称“华夏理财”）不保证理财产品本金及理财收益。在本理财产品存续期间，除本产品说明书约定的特殊情况外，投资者可在规定时间内按照本产品说明书中约定的申购、赎回条款申购或赎回本理财产品。投资者投资本理财产品所面临的风险包括本金及理财收益风险、信用风险、市场风险、流动性风险、投资风险、汇率风险、法律及政策风险、理财产品不成立风险、提前终止风险、延期风险、信息传递风险、关联关系风险、拟投资市场及资产风险和其他风险等，请投资者详细阅读本产品说明书第八部分风险揭示内容。投资者应在对风险有充分认识基础上基于自身的独立判断谨慎投资。</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三、华夏理财郑重提示：在购买理财产品前，投资者应仔细阅读本说明书，确保自己完全明白本项投资的性质和所涉及的风险，详细了解和审慎评估本理财产品的资金投资方向、风险类型等基本情况，在慎重考虑后自行决定购买与自身风险承受能力和资产管理需求匹配的理财产品。本理财产品的业绩比较基准</w:t>
            </w:r>
            <w:r>
              <w:rPr>
                <w:rFonts w:hint="eastAsia" w:ascii="黑体" w:hAnsi="黑体" w:eastAsia="黑体"/>
                <w:b/>
                <w:sz w:val="28"/>
                <w:szCs w:val="28"/>
                <w:u w:val="single"/>
                <w:lang w:eastAsia="zh-CN"/>
              </w:rPr>
              <w:t>（</w:t>
            </w:r>
            <w:r>
              <w:rPr>
                <w:rFonts w:hint="eastAsia" w:ascii="黑体" w:hAnsi="黑体" w:eastAsia="黑体"/>
                <w:b/>
                <w:sz w:val="28"/>
                <w:szCs w:val="28"/>
                <w:u w:val="single"/>
              </w:rPr>
              <w:t>如有</w:t>
            </w:r>
            <w:r>
              <w:rPr>
                <w:rFonts w:hint="eastAsia" w:ascii="黑体" w:hAnsi="黑体" w:eastAsia="黑体"/>
                <w:b/>
                <w:sz w:val="28"/>
                <w:szCs w:val="28"/>
                <w:u w:val="single"/>
                <w:lang w:eastAsia="zh-CN"/>
              </w:rPr>
              <w:t>）</w:t>
            </w:r>
            <w:r>
              <w:rPr>
                <w:rFonts w:hint="eastAsia" w:ascii="黑体" w:hAnsi="黑体" w:eastAsia="黑体"/>
                <w:b/>
                <w:sz w:val="28"/>
                <w:szCs w:val="28"/>
                <w:u w:val="single"/>
              </w:rPr>
              <w:t>不是预期收益率，不代表产品的未来表现和实际收益，不构成管理人对产品收益的承诺，投资者所能获得的最终收益以管理人根据本理财产品的投资运作情况实际支付给投资者的收益为准。</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投资者如需进行业务咨询或投诉，请拨打华夏理财客户服务热线4001795577或其他代理销售机构客户服务热线。</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五、本说明书在法律许可的范围内由华夏理财方负责解释。</w:t>
            </w:r>
          </w:p>
        </w:tc>
      </w:tr>
    </w:tbl>
    <w:p>
      <w:pPr>
        <w:pStyle w:val="6"/>
        <w:adjustRightInd w:val="0"/>
        <w:snapToGrid w:val="0"/>
        <w:spacing w:line="400" w:lineRule="exact"/>
        <w:ind w:firstLine="0"/>
        <w:jc w:val="center"/>
        <w:rPr>
          <w:rFonts w:eastAsia="黑体"/>
          <w:bCs/>
          <w:kern w:val="2"/>
          <w:sz w:val="36"/>
          <w:szCs w:val="36"/>
        </w:rPr>
      </w:pPr>
    </w:p>
    <w:p>
      <w:pPr>
        <w:pStyle w:val="6"/>
        <w:adjustRightInd w:val="0"/>
        <w:snapToGrid w:val="0"/>
        <w:spacing w:line="400" w:lineRule="exact"/>
        <w:ind w:firstLine="0"/>
        <w:jc w:val="center"/>
        <w:rPr>
          <w:rFonts w:eastAsia="黑体"/>
          <w:bCs/>
          <w:kern w:val="2"/>
          <w:sz w:val="36"/>
          <w:szCs w:val="36"/>
        </w:rPr>
      </w:pPr>
    </w:p>
    <w:p>
      <w:pPr>
        <w:pStyle w:val="6"/>
        <w:adjustRightInd w:val="0"/>
        <w:snapToGrid w:val="0"/>
        <w:spacing w:line="400" w:lineRule="exact"/>
        <w:ind w:firstLine="0"/>
        <w:jc w:val="center"/>
        <w:rPr>
          <w:rFonts w:eastAsia="黑体"/>
          <w:bCs/>
          <w:kern w:val="2"/>
          <w:sz w:val="36"/>
          <w:szCs w:val="36"/>
        </w:rPr>
      </w:pPr>
    </w:p>
    <w:p>
      <w:pPr>
        <w:pStyle w:val="6"/>
        <w:adjustRightInd w:val="0"/>
        <w:snapToGrid w:val="0"/>
        <w:spacing w:line="400" w:lineRule="exact"/>
        <w:ind w:firstLine="0"/>
        <w:jc w:val="center"/>
        <w:rPr>
          <w:rFonts w:eastAsia="黑体"/>
          <w:bCs/>
          <w:kern w:val="2"/>
          <w:sz w:val="36"/>
          <w:szCs w:val="36"/>
        </w:rPr>
      </w:pPr>
    </w:p>
    <w:p>
      <w:pPr>
        <w:pStyle w:val="29"/>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
                <w:bCs/>
                <w:szCs w:val="21"/>
                <w:lang w:eastAsia="zh-CN"/>
              </w:rPr>
            </w:pPr>
            <w:r>
              <w:rPr>
                <w:rFonts w:hint="eastAsia" w:ascii="仿宋" w:hAnsi="仿宋" w:eastAsia="仿宋"/>
                <w:b/>
                <w:bCs/>
                <w:szCs w:val="21"/>
              </w:rPr>
              <w:t>华夏理财固定收益增强最短持有</w:t>
            </w:r>
            <w:r>
              <w:rPr>
                <w:rFonts w:hint="eastAsia" w:ascii="仿宋" w:hAnsi="仿宋" w:eastAsia="仿宋"/>
                <w:b/>
                <w:bCs/>
                <w:szCs w:val="21"/>
                <w:lang w:eastAsia="zh-CN"/>
              </w:rPr>
              <w:t>60天理财产品C款</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rPr>
              <w:t>A份额简称：“</w:t>
            </w:r>
            <w:r>
              <w:rPr>
                <w:rFonts w:hint="eastAsia" w:ascii="仿宋" w:hAnsi="仿宋" w:eastAsia="仿宋"/>
                <w:b/>
                <w:bCs/>
                <w:szCs w:val="21"/>
                <w:lang w:eastAsia="zh-CN"/>
              </w:rPr>
              <w:t>华夏理财固收增强最短持有60天C款</w:t>
            </w:r>
            <w:r>
              <w:rPr>
                <w:rFonts w:hint="eastAsia" w:ascii="仿宋" w:hAnsi="仿宋" w:eastAsia="仿宋"/>
                <w:b/>
                <w:bCs/>
                <w:szCs w:val="21"/>
              </w:rPr>
              <w:t>A”</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lang w:eastAsia="zh-CN"/>
              </w:rPr>
            </w:pPr>
            <w:r>
              <w:rPr>
                <w:rFonts w:hint="eastAsia" w:ascii="仿宋" w:hAnsi="仿宋" w:eastAsia="仿宋"/>
                <w:bCs/>
                <w:szCs w:val="21"/>
                <w:lang w:eastAsia="zh-CN"/>
              </w:rPr>
              <w:t>24135051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default" w:ascii="仿宋" w:hAnsi="仿宋" w:eastAsia="仿宋"/>
                <w:bCs/>
                <w:szCs w:val="21"/>
                <w:lang w:val="en-US"/>
              </w:rPr>
            </w:pPr>
            <w:r>
              <w:rPr>
                <w:rFonts w:hint="eastAsia" w:ascii="仿宋" w:hAnsi="仿宋" w:eastAsia="仿宋"/>
                <w:bCs/>
                <w:szCs w:val="21"/>
              </w:rPr>
              <w:t>A份额：</w:t>
            </w:r>
            <w:r>
              <w:rPr>
                <w:rFonts w:hint="eastAsia" w:ascii="仿宋" w:hAnsi="仿宋" w:eastAsia="仿宋"/>
                <w:bCs/>
                <w:szCs w:val="21"/>
                <w:lang w:eastAsia="zh-CN"/>
              </w:rPr>
              <w:t>24135051</w:t>
            </w:r>
            <w:r>
              <w:rPr>
                <w:rFonts w:ascii="仿宋" w:hAnsi="仿宋" w:eastAsia="仿宋"/>
                <w:bCs/>
                <w:szCs w:val="21"/>
              </w:rPr>
              <w:t>A</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lang w:val="en-US" w:eastAsia="zh-CN"/>
              </w:rPr>
            </w:pPr>
            <w:r>
              <w:rPr>
                <w:rFonts w:hint="eastAsia" w:ascii="仿宋" w:hAnsi="仿宋" w:eastAsia="仿宋"/>
                <w:bCs/>
                <w:szCs w:val="21"/>
              </w:rPr>
              <w:t>Z7003925000892</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w:t>
            </w:r>
            <w:r>
              <w:rPr>
                <w:rFonts w:ascii="仿宋" w:hAnsi="仿宋" w:eastAsia="仿宋"/>
                <w:bCs/>
                <w:szCs w:val="21"/>
              </w:rPr>
              <w:t>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rPr>
              <w:t xml:space="preserve"> </w:t>
            </w:r>
            <w:r>
              <w:rPr>
                <w:rFonts w:hint="eastAsia" w:ascii="仿宋" w:hAnsi="仿宋" w:eastAsia="仿宋"/>
                <w:bCs/>
                <w:szCs w:val="21"/>
                <w:u w:val="single"/>
              </w:rPr>
              <w:t>PR2级（中低风险）</w:t>
            </w:r>
            <w:r>
              <w:rPr>
                <w:rFonts w:ascii="仿宋" w:hAnsi="仿宋" w:eastAsia="仿宋"/>
                <w:bCs/>
                <w:szCs w:val="21"/>
              </w:rPr>
              <w:t xml:space="preserve"> 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lang w:eastAsia="zh-CN"/>
              </w:rPr>
              <w:t>【</w:t>
            </w:r>
            <w:r>
              <w:rPr>
                <w:rFonts w:hint="eastAsia" w:ascii="仿宋" w:hAnsi="仿宋" w:eastAsia="仿宋"/>
                <w:bCs/>
                <w:color w:val="000000"/>
                <w:szCs w:val="21"/>
                <w:u w:val="single"/>
              </w:rPr>
              <w:t>CR2（稳健型）、CR3（平衡型）、CR4（进取型）、CR5（激进型）</w:t>
            </w:r>
            <w:r>
              <w:rPr>
                <w:rFonts w:hint="eastAsia" w:ascii="仿宋" w:hAnsi="仿宋" w:eastAsia="仿宋"/>
                <w:bCs/>
                <w:color w:val="000000"/>
                <w:szCs w:val="21"/>
                <w:lang w:eastAsia="zh-CN"/>
              </w:rPr>
              <w:t>】</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p>
          <w:p>
            <w:pPr>
              <w:adjustRightInd w:val="0"/>
              <w:snapToGrid w:val="0"/>
              <w:spacing w:line="240" w:lineRule="atLeast"/>
              <w:ind w:firstLine="422" w:firstLineChars="200"/>
              <w:rPr>
                <w:rFonts w:hint="eastAsia" w:ascii="仿宋" w:hAnsi="仿宋" w:eastAsia="仿宋"/>
                <w:b/>
                <w:bCs/>
                <w:color w:val="000000"/>
                <w:szCs w:val="21"/>
              </w:rPr>
            </w:pP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p>
            <w:pPr>
              <w:adjustRightInd w:val="0"/>
              <w:snapToGrid w:val="0"/>
              <w:spacing w:line="240" w:lineRule="atLeast"/>
              <w:ind w:firstLine="420" w:firstLineChars="200"/>
              <w:rPr>
                <w:rFonts w:hint="eastAsia" w:ascii="仿宋" w:hAnsi="仿宋" w:eastAsia="仿宋"/>
                <w:b/>
                <w:bCs/>
                <w:color w:val="000000"/>
                <w:szCs w:val="21"/>
              </w:rPr>
            </w:pPr>
            <w:r>
              <w:rPr>
                <w:rFonts w:hint="eastAsia" w:ascii="仿宋" w:hAnsi="仿宋" w:eastAsia="仿宋"/>
                <w:b w:val="0"/>
                <w:bCs w:val="0"/>
                <w:color w:val="000000"/>
                <w:szCs w:val="21"/>
              </w:rPr>
              <w:t>如影响风险承受能力的因素发生变化，请及时完成风险承受能力评估。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p>
            <w:pPr>
              <w:adjustRightInd w:val="0"/>
              <w:snapToGrid w:val="0"/>
              <w:spacing w:line="240" w:lineRule="atLeast"/>
              <w:jc w:val="center"/>
              <w:rPr>
                <w:rFonts w:ascii="仿宋" w:hAnsi="仿宋" w:eastAsia="仿宋"/>
                <w:bCs/>
                <w:szCs w:val="21"/>
              </w:rPr>
            </w:pP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A份额：业绩比较基准为1.70%-3.20%（年化）。以产品投资债券类资产仓位100%-120%，权益类资产仓位0-20%，组合杠杆率100%-140%为例，参考中债-信用债总财富指数、Wind混合型基金总指数，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业绩比较基准是管理人基于产品性质、投资策略、过往经验等因素对产品设定的投资目标，不代表产品的未来表现和实际收益，不构成对产品收益的承诺。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3.理财产品过往业绩不代表其未来表现，不等于理财产品实际收益，不构成对产品收益的承诺，投资须谨慎。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10</w:t>
            </w:r>
            <w:r>
              <w:rPr>
                <w:rFonts w:hint="eastAsia" w:ascii="仿宋" w:hAnsi="仿宋" w:eastAsia="仿宋"/>
                <w:bCs/>
                <w:szCs w:val="21"/>
              </w:rPr>
              <w:t>日－202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15</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w:t>
            </w:r>
            <w:r>
              <w:rPr>
                <w:rFonts w:hint="eastAsia" w:ascii="仿宋" w:hAnsi="仿宋" w:eastAsia="仿宋"/>
                <w:bCs/>
                <w:szCs w:val="21"/>
                <w:lang w:eastAsia="zh-CN"/>
              </w:rPr>
              <w:t>17:00</w:t>
            </w:r>
            <w:r>
              <w:rPr>
                <w:rFonts w:hint="eastAsia" w:ascii="仿宋" w:hAnsi="仿宋" w:eastAsia="仿宋"/>
                <w:bCs/>
                <w:szCs w:val="21"/>
              </w:rPr>
              <w:t>（含）后不可认购。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16</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
                <w:bCs/>
                <w:szCs w:val="21"/>
              </w:rPr>
            </w:pPr>
            <w:r>
              <w:rPr>
                <w:rFonts w:hint="eastAsia" w:ascii="仿宋" w:hAnsi="仿宋" w:eastAsia="仿宋"/>
                <w:bCs/>
                <w:szCs w:val="21"/>
              </w:rPr>
              <w:t>本理财产品不设置封闭期。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rPr>
              <w:t>A份额：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ascii="仿宋" w:hAnsi="仿宋" w:eastAsia="仿宋"/>
                <w:bCs/>
                <w:szCs w:val="21"/>
              </w:rPr>
              <w:t>1元，以1元的整数倍追加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最低保留</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hint="eastAsia" w:ascii="仿宋" w:hAnsi="仿宋" w:eastAsia="仿宋"/>
                <w:bCs/>
                <w:szCs w:val="21"/>
                <w:lang w:val="en-GB"/>
              </w:rPr>
            </w:pPr>
            <w:r>
              <w:rPr>
                <w:rFonts w:hint="eastAsia" w:ascii="仿宋" w:hAnsi="仿宋" w:eastAsia="仿宋"/>
                <w:bCs/>
                <w:szCs w:val="21"/>
              </w:rPr>
              <w:t>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r>
              <w:rPr>
                <w:rFonts w:hint="eastAsia" w:ascii="仿宋" w:hAnsi="仿宋" w:eastAsia="仿宋"/>
                <w:bCs/>
                <w:szCs w:val="21"/>
                <w:lang w:val="en-GB"/>
              </w:rPr>
              <w:t>。</w:t>
            </w:r>
          </w:p>
          <w:p>
            <w:pPr>
              <w:adjustRightInd w:val="0"/>
              <w:snapToGrid w:val="0"/>
              <w:spacing w:line="240" w:lineRule="atLeast"/>
              <w:ind w:firstLine="420"/>
              <w:rPr>
                <w:rFonts w:hint="eastAsia" w:ascii="仿宋" w:hAnsi="仿宋" w:eastAsia="仿宋"/>
                <w:bCs/>
                <w:szCs w:val="21"/>
                <w:lang w:val="en-GB"/>
              </w:rPr>
            </w:pPr>
            <w:r>
              <w:rPr>
                <w:rFonts w:hint="eastAsia" w:ascii="仿宋" w:hAnsi="仿宋" w:eastAsia="仿宋"/>
                <w:b/>
                <w:bCs w:val="0"/>
                <w:szCs w:val="21"/>
                <w:lang w:val="en-GB"/>
              </w:rPr>
              <w:t>为保护投资者的利益，在发生大额赎回等情况时，经与产品托管人协商一致，华夏理财有权临时提高产品或单个份额的份额净值精度，并在上述事项对投资者利益不再产生重大影响时，恢复说明书约定的份额净值精度。投资者可在本说明书约定的信息披露渠道查询产品份额净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rPr>
              <w:t>工作日指上海证券交易所和深圳证券交易所的交易日，且同时为银行对外办理一般对公业务的工作日。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lang w:val="en-US" w:eastAsia="zh-CN"/>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rightChars="0" w:firstLine="420" w:firstLineChars="200"/>
              <w:jc w:val="left"/>
              <w:rPr>
                <w:rFonts w:hint="eastAsia" w:ascii="仿宋" w:hAnsi="仿宋" w:eastAsia="仿宋"/>
                <w:bCs/>
                <w:szCs w:val="21"/>
              </w:rPr>
            </w:pPr>
            <w:r>
              <w:rPr>
                <w:rFonts w:hint="eastAsia" w:ascii="仿宋" w:hAnsi="仿宋" w:eastAsia="仿宋"/>
                <w:bCs/>
                <w:szCs w:val="21"/>
              </w:rPr>
              <w:t>交易日指上海证券交易所和深圳证券交易所的交易日。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开放日为产品成立后每个</w:t>
            </w:r>
            <w:r>
              <w:rPr>
                <w:rFonts w:ascii="仿宋" w:hAnsi="仿宋" w:eastAsia="仿宋"/>
                <w:bCs/>
                <w:szCs w:val="21"/>
              </w:rPr>
              <w:t>工作日</w:t>
            </w:r>
            <w:r>
              <w:rPr>
                <w:rFonts w:hint="eastAsia" w:ascii="仿宋" w:hAnsi="仿宋" w:eastAsia="仿宋"/>
                <w:bCs/>
                <w:szCs w:val="21"/>
              </w:rPr>
              <w:t>，开放日如遇非工作日则顺延至下一个工作日。</w:t>
            </w:r>
          </w:p>
          <w:p>
            <w:pPr>
              <w:adjustRightInd w:val="0"/>
              <w:snapToGrid w:val="0"/>
              <w:spacing w:line="240" w:lineRule="atLeast"/>
              <w:ind w:right="-44"/>
              <w:rPr>
                <w:rFonts w:ascii="仿宋" w:hAnsi="仿宋" w:eastAsia="仿宋"/>
                <w:bCs/>
                <w:szCs w:val="21"/>
              </w:rPr>
            </w:pPr>
            <w:r>
              <w:rPr>
                <w:rFonts w:hint="eastAsia" w:ascii="仿宋" w:hAnsi="仿宋" w:eastAsia="仿宋"/>
                <w:szCs w:val="21"/>
              </w:rPr>
              <w:t xml:space="preserve">    </w:t>
            </w:r>
            <w:r>
              <w:rPr>
                <w:rFonts w:hint="eastAsia" w:ascii="仿宋" w:hAnsi="仿宋" w:eastAsia="仿宋"/>
                <w:bCs/>
                <w:szCs w:val="21"/>
              </w:rPr>
              <w:t>通过华夏银行/华夏理财购买的，</w:t>
            </w:r>
            <w:r>
              <w:rPr>
                <w:rFonts w:hint="eastAsia" w:ascii="仿宋" w:hAnsi="仿宋" w:eastAsia="仿宋"/>
                <w:szCs w:val="21"/>
              </w:rPr>
              <w:t xml:space="preserve">每个开放日的开放时间为 </w:t>
            </w:r>
            <w:r>
              <w:rPr>
                <w:rFonts w:hint="eastAsia" w:ascii="仿宋" w:hAnsi="仿宋" w:eastAsia="仿宋"/>
                <w:szCs w:val="21"/>
                <w:lang w:val="en-US" w:eastAsia="zh-CN"/>
              </w:rPr>
              <w:t>0</w:t>
            </w:r>
            <w:r>
              <w:rPr>
                <w:rFonts w:hint="eastAsia" w:ascii="仿宋" w:hAnsi="仿宋" w:eastAsia="仿宋"/>
                <w:u w:val="single"/>
              </w:rPr>
              <w:t>:00-</w:t>
            </w:r>
            <w:r>
              <w:rPr>
                <w:rFonts w:hint="eastAsia" w:ascii="仿宋" w:hAnsi="仿宋" w:eastAsia="仿宋"/>
                <w:u w:val="single"/>
                <w:lang w:eastAsia="zh-CN"/>
              </w:rPr>
              <w:t>17:00</w:t>
            </w:r>
            <w:r>
              <w:rPr>
                <w:rFonts w:ascii="仿宋" w:hAnsi="仿宋" w:eastAsia="仿宋"/>
                <w:bCs/>
                <w:szCs w:val="21"/>
              </w:rPr>
              <w:t xml:space="preserve"> </w:t>
            </w:r>
            <w:r>
              <w:rPr>
                <w:rFonts w:hint="eastAsia" w:ascii="仿宋" w:hAnsi="仿宋" w:eastAsia="仿宋"/>
                <w:bCs/>
                <w:szCs w:val="21"/>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r>
              <w:rPr>
                <w:rFonts w:hint="eastAsia" w:ascii="仿宋" w:hAnsi="仿宋" w:eastAsia="仿宋"/>
                <w:szCs w:val="21"/>
              </w:rPr>
              <w:t>。</w:t>
            </w: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在本理财产品存续期间，如投资者在开放日开放时间内提交申购申请，华夏理财作为当日申购申请处理，该申请只能于当日开放时间内撤销；如投资者在开放日开放时间结束后及非开放日提交申购申请，通过华夏银行/华夏理财购买的，作为下一开放日申购申请处理，该申请只能于下一开放日开放时间结束前撤销；通过其他代销机构购买的，业务处理规则以该代销机构业务规定为准。</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最短持有期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u w:val="single"/>
              </w:rPr>
            </w:pPr>
            <w:r>
              <w:rPr>
                <w:rFonts w:hint="eastAsia" w:ascii="仿宋" w:hAnsi="仿宋" w:eastAsia="仿宋"/>
                <w:bCs/>
                <w:szCs w:val="21"/>
                <w:u w:val="single"/>
                <w:lang w:val="en-US" w:eastAsia="zh-CN"/>
              </w:rPr>
              <w:t>60</w:t>
            </w:r>
            <w:r>
              <w:rPr>
                <w:rFonts w:hint="eastAsia" w:ascii="仿宋" w:hAnsi="仿宋" w:eastAsia="仿宋"/>
                <w:bCs/>
                <w:szCs w:val="21"/>
                <w:u w:val="single"/>
              </w:rPr>
              <w:t xml:space="preserve">个自然日，对投资者的每笔认/申购份额设置最短持有期限，即每笔认购份额从产品成立日（含）或每笔申购份额从申购申请确认日（含）起 </w:t>
            </w:r>
            <w:r>
              <w:rPr>
                <w:rFonts w:hint="eastAsia" w:ascii="仿宋" w:hAnsi="仿宋" w:eastAsia="仿宋"/>
                <w:bCs/>
                <w:szCs w:val="21"/>
                <w:u w:val="single"/>
                <w:lang w:val="en-US" w:eastAsia="zh-CN"/>
              </w:rPr>
              <w:t>60</w:t>
            </w:r>
            <w:r>
              <w:rPr>
                <w:rFonts w:hint="eastAsia" w:ascii="仿宋" w:hAnsi="仿宋" w:eastAsia="仿宋"/>
                <w:bCs/>
                <w:szCs w:val="21"/>
                <w:u w:val="single"/>
              </w:rPr>
              <w:t>个自然日前，投资者不能提起赎回申请；从该日起（含）之后每个开放日，客户可提交赎回申请，若该日为非开放日，则顺延至下一开放日。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申购及赎回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投资者可在产品开放日的开放时间提出申购申请；</w:t>
            </w:r>
            <w:r>
              <w:rPr>
                <w:rFonts w:hint="eastAsia" w:ascii="仿宋" w:hAnsi="仿宋" w:eastAsia="仿宋"/>
                <w:b/>
                <w:szCs w:val="21"/>
              </w:rPr>
              <w:t>投资者仅可在满足最短持有期后，在产品开放日的开放时间提出赎回申请。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预约购买及</w:t>
            </w:r>
          </w:p>
          <w:p>
            <w:pPr>
              <w:adjustRightInd w:val="0"/>
              <w:snapToGrid w:val="0"/>
              <w:spacing w:line="240" w:lineRule="atLeast"/>
              <w:jc w:val="center"/>
              <w:rPr>
                <w:rFonts w:ascii="仿宋" w:hAnsi="仿宋" w:eastAsia="仿宋"/>
                <w:bCs/>
                <w:szCs w:val="21"/>
              </w:rPr>
            </w:pPr>
            <w:r>
              <w:rPr>
                <w:rFonts w:ascii="仿宋" w:hAnsi="仿宋" w:eastAsia="仿宋"/>
                <w:bCs/>
                <w:szCs w:val="21"/>
              </w:rPr>
              <w:t>预约赎回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本产品不支持预约购买。</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 xml:space="preserve">最短持有期内最后一个工作日 </w:t>
            </w:r>
            <w:r>
              <w:rPr>
                <w:rFonts w:hint="eastAsia" w:ascii="仿宋" w:hAnsi="仿宋" w:eastAsia="仿宋"/>
                <w:u w:val="single"/>
                <w:lang w:eastAsia="zh-CN"/>
              </w:rPr>
              <w:t>17:00</w:t>
            </w:r>
            <w:r>
              <w:rPr>
                <w:rFonts w:hint="eastAsia" w:ascii="仿宋" w:hAnsi="仿宋" w:eastAsia="仿宋"/>
                <w:u w:val="single"/>
              </w:rPr>
              <w:t>（不含）</w:t>
            </w:r>
            <w:r>
              <w:rPr>
                <w:rFonts w:ascii="仿宋" w:hAnsi="仿宋" w:eastAsia="仿宋"/>
                <w:bCs/>
                <w:szCs w:val="21"/>
              </w:rPr>
              <w:t xml:space="preserve"> </w:t>
            </w:r>
            <w:r>
              <w:rPr>
                <w:rFonts w:hint="eastAsia" w:ascii="仿宋" w:hAnsi="仿宋" w:eastAsia="仿宋"/>
                <w:bCs/>
                <w:szCs w:val="21"/>
              </w:rPr>
              <w:t>前，可接受通过</w:t>
            </w:r>
            <w:r>
              <w:rPr>
                <w:rFonts w:ascii="仿宋" w:hAnsi="仿宋" w:eastAsia="仿宋"/>
                <w:bCs/>
                <w:szCs w:val="21"/>
              </w:rPr>
              <w:t>华夏</w:t>
            </w:r>
            <w:r>
              <w:rPr>
                <w:rFonts w:hint="eastAsia" w:ascii="仿宋" w:hAnsi="仿宋" w:eastAsia="仿宋"/>
                <w:bCs/>
                <w:szCs w:val="21"/>
              </w:rPr>
              <w:t>银行/华夏理财</w:t>
            </w:r>
            <w:r>
              <w:rPr>
                <w:rFonts w:ascii="仿宋" w:hAnsi="仿宋" w:eastAsia="仿宋"/>
                <w:bCs/>
                <w:szCs w:val="21"/>
              </w:rPr>
              <w:t>购买的投资者</w:t>
            </w:r>
            <w:r>
              <w:rPr>
                <w:rFonts w:hint="eastAsia" w:ascii="仿宋" w:hAnsi="仿宋" w:eastAsia="仿宋"/>
                <w:bCs/>
                <w:szCs w:val="21"/>
              </w:rPr>
              <w:t>预约赎回申请，视</w:t>
            </w:r>
            <w:r>
              <w:rPr>
                <w:rFonts w:ascii="仿宋" w:hAnsi="仿宋" w:eastAsia="仿宋"/>
                <w:bCs/>
                <w:szCs w:val="21"/>
              </w:rPr>
              <w:t>同在</w:t>
            </w:r>
            <w:r>
              <w:rPr>
                <w:rFonts w:hint="eastAsia" w:ascii="仿宋" w:hAnsi="仿宋" w:eastAsia="仿宋"/>
                <w:bCs/>
                <w:szCs w:val="21"/>
              </w:rPr>
              <w:t>第一个可赎回的开放日开放时间内提交的赎回申请。</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w:t>
            </w:r>
            <w:r>
              <w:rPr>
                <w:rFonts w:ascii="仿宋" w:hAnsi="仿宋" w:eastAsia="仿宋"/>
                <w:bCs/>
                <w:szCs w:val="21"/>
              </w:rPr>
              <w:t>1日确认。T日为开放日。</w:t>
            </w: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w:t>
            </w:r>
            <w:r>
              <w:rPr>
                <w:rFonts w:ascii="仿宋" w:hAnsi="仿宋" w:eastAsia="仿宋"/>
                <w:bCs/>
                <w:szCs w:val="21"/>
              </w:rPr>
              <w:t>1日确认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2</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2</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szCs w:val="21"/>
              </w:rPr>
            </w:pPr>
            <w:r>
              <w:rPr>
                <w:rFonts w:ascii="仿宋" w:hAnsi="仿宋" w:eastAsia="仿宋"/>
                <w:bCs/>
                <w:szCs w:val="21"/>
              </w:rPr>
              <w:t>本理财产品采取份额赎回的方式。投资者可选择全额或部分赎回，部分赎回后投资者持有本理财产品的</w:t>
            </w:r>
            <w:r>
              <w:rPr>
                <w:rFonts w:hint="eastAsia" w:ascii="仿宋" w:hAnsi="仿宋" w:eastAsia="仿宋"/>
                <w:bCs/>
                <w:szCs w:val="21"/>
              </w:rPr>
              <w:t>日末余额</w:t>
            </w:r>
            <w:r>
              <w:rPr>
                <w:rFonts w:ascii="仿宋" w:hAnsi="仿宋" w:eastAsia="仿宋"/>
                <w:bCs/>
                <w:szCs w:val="21"/>
              </w:rPr>
              <w:t>低于理财账户最低保留</w:t>
            </w:r>
            <w:r>
              <w:rPr>
                <w:rFonts w:hint="eastAsia" w:ascii="仿宋" w:hAnsi="仿宋" w:eastAsia="仿宋"/>
                <w:bCs/>
                <w:szCs w:val="21"/>
              </w:rPr>
              <w:t>限</w:t>
            </w:r>
            <w:r>
              <w:rPr>
                <w:rFonts w:ascii="仿宋" w:hAnsi="仿宋" w:eastAsia="仿宋"/>
                <w:bCs/>
                <w:szCs w:val="21"/>
              </w:rPr>
              <w:t>额</w:t>
            </w:r>
            <w:r>
              <w:rPr>
                <w:rFonts w:hint="eastAsia" w:ascii="仿宋" w:hAnsi="仿宋" w:eastAsia="仿宋"/>
                <w:bCs/>
                <w:szCs w:val="21"/>
              </w:rPr>
              <w:t>时</w:t>
            </w:r>
            <w:r>
              <w:rPr>
                <w:rFonts w:ascii="仿宋" w:hAnsi="仿宋" w:eastAsia="仿宋"/>
                <w:bCs/>
                <w:szCs w:val="21"/>
              </w:rPr>
              <w:t>，</w:t>
            </w:r>
            <w:r>
              <w:rPr>
                <w:rFonts w:hint="eastAsia" w:ascii="仿宋" w:hAnsi="仿宋" w:eastAsia="仿宋"/>
                <w:b/>
                <w:szCs w:val="21"/>
              </w:rPr>
              <w:t>华夏理财将在赎回确认日末对投资者的剩余份额发起强制赎回</w:t>
            </w:r>
            <w:r>
              <w:rPr>
                <w:rFonts w:ascii="仿宋" w:hAnsi="仿宋" w:eastAsia="仿宋"/>
                <w:b/>
                <w:szCs w:val="21"/>
              </w:rPr>
              <w:t>。</w:t>
            </w:r>
          </w:p>
          <w:p>
            <w:pPr>
              <w:adjustRightInd w:val="0"/>
              <w:snapToGrid w:val="0"/>
              <w:spacing w:line="240" w:lineRule="atLeast"/>
              <w:ind w:right="-44" w:firstLine="422" w:firstLineChars="200"/>
              <w:jc w:val="left"/>
              <w:rPr>
                <w:rFonts w:ascii="仿宋" w:hAnsi="仿宋" w:eastAsia="仿宋"/>
                <w:b/>
                <w:szCs w:val="21"/>
              </w:rPr>
            </w:pPr>
            <w:r>
              <w:rPr>
                <w:rFonts w:hint="eastAsia" w:ascii="仿宋" w:hAnsi="仿宋" w:eastAsia="仿宋"/>
                <w:b/>
                <w:szCs w:val="21"/>
              </w:rPr>
              <w:t>若客户在同一开放日提交申购和赎回原持有份额的交易申请，经申购和赎回交易确认后的日末余额低于理财账户最低保留限额时，华夏理财将在赎回确认日末对投资者的剩余份额发起强制赎回。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代销机构如另有规定，从其规定。</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本产品赎回遵循“先进先出”原则。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 xml:space="preserve">申请日的产品份额净值，保留到小数点后 2 </w:t>
            </w:r>
            <w:r>
              <w:rPr>
                <w:rFonts w:hint="eastAsia" w:ascii="仿宋" w:hAnsi="仿宋" w:eastAsia="仿宋"/>
                <w:bCs/>
                <w:szCs w:val="21"/>
                <w:u w:val="single"/>
              </w:rPr>
              <w:t xml:space="preserve">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认购/申购/赎回申请拒绝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华夏理财根据市场情况或理财产品实际投资运作的情况确定理财产品规模上限（代销机构可控制自身销售额度），若本理财产品余额超过产品规模上限，</w:t>
            </w:r>
            <w:r>
              <w:rPr>
                <w:rFonts w:hint="eastAsia" w:ascii="仿宋" w:hAnsi="仿宋" w:eastAsia="仿宋"/>
                <w:b/>
                <w:bCs/>
                <w:szCs w:val="21"/>
              </w:rPr>
              <w:t>华夏理财有权在成立日/申购确认日采取比例确认等方式对购买申请给予部分确认。</w:t>
            </w:r>
          </w:p>
          <w:p>
            <w:pPr>
              <w:tabs>
                <w:tab w:val="left" w:pos="720"/>
              </w:tabs>
              <w:adjustRightInd w:val="0"/>
              <w:snapToGrid w:val="0"/>
              <w:spacing w:line="300" w:lineRule="exact"/>
              <w:ind w:firstLine="422" w:firstLineChars="200"/>
              <w:rPr>
                <w:rFonts w:ascii="仿宋" w:hAnsi="仿宋" w:eastAsia="仿宋"/>
                <w:bCs/>
                <w:szCs w:val="21"/>
              </w:rPr>
            </w:pPr>
            <w:r>
              <w:rPr>
                <w:rFonts w:hint="eastAsia" w:ascii="仿宋" w:hAnsi="仿宋" w:eastAsia="仿宋"/>
                <w:b/>
                <w:szCs w:val="21"/>
              </w:rPr>
              <w:t>华夏理财认为接受大额认购/申购申请可能会影响或损害理财产品投资者权益时，有权拒绝或暂停该认购/申购申请。</w:t>
            </w:r>
          </w:p>
          <w:p>
            <w:pPr>
              <w:spacing w:line="240" w:lineRule="atLeast"/>
              <w:rPr>
                <w:rFonts w:ascii="仿宋" w:hAnsi="仿宋" w:eastAsia="仿宋"/>
                <w:bCs/>
                <w:szCs w:val="21"/>
              </w:rPr>
            </w:pPr>
            <w:r>
              <w:rPr>
                <w:rFonts w:hint="eastAsia" w:ascii="仿宋" w:hAnsi="仿宋" w:eastAsia="仿宋"/>
                <w:bCs/>
                <w:szCs w:val="21"/>
              </w:rPr>
              <w:t xml:space="preserve">    若因超过产品规模上限或</w:t>
            </w:r>
            <w:r>
              <w:rPr>
                <w:rFonts w:ascii="仿宋" w:hAnsi="仿宋" w:eastAsia="仿宋"/>
                <w:bCs/>
                <w:szCs w:val="21"/>
              </w:rPr>
              <w:t>发生巨额赎回</w:t>
            </w:r>
            <w:r>
              <w:rPr>
                <w:rFonts w:hint="eastAsia" w:ascii="仿宋" w:hAnsi="仿宋" w:eastAsia="仿宋"/>
                <w:bCs/>
                <w:szCs w:val="21"/>
              </w:rPr>
              <w:t>,华夏理财拒绝、延期办理或部分接受客户的认购/申购/赎回</w:t>
            </w:r>
            <w:r>
              <w:rPr>
                <w:rFonts w:ascii="仿宋" w:hAnsi="仿宋" w:eastAsia="仿宋"/>
                <w:bCs/>
                <w:szCs w:val="21"/>
              </w:rPr>
              <w:t>申请时，</w:t>
            </w:r>
            <w:r>
              <w:rPr>
                <w:rFonts w:hint="eastAsia" w:ascii="仿宋" w:hAnsi="仿宋" w:eastAsia="仿宋"/>
                <w:bCs/>
                <w:szCs w:val="21"/>
              </w:rPr>
              <w:t>华夏理财于</w:t>
            </w:r>
            <w:r>
              <w:rPr>
                <w:rFonts w:ascii="仿宋" w:hAnsi="仿宋" w:eastAsia="仿宋"/>
                <w:bCs/>
                <w:szCs w:val="21"/>
              </w:rPr>
              <w:t>3</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 xml:space="preserve"> 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djustRightInd w:val="0"/>
              <w:snapToGrid w:val="0"/>
              <w:spacing w:line="300" w:lineRule="exact"/>
              <w:ind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投资者可撤销已提交的认购申请，具体规定如下：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rPr>
              <w:t>2个工作日内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w:t>
            </w:r>
            <w:r>
              <w:rPr>
                <w:rFonts w:hint="eastAsia" w:ascii="仿宋" w:hAnsi="仿宋" w:eastAsia="仿宋"/>
                <w:lang w:eastAsia="zh-CN"/>
              </w:rPr>
              <w:t>17:00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（5</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w:t>
            </w:r>
            <w:r>
              <w:rPr>
                <w:rFonts w:hint="eastAsia" w:ascii="仿宋" w:hAnsi="仿宋" w:eastAsia="仿宋"/>
                <w:lang w:eastAsia="zh-CN"/>
              </w:rPr>
              <w:t>17:00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（6</w:t>
            </w: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投资者可于开放日开放时间内撤销当日已提交的申购、赎回申请，具体规定如下：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申购的，投资者撤销申购的本金在</w:t>
            </w:r>
            <w:r>
              <w:rPr>
                <w:rFonts w:ascii="仿宋" w:hAnsi="仿宋" w:eastAsia="仿宋"/>
                <w:bCs/>
                <w:szCs w:val="21"/>
              </w:rPr>
              <w:t xml:space="preserve"> 2个工作日内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）通过华夏银行申购的，投资者撤销申购的本金实时到账。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w:t>
            </w:r>
            <w:r>
              <w:rPr>
                <w:rFonts w:hint="eastAsia" w:ascii="仿宋" w:hAnsi="仿宋" w:eastAsia="仿宋"/>
                <w:lang w:eastAsia="zh-CN"/>
              </w:rPr>
              <w:t>17:00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（5</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w:t>
            </w:r>
            <w:r>
              <w:rPr>
                <w:rFonts w:hint="eastAsia" w:ascii="仿宋" w:hAnsi="仿宋" w:eastAsia="仿宋"/>
                <w:lang w:eastAsia="zh-CN"/>
              </w:rPr>
              <w:t>17:00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（6</w:t>
            </w: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3.预约</w:t>
            </w:r>
            <w:r>
              <w:rPr>
                <w:rFonts w:ascii="仿宋" w:hAnsi="仿宋" w:eastAsia="仿宋"/>
                <w:bCs/>
                <w:szCs w:val="21"/>
              </w:rPr>
              <w:t>申购、</w:t>
            </w:r>
            <w:r>
              <w:rPr>
                <w:rFonts w:hint="eastAsia" w:ascii="仿宋" w:hAnsi="仿宋" w:eastAsia="仿宋"/>
                <w:bCs/>
                <w:szCs w:val="21"/>
              </w:rPr>
              <w:t>预约</w:t>
            </w:r>
            <w:r>
              <w:rPr>
                <w:rFonts w:ascii="仿宋" w:hAnsi="仿宋" w:eastAsia="仿宋"/>
                <w:bCs/>
                <w:szCs w:val="21"/>
              </w:rPr>
              <w:t>赎回撤销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通过华夏银行/华夏理财购买的，</w:t>
            </w:r>
            <w:r>
              <w:rPr>
                <w:rFonts w:hint="eastAsia" w:ascii="仿宋" w:hAnsi="仿宋" w:eastAsia="仿宋"/>
                <w:bCs/>
                <w:szCs w:val="21"/>
                <w:lang w:val="en-US" w:eastAsia="zh-CN"/>
              </w:rPr>
              <w:t>最短持有期</w:t>
            </w:r>
            <w:r>
              <w:rPr>
                <w:rFonts w:hint="eastAsia" w:ascii="仿宋" w:hAnsi="仿宋" w:eastAsia="仿宋"/>
                <w:bCs/>
                <w:szCs w:val="21"/>
              </w:rPr>
              <w:t>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u w:val="single"/>
                <w:lang w:eastAsia="zh-CN"/>
              </w:rPr>
              <w:t>17:00</w:t>
            </w:r>
            <w:r>
              <w:rPr>
                <w:rFonts w:hint="eastAsia" w:ascii="仿宋" w:hAnsi="仿宋" w:eastAsia="仿宋"/>
                <w:bCs/>
                <w:szCs w:val="21"/>
                <w:u w:val="single"/>
              </w:rPr>
              <w:t>（不含）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投资</w:t>
            </w:r>
            <w:r>
              <w:rPr>
                <w:rFonts w:ascii="仿宋" w:hAnsi="仿宋" w:eastAsia="仿宋"/>
                <w:bCs/>
                <w:szCs w:val="21"/>
              </w:rPr>
              <w:t>者</w:t>
            </w:r>
            <w:r>
              <w:rPr>
                <w:rFonts w:hint="eastAsia" w:ascii="仿宋" w:hAnsi="仿宋" w:eastAsia="仿宋"/>
                <w:bCs/>
                <w:szCs w:val="21"/>
              </w:rPr>
              <w:t>可</w:t>
            </w:r>
            <w:r>
              <w:rPr>
                <w:rFonts w:ascii="仿宋" w:hAnsi="仿宋" w:eastAsia="仿宋"/>
                <w:bCs/>
                <w:szCs w:val="21"/>
              </w:rPr>
              <w:t>全额撤销已提交的</w:t>
            </w:r>
            <w:r>
              <w:rPr>
                <w:rFonts w:hint="eastAsia" w:ascii="仿宋" w:hAnsi="仿宋" w:eastAsia="仿宋"/>
                <w:bCs/>
                <w:szCs w:val="21"/>
              </w:rPr>
              <w:t>预约赎回申请；通过其他代销机构购买的，预约申购、预约赎回撤销以代销机构的规定为准。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0.0</w:t>
            </w:r>
            <w:r>
              <w:rPr>
                <w:rFonts w:hint="eastAsia" w:ascii="仿宋" w:hAnsi="仿宋" w:eastAsia="仿宋"/>
                <w:b/>
                <w:bCs w:val="0"/>
                <w:szCs w:val="21"/>
                <w:lang w:val="en-US" w:eastAsia="zh-CN"/>
              </w:rPr>
              <w:t>3</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F=E×【0.0</w:t>
            </w:r>
            <w:r>
              <w:rPr>
                <w:rFonts w:hint="eastAsia" w:ascii="仿宋" w:hAnsi="仿宋" w:eastAsia="仿宋"/>
                <w:b/>
                <w:bCs w:val="0"/>
                <w:szCs w:val="21"/>
                <w:lang w:val="en-US" w:eastAsia="zh-CN"/>
              </w:rPr>
              <w:t>3</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F为托管费  ；E为计算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cs="Cambria"/>
                <w:b/>
                <w:bCs w:val="0"/>
                <w:szCs w:val="21"/>
              </w:rPr>
              <w:t>A份额：</w:t>
            </w:r>
            <w:r>
              <w:rPr>
                <w:rFonts w:hint="eastAsia" w:ascii="仿宋" w:hAnsi="仿宋" w:eastAsia="仿宋"/>
                <w:b/>
                <w:bCs w:val="0"/>
                <w:szCs w:val="21"/>
                <w:lang w:eastAsia="zh-CN"/>
              </w:rPr>
              <w:t>0.30%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F=E×【各</w:t>
            </w:r>
            <w:r>
              <w:rPr>
                <w:rFonts w:ascii="仿宋" w:hAnsi="仿宋" w:eastAsia="仿宋"/>
                <w:b/>
                <w:bCs w:val="0"/>
                <w:szCs w:val="21"/>
              </w:rPr>
              <w:t>份额</w:t>
            </w:r>
            <w:r>
              <w:rPr>
                <w:rFonts w:hint="eastAsia" w:ascii="仿宋" w:hAnsi="仿宋" w:eastAsia="仿宋"/>
                <w:b/>
                <w:bCs w:val="0"/>
                <w:szCs w:val="21"/>
              </w:rPr>
              <w:t>销售</w:t>
            </w:r>
            <w:r>
              <w:rPr>
                <w:rFonts w:ascii="仿宋" w:hAnsi="仿宋" w:eastAsia="仿宋"/>
                <w:b/>
                <w:bCs w:val="0"/>
                <w:szCs w:val="21"/>
              </w:rPr>
              <w:t>手续费率</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F为各份额销售</w:t>
            </w:r>
            <w:r>
              <w:rPr>
                <w:rFonts w:ascii="仿宋" w:hAnsi="仿宋" w:eastAsia="仿宋"/>
                <w:b/>
                <w:bCs w:val="0"/>
                <w:szCs w:val="21"/>
              </w:rPr>
              <w:t>手续费</w:t>
            </w:r>
            <w:r>
              <w:rPr>
                <w:rFonts w:hint="eastAsia" w:ascii="仿宋" w:hAnsi="仿宋" w:eastAsia="仿宋"/>
                <w:b/>
                <w:bCs w:val="0"/>
                <w:szCs w:val="21"/>
              </w:rPr>
              <w:t>；E为计算</w:t>
            </w:r>
            <w:r>
              <w:rPr>
                <w:rFonts w:ascii="仿宋" w:hAnsi="仿宋" w:eastAsia="仿宋"/>
                <w:b/>
                <w:bCs w:val="0"/>
                <w:szCs w:val="21"/>
              </w:rPr>
              <w:t>基数</w:t>
            </w:r>
            <w:r>
              <w:rPr>
                <w:rFonts w:hint="eastAsia" w:ascii="仿宋" w:hAnsi="仿宋" w:eastAsia="仿宋"/>
                <w:b/>
                <w:bCs w:val="0"/>
                <w:szCs w:val="21"/>
              </w:rPr>
              <w:t>。</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lang w:eastAsia="zh-CN"/>
              </w:rPr>
              <w:t>0.</w:t>
            </w:r>
            <w:r>
              <w:rPr>
                <w:rFonts w:hint="eastAsia" w:ascii="仿宋" w:hAnsi="仿宋" w:eastAsia="仿宋"/>
                <w:b/>
                <w:bCs w:val="0"/>
                <w:szCs w:val="21"/>
                <w:lang w:val="en-US" w:eastAsia="zh-CN"/>
              </w:rPr>
              <w:t>5</w:t>
            </w:r>
            <w:r>
              <w:rPr>
                <w:rFonts w:hint="eastAsia" w:ascii="仿宋" w:hAnsi="仿宋" w:eastAsia="仿宋"/>
                <w:b/>
                <w:bCs w:val="0"/>
                <w:szCs w:val="21"/>
                <w:lang w:eastAsia="zh-CN"/>
              </w:rPr>
              <w:t>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w:t>
            </w:r>
            <w:r>
              <w:rPr>
                <w:rFonts w:hint="eastAsia" w:ascii="仿宋" w:hAnsi="仿宋" w:eastAsia="仿宋"/>
                <w:b/>
                <w:bCs w:val="0"/>
                <w:szCs w:val="21"/>
                <w:lang w:eastAsia="zh-CN"/>
              </w:rPr>
              <w:t>0.</w:t>
            </w:r>
            <w:r>
              <w:rPr>
                <w:rFonts w:hint="eastAsia" w:ascii="仿宋" w:hAnsi="仿宋" w:eastAsia="仿宋"/>
                <w:b/>
                <w:bCs w:val="0"/>
                <w:szCs w:val="21"/>
                <w:lang w:val="en-US" w:eastAsia="zh-CN"/>
              </w:rPr>
              <w:t>5</w:t>
            </w:r>
            <w:r>
              <w:rPr>
                <w:rFonts w:hint="eastAsia" w:ascii="仿宋" w:hAnsi="仿宋" w:eastAsia="仿宋"/>
                <w:b/>
                <w:bCs w:val="0"/>
                <w:szCs w:val="21"/>
                <w:lang w:eastAsia="zh-CN"/>
              </w:rPr>
              <w:t>0%</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w:t>
            </w:r>
            <w:r>
              <w:rPr>
                <w:rFonts w:ascii="仿宋" w:hAnsi="仿宋" w:eastAsia="仿宋"/>
                <w:b/>
                <w:bCs w:val="0"/>
                <w:szCs w:val="21"/>
              </w:rPr>
              <w:t>不收取超额管理费。</w:t>
            </w:r>
          </w:p>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 xml:space="preserve">产品开放日后第 </w:t>
            </w:r>
            <w:r>
              <w:rPr>
                <w:rFonts w:ascii="仿宋" w:hAnsi="仿宋" w:eastAsia="仿宋"/>
                <w:bCs/>
                <w:szCs w:val="21"/>
                <w:u w:val="single"/>
              </w:rPr>
              <w:t>2</w:t>
            </w:r>
            <w:r>
              <w:rPr>
                <w:rFonts w:hint="eastAsia" w:ascii="仿宋" w:hAnsi="仿宋" w:eastAsia="仿宋"/>
                <w:bCs/>
                <w:szCs w:val="21"/>
              </w:rPr>
              <w:t xml:space="preserve"> 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公告产品开放日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 xml:space="preserve"> 2 </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ascii="仿宋" w:hAnsi="仿宋" w:eastAsia="仿宋" w:cs="宋体"/>
                <w:kern w:val="0"/>
                <w:szCs w:val="21"/>
              </w:rPr>
              <w:t>产品管理人可以在产品存续期根据投资情况选择分红或不分红，若分红，将以现金分红或红利再投资方式进行，默认为现金分红，具体以公告为准。本理财产品分红，将于分红日前3个工作日通过本产品说明书约定的信息披露渠道公布分红方案</w:t>
            </w:r>
            <w:r>
              <w:rPr>
                <w:rFonts w:hint="eastAsia" w:ascii="仿宋" w:hAnsi="仿宋" w:eastAsia="仿宋" w:cs="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通过本</w:t>
            </w:r>
            <w:r>
              <w:rPr>
                <w:rFonts w:hint="eastAsia" w:ascii="仿宋" w:hAnsi="仿宋" w:eastAsia="仿宋"/>
                <w:b/>
                <w:szCs w:val="21"/>
              </w:rPr>
              <w:t>产品</w:t>
            </w:r>
            <w:r>
              <w:rPr>
                <w:rFonts w:ascii="仿宋" w:hAnsi="仿宋" w:eastAsia="仿宋"/>
                <w:b/>
                <w:szCs w:val="21"/>
              </w:rPr>
              <w:t>说明书约定的信息披露渠道公告</w:t>
            </w:r>
            <w:r>
              <w:rPr>
                <w:rFonts w:hint="eastAsia" w:ascii="仿宋" w:hAnsi="仿宋" w:eastAsia="仿宋"/>
                <w:bCs/>
                <w:szCs w:val="21"/>
              </w:rPr>
              <w:t>。除本产品说明书另有约定，</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 xml:space="preserve">当本理财产品份额低于 </w:t>
            </w:r>
            <w:r>
              <w:rPr>
                <w:rFonts w:hint="eastAsia" w:ascii="仿宋" w:hAnsi="仿宋" w:eastAsia="仿宋"/>
                <w:bCs/>
                <w:szCs w:val="21"/>
                <w:u w:val="single"/>
              </w:rPr>
              <w:t>1</w:t>
            </w:r>
            <w:r>
              <w:rPr>
                <w:rFonts w:hint="eastAsia" w:ascii="仿宋" w:hAnsi="仿宋" w:eastAsia="仿宋"/>
                <w:bCs/>
                <w:szCs w:val="21"/>
                <w:u w:val="single"/>
                <w:lang w:val="en-US" w:eastAsia="zh-CN"/>
              </w:rPr>
              <w:t>,</w:t>
            </w:r>
            <w:r>
              <w:rPr>
                <w:rFonts w:hint="eastAsia" w:ascii="仿宋" w:hAnsi="仿宋" w:eastAsia="仿宋"/>
                <w:bCs/>
                <w:szCs w:val="21"/>
                <w:u w:val="single"/>
              </w:rPr>
              <w:t>000万</w:t>
            </w:r>
            <w:r>
              <w:rPr>
                <w:rFonts w:ascii="仿宋" w:hAnsi="仿宋" w:eastAsia="仿宋"/>
                <w:bCs/>
                <w:szCs w:val="21"/>
              </w:rPr>
              <w:t xml:space="preserve"> </w:t>
            </w:r>
            <w:r>
              <w:rPr>
                <w:rFonts w:hint="eastAsia" w:ascii="仿宋" w:hAnsi="仿宋" w:eastAsia="仿宋"/>
                <w:bCs/>
                <w:szCs w:val="21"/>
              </w:rPr>
              <w:t>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29"/>
        <w:snapToGrid w:val="0"/>
        <w:spacing w:after="156" w:afterLines="50" w:line="400" w:lineRule="exact"/>
        <w:ind w:firstLine="482" w:firstLineChars="200"/>
        <w:jc w:val="both"/>
        <w:rPr>
          <w:rFonts w:ascii="Times New Roman" w:eastAsia="黑体" w:cs="Times New Roman"/>
          <w:b/>
          <w:color w:val="auto"/>
        </w:rPr>
      </w:pPr>
    </w:p>
    <w:p>
      <w:pPr>
        <w:pStyle w:val="29"/>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本产品主要投资于货币市场工具、标准化债权类资产等固定收益类资产,权益类资产，商品及金融衍生品类资产。</w:t>
      </w:r>
    </w:p>
    <w:p>
      <w:pPr>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lang w:eastAsia="zh-CN"/>
        </w:rPr>
      </w:pPr>
      <w:r>
        <w:rPr>
          <w:rFonts w:hint="eastAsia" w:ascii="仿宋" w:hAnsi="仿宋" w:eastAsia="仿宋" w:cs="宋体"/>
          <w:color w:val="000000"/>
          <w:kern w:val="0"/>
          <w:sz w:val="24"/>
        </w:rPr>
        <w:t>权益类资产包括但不限于国内依法发行和上市的股票（包括主板、创业板、中小板、科创板以及其他经中国证监会核准上市的股票，包括新股申购、定向增发、大宗交易、询价转让等）、内地与香港股票市场交易互联互通机制允许买卖的香港市场股票，以及股票型、混合型公募证券投资基金等</w:t>
      </w:r>
      <w:r>
        <w:rPr>
          <w:rFonts w:hint="eastAsia" w:ascii="仿宋" w:hAnsi="仿宋" w:eastAsia="仿宋" w:cs="宋体"/>
          <w:color w:val="000000"/>
          <w:kern w:val="0"/>
          <w:sz w:val="24"/>
          <w:lang w:eastAsia="zh-CN"/>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商品类资产包括贵金属和大宗商品等以实物形式存在的商品资产；金融衍生品类资产包括但不限于远期合同、期货合同、互换和期权，以及具有远期合同、期货合同、互换和期权一种或一种以上特征的工具。</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keepNext/>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tblCellSpacing w:w="0" w:type="dxa"/>
        <w:tblInd w:w="0" w:type="dxa"/>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5685"/>
        <w:gridCol w:w="2378"/>
      </w:tblGrid>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47" w:hRule="atLeast"/>
          <w:tblCellSpacing w:w="0" w:type="dxa"/>
        </w:trPr>
        <w:tc>
          <w:tcPr>
            <w:tcW w:w="5685" w:type="dxa"/>
            <w:tcBorders>
              <w:top w:val="outset" w:color="auto" w:sz="6" w:space="0"/>
              <w:left w:val="outset" w:color="auto" w:sz="6" w:space="0"/>
              <w:bottom w:val="outset" w:color="auto" w:sz="6" w:space="0"/>
              <w:right w:val="outset" w:color="auto" w:sz="6" w:space="0"/>
            </w:tcBorders>
            <w:vAlign w:val="center"/>
          </w:tcPr>
          <w:p>
            <w:pPr>
              <w:keepNext/>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2378" w:type="dxa"/>
            <w:tcBorders>
              <w:top w:val="outset" w:color="auto" w:sz="6" w:space="0"/>
              <w:left w:val="outset" w:color="auto" w:sz="6" w:space="0"/>
              <w:bottom w:val="outset" w:color="auto" w:sz="6" w:space="0"/>
              <w:right w:val="outset" w:color="auto" w:sz="6" w:space="0"/>
            </w:tcBorders>
            <w:vAlign w:val="center"/>
          </w:tcPr>
          <w:p>
            <w:pPr>
              <w:keepNext/>
              <w:adjustRightInd w:val="0"/>
              <w:snapToGrid w:val="0"/>
              <w:jc w:val="center"/>
              <w:rPr>
                <w:rFonts w:eastAsia="仿宋"/>
                <w:color w:val="000000"/>
                <w:kern w:val="0"/>
                <w:sz w:val="24"/>
              </w:rPr>
            </w:pPr>
            <w:r>
              <w:rPr>
                <w:rFonts w:eastAsia="仿宋"/>
                <w:color w:val="000000"/>
                <w:kern w:val="0"/>
                <w:sz w:val="24"/>
              </w:rPr>
              <w:t>投资比例</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47" w:hRule="atLeast"/>
          <w:tblCellSpacing w:w="0" w:type="dxa"/>
        </w:trPr>
        <w:tc>
          <w:tcPr>
            <w:tcW w:w="5685"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hint="eastAsia" w:ascii="仿宋" w:hAnsi="仿宋" w:eastAsia="仿宋" w:cs="宋体"/>
                <w:color w:val="000000"/>
                <w:kern w:val="0"/>
                <w:sz w:val="24"/>
                <w:szCs w:val="20"/>
              </w:rPr>
              <w:t>固定收益类</w:t>
            </w:r>
          </w:p>
        </w:tc>
        <w:tc>
          <w:tcPr>
            <w:tcW w:w="2378"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hint="eastAsia" w:ascii="仿宋" w:hAnsi="仿宋" w:eastAsia="仿宋" w:cs="宋体"/>
                <w:color w:val="000000"/>
                <w:kern w:val="0"/>
                <w:sz w:val="24"/>
                <w:szCs w:val="20"/>
              </w:rPr>
              <w:t>80%（含）-100%</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11" w:hRule="atLeast"/>
          <w:tblCellSpacing w:w="0" w:type="dxa"/>
        </w:trPr>
        <w:tc>
          <w:tcPr>
            <w:tcW w:w="5685"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hint="eastAsia" w:ascii="仿宋" w:hAnsi="仿宋" w:eastAsia="仿宋" w:cs="宋体"/>
                <w:color w:val="000000"/>
                <w:kern w:val="0"/>
                <w:sz w:val="24"/>
                <w:szCs w:val="20"/>
              </w:rPr>
              <w:t>权益类</w:t>
            </w:r>
          </w:p>
        </w:tc>
        <w:tc>
          <w:tcPr>
            <w:tcW w:w="2378"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hint="eastAsia" w:ascii="仿宋" w:hAnsi="仿宋" w:eastAsia="仿宋" w:cs="宋体"/>
                <w:color w:val="000000"/>
                <w:kern w:val="0"/>
                <w:sz w:val="24"/>
                <w:szCs w:val="20"/>
              </w:rPr>
              <w:t>0%-20%</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11" w:hRule="atLeast"/>
          <w:tblCellSpacing w:w="0" w:type="dxa"/>
        </w:trPr>
        <w:tc>
          <w:tcPr>
            <w:tcW w:w="5685" w:type="dxa"/>
            <w:tcBorders>
              <w:top w:val="outset" w:color="auto" w:sz="6" w:space="0"/>
              <w:left w:val="outset" w:color="auto" w:sz="6" w:space="0"/>
              <w:bottom w:val="outset" w:color="auto" w:sz="6" w:space="0"/>
              <w:right w:val="outset" w:color="auto" w:sz="6" w:space="0"/>
            </w:tcBorders>
            <w:vAlign w:val="center"/>
          </w:tcPr>
          <w:p>
            <w:pPr>
              <w:keepNext/>
              <w:spacing w:line="240" w:lineRule="auto"/>
              <w:jc w:val="center"/>
              <w:rPr>
                <w:rFonts w:eastAsia="仿宋_GB2312" w:cs="仿宋_GB2312"/>
                <w:kern w:val="0"/>
                <w:sz w:val="24"/>
              </w:rPr>
            </w:pPr>
            <w:r>
              <w:rPr>
                <w:rFonts w:hint="eastAsia" w:eastAsia="仿宋_GB2312" w:cs="仿宋_GB2312"/>
                <w:kern w:val="0"/>
                <w:sz w:val="24"/>
              </w:rPr>
              <w:t>商品及金融衍生品类</w:t>
            </w:r>
          </w:p>
          <w:p>
            <w:pPr>
              <w:adjustRightInd w:val="0"/>
              <w:snapToGrid w:val="0"/>
              <w:jc w:val="center"/>
              <w:rPr>
                <w:rFonts w:eastAsia="仿宋"/>
                <w:color w:val="000000"/>
                <w:kern w:val="0"/>
                <w:sz w:val="24"/>
              </w:rPr>
            </w:pPr>
            <w:r>
              <w:rPr>
                <w:rFonts w:hint="eastAsia" w:eastAsia="仿宋_GB2312" w:cs="仿宋_GB2312"/>
                <w:kern w:val="0"/>
                <w:sz w:val="24"/>
              </w:rPr>
              <w:t>（商品及金融衍生品类资产投资须符合监管要求）</w:t>
            </w:r>
          </w:p>
        </w:tc>
        <w:tc>
          <w:tcPr>
            <w:tcW w:w="2378"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hint="eastAsia" w:ascii="仿宋" w:hAnsi="仿宋" w:eastAsia="仿宋" w:cs="宋体"/>
                <w:color w:val="000000"/>
                <w:kern w:val="0"/>
                <w:sz w:val="24"/>
              </w:rPr>
              <w:t>0%-20%</w:t>
            </w:r>
          </w:p>
        </w:tc>
      </w:tr>
    </w:tbl>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本理财产品可以按照监管部门相关规定开展回购业务。</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管理人应当自理财产品成立日起</w:t>
      </w:r>
      <w:r>
        <w:rPr>
          <w:rFonts w:ascii="仿宋" w:hAnsi="仿宋" w:eastAsia="仿宋" w:cs="宋体"/>
          <w:b/>
          <w:bCs/>
          <w:color w:val="000000"/>
          <w:kern w:val="0"/>
          <w:sz w:val="24"/>
        </w:rPr>
        <w:t>1</w:t>
      </w:r>
      <w:r>
        <w:rPr>
          <w:rFonts w:hint="eastAsia" w:ascii="仿宋" w:hAnsi="仿宋" w:eastAsia="仿宋" w:cs="宋体"/>
          <w:b/>
          <w:bCs/>
          <w:color w:val="000000"/>
          <w:kern w:val="0"/>
          <w:sz w:val="24"/>
        </w:rPr>
        <w:t>个</w:t>
      </w:r>
      <w:r>
        <w:rPr>
          <w:rFonts w:ascii="仿宋" w:hAnsi="仿宋" w:eastAsia="仿宋" w:cs="宋体"/>
          <w:b/>
          <w:bCs/>
          <w:color w:val="000000"/>
          <w:kern w:val="0"/>
          <w:sz w:val="24"/>
        </w:rPr>
        <w:t>月</w:t>
      </w:r>
      <w:r>
        <w:rPr>
          <w:rFonts w:hint="eastAsia" w:ascii="仿宋" w:hAnsi="仿宋" w:eastAsia="仿宋" w:cs="宋体"/>
          <w:b/>
          <w:bCs/>
          <w:color w:val="000000"/>
          <w:kern w:val="0"/>
          <w:sz w:val="24"/>
        </w:rPr>
        <w:t>内使理财产品的投资比例符合上述约定。</w:t>
      </w: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w:t>
      </w:r>
      <w:r>
        <w:rPr>
          <w:rFonts w:hint="eastAsia" w:ascii="仿宋" w:hAnsi="仿宋" w:eastAsia="仿宋" w:cs="仿宋"/>
          <w:b/>
          <w:bCs/>
          <w:color w:val="000000"/>
          <w:kern w:val="0"/>
          <w:sz w:val="24"/>
        </w:rPr>
        <w:t>本产品说明书约定的信息披露渠道</w:t>
      </w:r>
      <w:r>
        <w:rPr>
          <w:rFonts w:hint="eastAsia" w:ascii="仿宋" w:hAnsi="仿宋" w:eastAsia="仿宋" w:cs="宋体"/>
          <w:b/>
          <w:bCs/>
          <w:color w:val="000000"/>
          <w:kern w:val="0"/>
          <w:sz w:val="24"/>
        </w:rPr>
        <w:t>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29"/>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w:t>
      </w:r>
      <w:r>
        <w:rPr>
          <w:rFonts w:ascii="Times New Roman" w:eastAsia="黑体" w:cs="Times New Roman"/>
          <w:b/>
          <w:color w:val="auto"/>
        </w:rPr>
        <w:t>、</w:t>
      </w:r>
      <w:r>
        <w:rPr>
          <w:rFonts w:hint="eastAsia" w:ascii="Times New Roman" w:eastAsia="黑体" w:cs="Times New Roman"/>
          <w:b/>
          <w:color w:val="auto"/>
        </w:rPr>
        <w:t>理财产品管理人和托管</w:t>
      </w:r>
      <w:r>
        <w:rPr>
          <w:rFonts w:ascii="Times New Roman" w:eastAsia="黑体" w:cs="Times New Roman"/>
          <w:b/>
          <w:color w:val="auto"/>
        </w:rPr>
        <w:t>人</w:t>
      </w:r>
    </w:p>
    <w:p>
      <w:pPr>
        <w:pStyle w:val="29"/>
        <w:snapToGrid w:val="0"/>
        <w:spacing w:after="156" w:afterLines="50" w:line="400" w:lineRule="exact"/>
        <w:ind w:firstLine="480" w:firstLineChars="200"/>
        <w:jc w:val="both"/>
        <w:rPr>
          <w:rFonts w:ascii="仿宋" w:hAnsi="仿宋" w:eastAsia="仿宋"/>
        </w:rPr>
      </w:pPr>
      <w:r>
        <w:rPr>
          <w:rFonts w:hint="eastAsia" w:ascii="仿宋" w:hAnsi="仿宋" w:eastAsia="仿宋"/>
        </w:rPr>
        <w:t>（一）</w:t>
      </w:r>
      <w:r>
        <w:rPr>
          <w:rFonts w:ascii="仿宋" w:hAnsi="仿宋" w:eastAsia="仿宋"/>
        </w:rPr>
        <w:t>本</w:t>
      </w:r>
      <w:r>
        <w:rPr>
          <w:rFonts w:hint="eastAsia" w:ascii="仿宋" w:hAnsi="仿宋" w:eastAsia="仿宋"/>
        </w:rPr>
        <w:t>理财</w:t>
      </w:r>
      <w:r>
        <w:rPr>
          <w:rFonts w:ascii="仿宋" w:hAnsi="仿宋" w:eastAsia="仿宋"/>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产品托管人为华夏银行股份有限公司。</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法定代表人：杨书剑</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29"/>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29"/>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w:t>
      </w:r>
      <w:r>
        <w:rPr>
          <w:rFonts w:hint="eastAsia" w:ascii="仿宋" w:hAnsi="仿宋" w:eastAsia="仿宋" w:cs="宋体"/>
          <w:kern w:val="0"/>
          <w:sz w:val="24"/>
          <w:lang w:val="en-US" w:eastAsia="zh-CN"/>
        </w:rPr>
        <w:t>直销</w:t>
      </w:r>
      <w:r>
        <w:rPr>
          <w:rFonts w:hint="eastAsia" w:ascii="仿宋" w:hAnsi="仿宋" w:eastAsia="仿宋" w:cs="宋体"/>
          <w:kern w:val="0"/>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华夏银行柜台</w:t>
      </w:r>
      <w:r>
        <w:rPr>
          <w:rFonts w:hint="eastAsia" w:ascii="仿宋" w:hAnsi="仿宋" w:eastAsia="仿宋"/>
          <w:sz w:val="24"/>
        </w:rPr>
        <w:t>、手机银行、网上银行等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不再接受该单一投资者对本理财产品的认、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hint="eastAsia" w:ascii="仿宋" w:hAnsi="仿宋" w:eastAsia="仿宋" w:cs="宋体"/>
          <w:kern w:val="0"/>
          <w:sz w:val="24"/>
        </w:rPr>
      </w:pPr>
      <w:r>
        <w:rPr>
          <w:rFonts w:hint="eastAsia" w:ascii="仿宋" w:hAnsi="仿宋" w:eastAsia="仿宋" w:cs="宋体"/>
          <w:kern w:val="0"/>
          <w:sz w:val="24"/>
        </w:rPr>
        <w:t>法律法规、监管部门另有规定的，从其规定。</w:t>
      </w:r>
    </w:p>
    <w:p>
      <w:pPr>
        <w:widowControl/>
        <w:adjustRightInd w:val="0"/>
        <w:snapToGrid w:val="0"/>
        <w:spacing w:line="276" w:lineRule="auto"/>
        <w:ind w:firstLine="480" w:firstLineChars="200"/>
        <w:contextualSpacing/>
        <w:rPr>
          <w:rFonts w:hint="eastAsia" w:ascii="仿宋" w:hAnsi="仿宋" w:eastAsia="仿宋" w:cs="宋体"/>
          <w:kern w:val="0"/>
          <w:sz w:val="24"/>
        </w:rPr>
      </w:pPr>
      <w:r>
        <w:rPr>
          <w:rFonts w:hint="eastAsia" w:ascii="仿宋" w:hAnsi="仿宋" w:eastAsia="仿宋" w:cs="宋体"/>
          <w:kern w:val="0"/>
          <w:sz w:val="24"/>
        </w:rPr>
        <w:t>3</w:t>
      </w:r>
      <w:r>
        <w:rPr>
          <w:rFonts w:hint="eastAsia" w:ascii="仿宋" w:hAnsi="仿宋" w:eastAsia="仿宋" w:cs="宋体"/>
          <w:kern w:val="0"/>
          <w:sz w:val="24"/>
          <w:lang w:val="en-US" w:eastAsia="zh-CN"/>
        </w:rPr>
        <w:t>.</w:t>
      </w:r>
      <w:r>
        <w:rPr>
          <w:rFonts w:hint="eastAsia" w:ascii="仿宋" w:hAnsi="仿宋" w:eastAsia="仿宋" w:cs="宋体"/>
          <w:kern w:val="0"/>
          <w:sz w:val="24"/>
        </w:rPr>
        <w:t>本理财产品申购和赎回采用“未知价”原则，即本产品申购申请和赎回申请提交时，适用的产品份额净值都是未知的。适用的产品份额净值</w:t>
      </w:r>
      <w:r>
        <w:rPr>
          <w:rFonts w:hint="eastAsia" w:ascii="仿宋" w:hAnsi="仿宋" w:eastAsia="仿宋" w:cs="宋体"/>
          <w:kern w:val="0"/>
          <w:sz w:val="24"/>
          <w:lang w:eastAsia="zh-CN"/>
        </w:rPr>
        <w:t>，</w:t>
      </w:r>
      <w:r>
        <w:rPr>
          <w:rFonts w:hint="eastAsia" w:ascii="仿宋" w:hAnsi="仿宋" w:eastAsia="仿宋" w:cs="宋体"/>
          <w:kern w:val="0"/>
          <w:sz w:val="24"/>
          <w:lang w:val="en-US" w:eastAsia="zh-CN"/>
        </w:rPr>
        <w:t>详见“份额净值公告日”“九、信息披露”</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5.单个投资者在单个开放日的赎回超过说明书约定的赎回比例</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29"/>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29"/>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例1：假设客户持有的本理财产品份额为200,000份，在开放日赎回100,000份，则：若产品开放日份额净值为1.1800，则客户获得的赎回金额为：100,000*1.1800=118,000.00元。</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若产品开放日份额净值为0.9980，则客户获得赎回金额为：100,000*0.9980=99,800.00元。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本产品说明书中的任何业绩比较基准、收益示例或类似表述均不具有法律约束力，不等于预期收益，不代表投资者可能获得的实际收益，亦不构成华夏理财/代销机构对本理财产品的任何收益承诺。</w:t>
      </w:r>
    </w:p>
    <w:p>
      <w:pPr>
        <w:pStyle w:val="29"/>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29"/>
        <w:snapToGrid w:val="0"/>
        <w:spacing w:line="276" w:lineRule="auto"/>
        <w:ind w:firstLine="480" w:firstLineChars="200"/>
        <w:contextualSpacing/>
        <w:outlineLvl w:val="1"/>
        <w:rPr>
          <w:rFonts w:ascii="仿宋" w:hAnsi="仿宋" w:eastAsia="仿宋"/>
        </w:rPr>
      </w:pPr>
      <w:r>
        <w:rPr>
          <w:rFonts w:hint="eastAsia" w:ascii="仿宋" w:hAnsi="仿宋" w:eastAsia="仿宋"/>
        </w:rPr>
        <w:t>（一）估值对象</w:t>
      </w:r>
    </w:p>
    <w:p>
      <w:pPr>
        <w:pStyle w:val="29"/>
        <w:snapToGrid w:val="0"/>
        <w:spacing w:line="276" w:lineRule="auto"/>
        <w:ind w:firstLine="480" w:firstLineChars="200"/>
        <w:contextualSpacing/>
        <w:rPr>
          <w:rFonts w:ascii="仿宋" w:hAnsi="仿宋" w:eastAsia="仿宋"/>
        </w:rPr>
      </w:pPr>
      <w:r>
        <w:rPr>
          <w:rFonts w:hint="eastAsia" w:ascii="仿宋" w:hAnsi="仿宋" w:eastAsia="仿宋"/>
        </w:rPr>
        <w:t>本理财产品所投资的货币市场工具、标准化债权类资产、权益类资产</w:t>
      </w:r>
      <w:r>
        <w:rPr>
          <w:rFonts w:hint="eastAsia" w:ascii="仿宋" w:hAnsi="仿宋" w:eastAsia="仿宋"/>
          <w:lang w:eastAsia="zh-CN"/>
        </w:rPr>
        <w:t>、</w:t>
      </w:r>
      <w:r>
        <w:rPr>
          <w:rFonts w:hint="eastAsia" w:ascii="仿宋" w:hAnsi="仿宋" w:eastAsia="仿宋"/>
          <w:lang w:val="en-US" w:eastAsia="zh-CN"/>
        </w:rPr>
        <w:t>商品及金融衍生品类资产</w:t>
      </w:r>
      <w:r>
        <w:rPr>
          <w:rFonts w:hint="eastAsia" w:ascii="仿宋" w:hAnsi="仿宋" w:eastAsia="仿宋"/>
        </w:rPr>
        <w:t>以及资产管理产品等资产。</w:t>
      </w:r>
    </w:p>
    <w:p>
      <w:pPr>
        <w:pStyle w:val="29"/>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29"/>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29"/>
        <w:snapToGrid w:val="0"/>
        <w:spacing w:line="276" w:lineRule="auto"/>
        <w:ind w:firstLine="480" w:firstLineChars="200"/>
        <w:contextualSpacing/>
        <w:outlineLvl w:val="1"/>
        <w:rPr>
          <w:rFonts w:ascii="仿宋" w:hAnsi="仿宋" w:eastAsia="仿宋"/>
        </w:rPr>
      </w:pPr>
      <w:r>
        <w:rPr>
          <w:rFonts w:hint="eastAsia" w:ascii="仿宋" w:hAnsi="仿宋" w:eastAsia="仿宋"/>
        </w:rPr>
        <w:t>（三）估值方法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 证券交易所上市的有价证券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在交易所市场上市的含有转股权的债券（如可转换债券、可交换债券等）等，选取每日收盘价减去所含的应收利息得到的净价进行估值。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 处于未上市期间的有价证券应区分如下情况处理：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（1）送股、转增股、配股和公开增发的新股，按估值日在证券交易所挂牌的同一股票的市价（收盘价）估值；该日无交易的，以最近一日的市价（收盘价）估值；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（2）首次公开发行未上市的股票、债券和权证，采用估值技术确定公允价值，在估值技术难以可靠计量公允价值的情况下，采用管理人和托管人共同认可的第三方机构提供的估值，或双方共同认可的估值；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（3）优先股采用估值技术确认公允价值，在估值技术难以可靠计量公允价值的情况下，采用管理人和托管人共同认可的第三方机构提供的估值，或双方共同认可的估值；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 同一债券同时在两个或两个以上市场交易的，按债券所处的市场分别估值。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 证券投资基金的估值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（1）场外申赎的开放式非货币基金以估值日可获取的基金管理人公布的最新基金份额净值估值；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（2）上市流通的证券投资基金（包括场内买入的ETF、封闭式基金、上市定期开放式基金）按估值日其所在证券交易所的收盘价估值；估值日无交易的，以最近一个交易日的收盘价估值；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（3）货币基金以估值日可获取的基金管理人公布的最新万份收益计提红利。</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 期货以估值日期货交易所的当日结算价估值，估值当日无结算价的，且最近交易日后经济环境未发生重大变化的，采用最近交易日结算价估值。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 汇率估值方法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10. 场内期权以估值日交易所的结算价估值，该日无交易的，以最近一日的结算价为准。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11. 非标准化债权类资产采用估值技术确认公允价值，在估值技术难以可靠计量公允价值的情况下，按照管理人和托管人共同认可的估值。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13. 本系列产品所投资的资产管理产品以估值日公布的产品单位净值进行估值，估值日产品单位净值未公布的，以最近一个工作日产品单位净值计算。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14. 相关法律法规以及监管部门有强制规定的，从其规定。如有新增事项或变更事项，依法按最新规定计算。没有相关规定的，由产品管理人与托管人协商确定计算方法。</w:t>
      </w:r>
    </w:p>
    <w:p>
      <w:pPr>
        <w:pStyle w:val="29"/>
        <w:snapToGrid w:val="0"/>
        <w:spacing w:line="276" w:lineRule="auto"/>
        <w:ind w:firstLine="480" w:firstLineChars="200"/>
        <w:contextualSpacing/>
        <w:rPr>
          <w:rFonts w:ascii="仿宋" w:hAnsi="仿宋" w:eastAsia="仿宋"/>
        </w:rPr>
      </w:pPr>
      <w:r>
        <w:rPr>
          <w:rFonts w:hint="eastAsia" w:ascii="仿宋" w:hAnsi="仿宋" w:eastAsia="仿宋"/>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29"/>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29"/>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29"/>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29"/>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29"/>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29"/>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29"/>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pStyle w:val="29"/>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29"/>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在法律法规允许的范围内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29"/>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29"/>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29"/>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29"/>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29"/>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29"/>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w:t>
      </w:r>
      <w:r>
        <w:rPr>
          <w:rFonts w:hint="eastAsia" w:eastAsia="黑体"/>
          <w:b/>
        </w:rPr>
        <w:t>或最短持有期内产品管理人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29"/>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29"/>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29"/>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29"/>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29"/>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29"/>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如因与理财产品投资资产相关的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29"/>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29"/>
        <w:snapToGrid w:val="0"/>
        <w:spacing w:line="276" w:lineRule="auto"/>
        <w:ind w:firstLine="482"/>
        <w:contextualSpacing/>
        <w:rPr>
          <w:rFonts w:ascii="Times New Roman" w:eastAsia="黑体" w:cs="Times New Roman"/>
          <w:b/>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29"/>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29"/>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w:t>
      </w:r>
    </w:p>
    <w:p>
      <w:pPr>
        <w:pStyle w:val="29"/>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29"/>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（十四）流动性应对措施及对投资者的潜在影响</w:t>
      </w:r>
    </w:p>
    <w:p>
      <w:pPr>
        <w:pStyle w:val="29"/>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29"/>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w:t>
      </w:r>
      <w:r>
        <w:rPr>
          <w:rFonts w:ascii="Times New Roman" w:eastAsia="黑体" w:cs="Times New Roman"/>
          <w:b/>
        </w:rPr>
        <w:t>认购</w:t>
      </w:r>
      <w:r>
        <w:rPr>
          <w:rFonts w:hint="eastAsia" w:ascii="Times New Roman" w:eastAsia="黑体" w:cs="Times New Roman"/>
          <w:b/>
        </w:rPr>
        <w:t>、申购、赎回”。</w:t>
      </w:r>
    </w:p>
    <w:p>
      <w:pPr>
        <w:pStyle w:val="29"/>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29"/>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29"/>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29"/>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29"/>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29"/>
        <w:numPr>
          <w:ilvl w:val="0"/>
          <w:numId w:val="0"/>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color w:val="auto"/>
          <w:lang w:val="en-US" w:eastAsia="zh-CN"/>
        </w:rPr>
        <w:t>（十六）</w:t>
      </w:r>
      <w:r>
        <w:rPr>
          <w:rFonts w:hint="eastAsia" w:ascii="Times New Roman" w:eastAsia="黑体" w:cs="Times New Roman"/>
          <w:b/>
          <w:color w:val="auto"/>
        </w:rPr>
        <w:t>本产品特有风险说明</w:t>
      </w:r>
    </w:p>
    <w:p>
      <w:pPr>
        <w:pStyle w:val="29"/>
        <w:snapToGrid w:val="0"/>
        <w:spacing w:beforeLines="0" w:afterLines="0" w:line="276" w:lineRule="auto"/>
        <w:ind w:firstLine="482"/>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w:t>
      </w:r>
      <w:r>
        <w:rPr>
          <w:rFonts w:hint="eastAsia" w:ascii="Times New Roman" w:hAnsi="Times New Roman" w:eastAsia="黑体" w:cs="Times New Roman"/>
          <w:b/>
          <w:color w:val="000000"/>
          <w:kern w:val="0"/>
          <w:sz w:val="24"/>
        </w:rPr>
        <w:t>固定收益类、权益类资产</w:t>
      </w:r>
      <w:r>
        <w:rPr>
          <w:rFonts w:hint="eastAsia" w:ascii="Times New Roman" w:eastAsia="黑体" w:cs="Times New Roman"/>
          <w:b/>
          <w:color w:val="000000"/>
          <w:kern w:val="0"/>
          <w:sz w:val="24"/>
          <w:lang w:eastAsia="zh-CN"/>
        </w:rPr>
        <w:t>、商品及金融衍生品类</w:t>
      </w:r>
      <w:r>
        <w:rPr>
          <w:rFonts w:hint="eastAsia" w:ascii="Times New Roman" w:eastAsia="黑体" w:cs="Times New Roman"/>
          <w:b/>
        </w:rPr>
        <w:t>，因此可能面临如下特定风险：</w:t>
      </w:r>
    </w:p>
    <w:p>
      <w:pPr>
        <w:pStyle w:val="29"/>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w:t>
      </w:r>
      <w:r>
        <w:rPr>
          <w:rFonts w:hint="eastAsia" w:ascii="Times New Roman" w:eastAsia="黑体" w:cs="Times New Roman"/>
          <w:b/>
          <w:kern w:val="0"/>
          <w:sz w:val="24"/>
          <w:szCs w:val="24"/>
          <w:lang w:val="en-US" w:eastAsia="zh-CN" w:bidi="ar-SA"/>
        </w:rPr>
        <w:t>（5）</w:t>
      </w:r>
      <w:r>
        <w:rPr>
          <w:rFonts w:hint="eastAsia" w:ascii="Times New Roman" w:hAnsi="Times New Roman" w:eastAsia="黑体" w:cs="Times New Roman"/>
          <w:b/>
          <w:kern w:val="0"/>
          <w:sz w:val="24"/>
          <w:szCs w:val="24"/>
          <w:lang w:val="en-US" w:eastAsia="zh-CN" w:bidi="ar-SA"/>
        </w:rPr>
        <w:t>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hAnsi="Times New Roman" w:eastAsia="黑体" w:cs="Times New Roman"/>
          <w:b/>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kern w:val="0"/>
          <w:sz w:val="24"/>
          <w:szCs w:val="24"/>
        </w:rPr>
        <w:t xml:space="preserve">。  </w:t>
      </w:r>
    </w:p>
    <w:p>
      <w:pPr>
        <w:pStyle w:val="29"/>
        <w:snapToGrid w:val="0"/>
        <w:spacing w:beforeLines="0" w:afterLines="0"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29"/>
        <w:snapToGrid w:val="0"/>
        <w:spacing w:beforeLines="0" w:afterLines="0" w:line="276" w:lineRule="auto"/>
        <w:ind w:firstLine="482"/>
        <w:contextualSpacing/>
        <w:jc w:val="both"/>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3.投资于存款类资产的可能风险：本产品拟投资的存款类资产在极端情况下可能面临被拒绝支取、因提前支取而被收取罚息等费用的风险，从而影响投资者收益，甚至使本产品本金遭受损失。</w:t>
      </w:r>
    </w:p>
    <w:p>
      <w:pPr>
        <w:pStyle w:val="29"/>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29"/>
        <w:snapToGrid w:val="0"/>
        <w:spacing w:beforeLines="0" w:afterLines="0" w:line="276" w:lineRule="auto"/>
        <w:ind w:firstLine="482"/>
        <w:contextualSpacing/>
        <w:rPr>
          <w:rFonts w:hint="eastAsia" w:ascii="Times New Roman" w:hAnsi="Times New Roman" w:eastAsia="黑体" w:cs="Times New Roman"/>
          <w:b/>
          <w:sz w:val="24"/>
          <w:szCs w:val="24"/>
          <w:lang w:val="en-US" w:eastAsia="zh-CN"/>
        </w:rPr>
      </w:pPr>
      <w:r>
        <w:rPr>
          <w:rFonts w:hint="eastAsia" w:ascii="Times New Roman" w:eastAsia="黑体" w:cs="Times New Roman"/>
          <w:b/>
          <w:kern w:val="0"/>
          <w:sz w:val="24"/>
          <w:szCs w:val="24"/>
          <w:lang w:val="en-US" w:eastAsia="zh-CN" w:bidi="ar-SA"/>
        </w:rPr>
        <w:t>5</w:t>
      </w:r>
      <w:r>
        <w:rPr>
          <w:rFonts w:hint="eastAsia" w:ascii="Times New Roman" w:hAnsi="Times New Roman" w:eastAsia="黑体" w:cs="Times New Roman"/>
          <w:b/>
          <w:kern w:val="0"/>
          <w:sz w:val="24"/>
          <w:szCs w:val="24"/>
          <w:lang w:val="en-US" w:eastAsia="zh-CN" w:bidi="ar-SA"/>
        </w:rPr>
        <w:t>.投资于股票类资产的可能风险：国家货币、财政、产业等政策变化对证券市场产生一定的影响，导致市场价格水平波动的风险；宏观经济运行周期性波动，对股票市场的收益水平产生影响的风险；上市公司的经营状况受多种因素影响，如市场、技术、竞争、管理、财务等都可能导致公司盈利发生变化，从而导致股票价格下跌，影响投资者收益，甚至使产品本金遭受损失；股票遭流通和转让限制导致的流动性风险；投资于不同板块、不同市场股票，如投资科创板、创业板、港股通股票等，可能面临因投资标的、市场制度、交易规则、监管法规等差异造成的风险等。</w:t>
      </w:r>
    </w:p>
    <w:p>
      <w:pPr>
        <w:pStyle w:val="29"/>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bidi="ar-SA"/>
        </w:rPr>
        <w:t>6</w:t>
      </w:r>
      <w:r>
        <w:rPr>
          <w:rFonts w:hint="eastAsia" w:ascii="Times New Roman" w:hAnsi="Times New Roman" w:eastAsia="黑体" w:cs="Times New Roman"/>
          <w:b/>
          <w:kern w:val="0"/>
          <w:sz w:val="24"/>
          <w:szCs w:val="24"/>
          <w:lang w:val="en-US" w:eastAsia="zh-CN" w:bidi="ar-SA"/>
        </w:rPr>
        <w:t xml:space="preserve">.投资于券商收益凭证的可能风险：券商收益凭证通常以证券公司的信用发行，在存续期间，证券公司可能发生解散、破产、无力清偿到期债务、资产被查封、冻结或强制执行等情形，存在无法偿付凭证本金和收益的信用风险；由于证券公司内部管理流程缺陷、人员操作失误、不合规、估值错误或者外部事件等原因而导致损失的操作风险；券商收益凭证本金和收益的偿付挂钩特定标的，包括但不限于股权、债权、信用、基金、利率、汇率、指数、期货和商品等，收益存在不确定性市场风险；根据不同的券商收益凭证结构设计，存在券商收益凭证提前终止导致产品再投资或提前终止风险。本理财产品投资于券商收益凭证，还可能面临流动性风险、政策法律风险、信息传递风险、不可抗力及意外事件风险等情形而导致无法实现投资收益甚至产品本金遭受损失的风险。 </w:t>
      </w:r>
    </w:p>
    <w:p>
      <w:pPr>
        <w:pStyle w:val="29"/>
        <w:snapToGrid w:val="0"/>
        <w:spacing w:beforeLines="0" w:afterLines="0" w:line="276" w:lineRule="auto"/>
        <w:ind w:firstLine="482"/>
        <w:contextualSpacing/>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lang w:val="en-US" w:eastAsia="zh-CN"/>
        </w:rPr>
        <w:t>7.</w:t>
      </w:r>
      <w:r>
        <w:rPr>
          <w:rFonts w:hint="eastAsia" w:ascii="Times New Roman" w:hAnsi="Times New Roman" w:eastAsia="黑体" w:cs="Times New Roman"/>
          <w:b/>
          <w:kern w:val="0"/>
          <w:sz w:val="24"/>
          <w:szCs w:val="24"/>
          <w:lang w:val="en-US" w:eastAsia="zh-CN" w:bidi="ar-SA"/>
        </w:rPr>
        <w:t>投资于商品及金融衍生品类资产的可能风险：基础产品价格波动造成衍生品价格波动，高杠杆和跨期交易可能加剧衍生品价格波动的市场风险；衍生品发行方或交易对手方违约或不履行合约的导致的信用风险；缺乏交易对手导致无法平仓/变现、流动资金不足或无法追加保证金导致被迫平仓造成亏损的风险；因内部程序、人员、系统操作不当或因外部事件导致损失的操作风险；部分衍生品操作相关法律法规的滞后，交易合约在法律范围内无效而无法履约或交易合约订立不当产生的法律风险。</w:t>
      </w:r>
    </w:p>
    <w:p>
      <w:pPr>
        <w:pStyle w:val="29"/>
        <w:numPr>
          <w:ilvl w:val="-1"/>
          <w:numId w:val="0"/>
        </w:numPr>
        <w:snapToGrid w:val="0"/>
        <w:spacing w:line="276" w:lineRule="auto"/>
        <w:ind w:firstLine="0" w:firstLineChars="0"/>
        <w:contextualSpacing/>
        <w:jc w:val="both"/>
        <w:rPr>
          <w:rFonts w:hint="eastAsia" w:ascii="Times New Roman" w:eastAsia="黑体" w:cs="Times New Roman"/>
          <w:b/>
        </w:rPr>
      </w:pPr>
      <w:r>
        <w:rPr>
          <w:rFonts w:hint="eastAsia" w:ascii="Times New Roman" w:eastAsia="黑体" w:cs="Times New Roman"/>
          <w:b/>
          <w:kern w:val="0"/>
          <w:sz w:val="24"/>
          <w:szCs w:val="24"/>
          <w:lang w:val="en-US" w:eastAsia="zh-CN" w:bidi="ar-SA"/>
        </w:rPr>
        <w:t xml:space="preserve">    8</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29"/>
        <w:numPr>
          <w:ilvl w:val="-1"/>
          <w:numId w:val="0"/>
        </w:numPr>
        <w:snapToGrid w:val="0"/>
        <w:spacing w:line="276" w:lineRule="auto"/>
        <w:ind w:firstLine="0" w:firstLineChars="0"/>
        <w:contextualSpacing/>
        <w:jc w:val="both"/>
        <w:rPr>
          <w:rFonts w:hint="eastAsia" w:ascii="Times New Roman" w:eastAsia="黑体" w:cs="Times New Roman"/>
          <w:b/>
        </w:rPr>
      </w:pPr>
    </w:p>
    <w:p>
      <w:pPr>
        <w:pStyle w:val="29"/>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pStyle w:val="29"/>
        <w:snapToGrid w:val="0"/>
        <w:spacing w:line="276" w:lineRule="auto"/>
        <w:ind w:firstLine="480" w:firstLineChars="200"/>
        <w:contextualSpacing/>
        <w:outlineLvl w:val="1"/>
        <w:rPr>
          <w:rFonts w:ascii="仿宋" w:hAnsi="仿宋" w:eastAsia="仿宋"/>
        </w:rPr>
      </w:pPr>
      <w:r>
        <w:rPr>
          <w:rFonts w:ascii="仿宋" w:hAnsi="仿宋" w:eastAsia="仿宋"/>
        </w:rPr>
        <w:t>（</w:t>
      </w:r>
      <w:r>
        <w:rPr>
          <w:rFonts w:hint="eastAsia" w:ascii="仿宋" w:hAnsi="仿宋" w:eastAsia="仿宋"/>
        </w:rPr>
        <w:t>一</w:t>
      </w:r>
      <w:r>
        <w:rPr>
          <w:rFonts w:ascii="仿宋" w:hAnsi="仿宋" w:eastAsia="仿宋"/>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pStyle w:val="29"/>
        <w:snapToGrid w:val="0"/>
        <w:spacing w:line="276" w:lineRule="auto"/>
        <w:ind w:firstLine="480" w:firstLineChars="200"/>
        <w:contextualSpacing/>
        <w:outlineLvl w:val="1"/>
        <w:rPr>
          <w:rFonts w:ascii="仿宋" w:hAnsi="仿宋" w:eastAsia="仿宋"/>
        </w:rPr>
      </w:pPr>
      <w:r>
        <w:rPr>
          <w:rFonts w:ascii="仿宋" w:hAnsi="仿宋" w:eastAsia="仿宋"/>
        </w:rPr>
        <w:t>（二）理财产品临时</w:t>
      </w:r>
      <w:r>
        <w:rPr>
          <w:rFonts w:hint="eastAsia" w:ascii="仿宋" w:hAnsi="仿宋" w:eastAsia="仿宋"/>
        </w:rPr>
        <w:t>性</w:t>
      </w:r>
      <w:r>
        <w:rPr>
          <w:rFonts w:ascii="仿宋" w:hAnsi="仿宋" w:eastAsia="仿宋"/>
        </w:rPr>
        <w:t>信息披露</w:t>
      </w:r>
      <w:r>
        <w:rPr>
          <w:rFonts w:hint="eastAsia" w:ascii="仿宋" w:hAnsi="仿宋" w:eastAsia="仿宋"/>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w:t>
      </w:r>
      <w:r>
        <w:rPr>
          <w:rFonts w:hint="eastAsia" w:ascii="仿宋" w:hAnsi="仿宋" w:eastAsia="仿宋" w:cs="宋体"/>
          <w:kern w:val="0"/>
          <w:sz w:val="24"/>
        </w:rPr>
        <w:t>信息披露</w:t>
      </w:r>
      <w:r>
        <w:rPr>
          <w:rFonts w:hint="eastAsia" w:ascii="仿宋" w:hAnsi="仿宋" w:eastAsia="仿宋" w:cs="宋体"/>
          <w:color w:val="000000"/>
          <w:kern w:val="0"/>
          <w:sz w:val="24"/>
        </w:rPr>
        <w:t>渠道予以公告</w:t>
      </w:r>
      <w:r>
        <w:rPr>
          <w:rFonts w:hint="eastAsia" w:ascii="仿宋" w:hAnsi="仿宋" w:eastAsia="仿宋" w:cs="宋体"/>
          <w:kern w:val="0"/>
          <w:sz w:val="24"/>
        </w:rPr>
        <w:t>；</w:t>
      </w:r>
      <w:r>
        <w:rPr>
          <w:rFonts w:hint="eastAsia" w:ascii="仿宋" w:hAnsi="仿宋" w:eastAsia="仿宋" w:cs="宋体"/>
          <w:b/>
          <w:bCs/>
          <w:kern w:val="0"/>
          <w:sz w:val="24"/>
        </w:rPr>
        <w:t>其中，对于华夏理财增加费用名目、提高收费标准等对投资者利益产生实质不利影响的情形，投资者如不接受，可按</w:t>
      </w:r>
      <w:r>
        <w:rPr>
          <w:rFonts w:ascii="仿宋" w:hAnsi="仿宋" w:eastAsia="仿宋" w:cs="宋体"/>
          <w:b/>
          <w:bCs/>
          <w:kern w:val="0"/>
          <w:sz w:val="24"/>
        </w:rPr>
        <w:t>信息披露中确定的方式</w:t>
      </w:r>
      <w:r>
        <w:rPr>
          <w:rFonts w:hint="eastAsia" w:ascii="仿宋" w:hAnsi="仿宋" w:eastAsia="仿宋" w:cs="宋体"/>
          <w:b/>
          <w:bCs/>
          <w:kern w:val="0"/>
          <w:sz w:val="24"/>
        </w:rPr>
        <w:t>和</w:t>
      </w:r>
      <w:r>
        <w:rPr>
          <w:rFonts w:ascii="仿宋" w:hAnsi="仿宋" w:eastAsia="仿宋" w:cs="宋体"/>
          <w:b/>
          <w:bCs/>
          <w:kern w:val="0"/>
          <w:sz w:val="24"/>
        </w:rPr>
        <w:t>时限</w:t>
      </w:r>
      <w:r>
        <w:rPr>
          <w:rFonts w:hint="eastAsia" w:ascii="仿宋" w:hAnsi="仿宋" w:eastAsia="仿宋" w:cs="宋体"/>
          <w:b/>
          <w:bCs/>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w:t>
      </w:r>
      <w:r>
        <w:rPr>
          <w:rFonts w:hint="eastAsia" w:ascii="仿宋" w:hAnsi="仿宋" w:eastAsia="仿宋" w:cs="宋体"/>
          <w:kern w:val="0"/>
          <w:sz w:val="24"/>
        </w:rPr>
        <w:t>信息披露</w:t>
      </w:r>
      <w:r>
        <w:rPr>
          <w:rFonts w:hint="eastAsia" w:ascii="仿宋" w:hAnsi="仿宋" w:eastAsia="仿宋" w:cs="宋体"/>
          <w:color w:val="000000"/>
          <w:kern w:val="0"/>
          <w:sz w:val="24"/>
        </w:rPr>
        <w:t>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pStyle w:val="29"/>
        <w:snapToGrid w:val="0"/>
        <w:spacing w:line="276" w:lineRule="auto"/>
        <w:ind w:firstLine="480" w:firstLineChars="200"/>
        <w:contextualSpacing/>
        <w:outlineLvl w:val="1"/>
        <w:rPr>
          <w:rFonts w:ascii="仿宋" w:hAnsi="仿宋" w:eastAsia="仿宋"/>
        </w:rPr>
      </w:pPr>
      <w:r>
        <w:rPr>
          <w:rFonts w:ascii="仿宋" w:hAnsi="仿宋" w:eastAsia="仿宋"/>
        </w:rPr>
        <w:t>（</w:t>
      </w:r>
      <w:r>
        <w:rPr>
          <w:rFonts w:hint="eastAsia" w:ascii="仿宋" w:hAnsi="仿宋" w:eastAsia="仿宋"/>
        </w:rPr>
        <w:t>三</w:t>
      </w:r>
      <w:r>
        <w:rPr>
          <w:rFonts w:ascii="仿宋" w:hAnsi="仿宋" w:eastAsia="仿宋"/>
        </w:rPr>
        <w:t>）</w:t>
      </w:r>
      <w:r>
        <w:rPr>
          <w:rFonts w:hint="eastAsia" w:ascii="仿宋" w:hAnsi="仿宋" w:eastAsia="仿宋"/>
        </w:rPr>
        <w:t>管理人</w:t>
      </w:r>
      <w:r>
        <w:rPr>
          <w:rFonts w:ascii="仿宋" w:hAnsi="仿宋" w:eastAsia="仿宋"/>
        </w:rPr>
        <w:t>信息披露</w:t>
      </w:r>
      <w:r>
        <w:rPr>
          <w:rFonts w:hint="eastAsia" w:ascii="仿宋" w:hAnsi="仿宋" w:eastAsia="仿宋"/>
        </w:rPr>
        <w:t>的方式</w:t>
      </w:r>
      <w:r>
        <w:rPr>
          <w:rFonts w:ascii="仿宋" w:hAnsi="仿宋" w:eastAsia="仿宋"/>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pStyle w:val="29"/>
        <w:snapToGrid w:val="0"/>
        <w:spacing w:line="276" w:lineRule="auto"/>
        <w:ind w:firstLine="480" w:firstLineChars="200"/>
        <w:contextualSpacing/>
        <w:outlineLvl w:val="1"/>
        <w:rPr>
          <w:rFonts w:ascii="仿宋" w:hAnsi="仿宋" w:eastAsia="仿宋"/>
        </w:rPr>
      </w:pPr>
      <w:r>
        <w:rPr>
          <w:rFonts w:hint="eastAsia" w:ascii="仿宋" w:hAnsi="仿宋" w:eastAsia="仿宋"/>
        </w:rPr>
        <w:t>（四）投资者关于信息披露的确认</w:t>
      </w:r>
    </w:p>
    <w:p>
      <w:pPr>
        <w:spacing w:after="156" w:afterLines="50" w:line="276" w:lineRule="auto"/>
        <w:ind w:firstLine="480"/>
        <w:contextualSpacing/>
        <w:rPr>
          <w:rFonts w:eastAsia="黑体"/>
          <w:b/>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29"/>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29"/>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简仿宋">
    <w:panose1 w:val="00000000000000000000"/>
    <w:charset w:val="86"/>
    <w:family w:val="auto"/>
    <w:pitch w:val="default"/>
    <w:sig w:usb0="00000000" w:usb1="00000000" w:usb2="00000000" w:usb3="00000000" w:csb0="00000000" w:csb1="00000000"/>
  </w:font>
  <w:font w:name="Arial Unicode MS">
    <w:altName w:val="宋体"/>
    <w:panose1 w:val="020B0604020202020204"/>
    <w:charset w:val="86"/>
    <w:family w:val="swiss"/>
    <w:pitch w:val="default"/>
    <w:sig w:usb0="00000000" w:usb1="00000000" w:usb2="0000003F" w:usb3="00000000" w:csb0="003F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spacing w:line="360" w:lineRule="aut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9A06E7"/>
    <w:multiLevelType w:val="singleLevel"/>
    <w:tmpl w:val="2F9A06E7"/>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trackRevisions w:val="1"/>
  <w:documentProtection w:edit="trackedChanges"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2DCA"/>
    <w:rsid w:val="0000532D"/>
    <w:rsid w:val="00020F81"/>
    <w:rsid w:val="00021003"/>
    <w:rsid w:val="0004783E"/>
    <w:rsid w:val="00063561"/>
    <w:rsid w:val="00064D76"/>
    <w:rsid w:val="000713E1"/>
    <w:rsid w:val="000805E4"/>
    <w:rsid w:val="000A3C07"/>
    <w:rsid w:val="000B32CF"/>
    <w:rsid w:val="000C6CF0"/>
    <w:rsid w:val="000D002A"/>
    <w:rsid w:val="000D7DE2"/>
    <w:rsid w:val="000E195A"/>
    <w:rsid w:val="000E7817"/>
    <w:rsid w:val="000F0804"/>
    <w:rsid w:val="00111D14"/>
    <w:rsid w:val="001260F4"/>
    <w:rsid w:val="001318D7"/>
    <w:rsid w:val="00141481"/>
    <w:rsid w:val="001423F3"/>
    <w:rsid w:val="00146323"/>
    <w:rsid w:val="00170760"/>
    <w:rsid w:val="00172A27"/>
    <w:rsid w:val="00196F77"/>
    <w:rsid w:val="001B29E5"/>
    <w:rsid w:val="001E22CF"/>
    <w:rsid w:val="001E4307"/>
    <w:rsid w:val="0020692B"/>
    <w:rsid w:val="00214B23"/>
    <w:rsid w:val="00221247"/>
    <w:rsid w:val="00227F2A"/>
    <w:rsid w:val="002778FD"/>
    <w:rsid w:val="00294355"/>
    <w:rsid w:val="002A2967"/>
    <w:rsid w:val="002A2FEF"/>
    <w:rsid w:val="002E7F9D"/>
    <w:rsid w:val="00311EF5"/>
    <w:rsid w:val="00351C38"/>
    <w:rsid w:val="00365E5C"/>
    <w:rsid w:val="003923B3"/>
    <w:rsid w:val="003B2A65"/>
    <w:rsid w:val="003B3350"/>
    <w:rsid w:val="003C30C8"/>
    <w:rsid w:val="003D55AF"/>
    <w:rsid w:val="003D65A8"/>
    <w:rsid w:val="003E4BEB"/>
    <w:rsid w:val="003E7186"/>
    <w:rsid w:val="003F4E18"/>
    <w:rsid w:val="003F6114"/>
    <w:rsid w:val="004021F4"/>
    <w:rsid w:val="0044086D"/>
    <w:rsid w:val="00462536"/>
    <w:rsid w:val="004734C8"/>
    <w:rsid w:val="00494748"/>
    <w:rsid w:val="00497E46"/>
    <w:rsid w:val="004A2A5F"/>
    <w:rsid w:val="004C4084"/>
    <w:rsid w:val="004E60FD"/>
    <w:rsid w:val="004E7D97"/>
    <w:rsid w:val="004F4E81"/>
    <w:rsid w:val="004F648F"/>
    <w:rsid w:val="005016FC"/>
    <w:rsid w:val="00506FE1"/>
    <w:rsid w:val="005114E6"/>
    <w:rsid w:val="00512B7C"/>
    <w:rsid w:val="005604F6"/>
    <w:rsid w:val="00560CC1"/>
    <w:rsid w:val="005727C8"/>
    <w:rsid w:val="005C08EC"/>
    <w:rsid w:val="005D7126"/>
    <w:rsid w:val="005F66E4"/>
    <w:rsid w:val="00601E1F"/>
    <w:rsid w:val="006075D0"/>
    <w:rsid w:val="006075DF"/>
    <w:rsid w:val="00613BD1"/>
    <w:rsid w:val="00643461"/>
    <w:rsid w:val="00650968"/>
    <w:rsid w:val="00656FE9"/>
    <w:rsid w:val="00667B5F"/>
    <w:rsid w:val="00670595"/>
    <w:rsid w:val="00677437"/>
    <w:rsid w:val="00681E3A"/>
    <w:rsid w:val="0068328B"/>
    <w:rsid w:val="006860DD"/>
    <w:rsid w:val="0069073D"/>
    <w:rsid w:val="006915E0"/>
    <w:rsid w:val="006D3A14"/>
    <w:rsid w:val="006E0E9D"/>
    <w:rsid w:val="006E742E"/>
    <w:rsid w:val="006F119A"/>
    <w:rsid w:val="006F13D3"/>
    <w:rsid w:val="006F5FF0"/>
    <w:rsid w:val="00712CC7"/>
    <w:rsid w:val="007311CA"/>
    <w:rsid w:val="00734D46"/>
    <w:rsid w:val="0076606B"/>
    <w:rsid w:val="00777429"/>
    <w:rsid w:val="007815CF"/>
    <w:rsid w:val="00792744"/>
    <w:rsid w:val="007F32C1"/>
    <w:rsid w:val="00807591"/>
    <w:rsid w:val="008277B6"/>
    <w:rsid w:val="008340D5"/>
    <w:rsid w:val="00836CF0"/>
    <w:rsid w:val="00843345"/>
    <w:rsid w:val="00846F1F"/>
    <w:rsid w:val="008505CE"/>
    <w:rsid w:val="00852D93"/>
    <w:rsid w:val="00863612"/>
    <w:rsid w:val="00887E73"/>
    <w:rsid w:val="008B6C7E"/>
    <w:rsid w:val="008D19F3"/>
    <w:rsid w:val="008D5335"/>
    <w:rsid w:val="008D5F85"/>
    <w:rsid w:val="008E0C40"/>
    <w:rsid w:val="008E628E"/>
    <w:rsid w:val="008F6891"/>
    <w:rsid w:val="00902123"/>
    <w:rsid w:val="00916782"/>
    <w:rsid w:val="00930217"/>
    <w:rsid w:val="009625B3"/>
    <w:rsid w:val="00963ABF"/>
    <w:rsid w:val="00971A91"/>
    <w:rsid w:val="00972105"/>
    <w:rsid w:val="009750D3"/>
    <w:rsid w:val="00991FA8"/>
    <w:rsid w:val="009A3572"/>
    <w:rsid w:val="009C0A85"/>
    <w:rsid w:val="009C4B76"/>
    <w:rsid w:val="009C5840"/>
    <w:rsid w:val="009E3137"/>
    <w:rsid w:val="009E6D89"/>
    <w:rsid w:val="009F0D25"/>
    <w:rsid w:val="009F1CB5"/>
    <w:rsid w:val="00A25440"/>
    <w:rsid w:val="00A33474"/>
    <w:rsid w:val="00A51A90"/>
    <w:rsid w:val="00A547BE"/>
    <w:rsid w:val="00A721BB"/>
    <w:rsid w:val="00A87692"/>
    <w:rsid w:val="00A93593"/>
    <w:rsid w:val="00A978E7"/>
    <w:rsid w:val="00AA7D8A"/>
    <w:rsid w:val="00AD7FE0"/>
    <w:rsid w:val="00AE1B0B"/>
    <w:rsid w:val="00AE26B5"/>
    <w:rsid w:val="00AE7F75"/>
    <w:rsid w:val="00AF3F07"/>
    <w:rsid w:val="00B47C68"/>
    <w:rsid w:val="00B5695A"/>
    <w:rsid w:val="00BA2B7F"/>
    <w:rsid w:val="00BA77A8"/>
    <w:rsid w:val="00BB3661"/>
    <w:rsid w:val="00BB4269"/>
    <w:rsid w:val="00BC4B7F"/>
    <w:rsid w:val="00BE076D"/>
    <w:rsid w:val="00BE4A47"/>
    <w:rsid w:val="00C00313"/>
    <w:rsid w:val="00C04B81"/>
    <w:rsid w:val="00C33E4C"/>
    <w:rsid w:val="00CE50FA"/>
    <w:rsid w:val="00D04171"/>
    <w:rsid w:val="00D04582"/>
    <w:rsid w:val="00D06C20"/>
    <w:rsid w:val="00D1233E"/>
    <w:rsid w:val="00D316BA"/>
    <w:rsid w:val="00D3392B"/>
    <w:rsid w:val="00D34745"/>
    <w:rsid w:val="00D55F86"/>
    <w:rsid w:val="00D65353"/>
    <w:rsid w:val="00D919BF"/>
    <w:rsid w:val="00DC3F67"/>
    <w:rsid w:val="00DD0C1D"/>
    <w:rsid w:val="00DE02F1"/>
    <w:rsid w:val="00DE2987"/>
    <w:rsid w:val="00E14705"/>
    <w:rsid w:val="00E3574A"/>
    <w:rsid w:val="00E36488"/>
    <w:rsid w:val="00E46D53"/>
    <w:rsid w:val="00E67222"/>
    <w:rsid w:val="00E80727"/>
    <w:rsid w:val="00E8155A"/>
    <w:rsid w:val="00E816F5"/>
    <w:rsid w:val="00E82284"/>
    <w:rsid w:val="00E879FF"/>
    <w:rsid w:val="00E95A0F"/>
    <w:rsid w:val="00EA3D6E"/>
    <w:rsid w:val="00EA6BD1"/>
    <w:rsid w:val="00EE7A2F"/>
    <w:rsid w:val="00F37C88"/>
    <w:rsid w:val="00F444A8"/>
    <w:rsid w:val="00F5357A"/>
    <w:rsid w:val="00F55B95"/>
    <w:rsid w:val="00F56D69"/>
    <w:rsid w:val="00F927AA"/>
    <w:rsid w:val="00F9415B"/>
    <w:rsid w:val="00FC1677"/>
    <w:rsid w:val="00FD2903"/>
    <w:rsid w:val="00FE1291"/>
    <w:rsid w:val="00FE482B"/>
    <w:rsid w:val="00FF56AD"/>
    <w:rsid w:val="018D5F51"/>
    <w:rsid w:val="01EB6FEC"/>
    <w:rsid w:val="020578AC"/>
    <w:rsid w:val="02377743"/>
    <w:rsid w:val="026A609C"/>
    <w:rsid w:val="03357777"/>
    <w:rsid w:val="03B81C8C"/>
    <w:rsid w:val="03DB06FE"/>
    <w:rsid w:val="046E56D3"/>
    <w:rsid w:val="049D2AC6"/>
    <w:rsid w:val="04B16B62"/>
    <w:rsid w:val="05087E50"/>
    <w:rsid w:val="05215177"/>
    <w:rsid w:val="05362F38"/>
    <w:rsid w:val="06106106"/>
    <w:rsid w:val="06490B74"/>
    <w:rsid w:val="06996718"/>
    <w:rsid w:val="06E52844"/>
    <w:rsid w:val="07026ACD"/>
    <w:rsid w:val="08961A5A"/>
    <w:rsid w:val="08A96CC2"/>
    <w:rsid w:val="08D03FC7"/>
    <w:rsid w:val="0A0F44CD"/>
    <w:rsid w:val="0AA97A8C"/>
    <w:rsid w:val="0B047D48"/>
    <w:rsid w:val="0B9C5D9B"/>
    <w:rsid w:val="0BA27F6B"/>
    <w:rsid w:val="0C2641DF"/>
    <w:rsid w:val="0C510FA4"/>
    <w:rsid w:val="0C9E5955"/>
    <w:rsid w:val="0D463CB3"/>
    <w:rsid w:val="0D4C0E51"/>
    <w:rsid w:val="0D511F69"/>
    <w:rsid w:val="0D5A24E8"/>
    <w:rsid w:val="0DC52C23"/>
    <w:rsid w:val="0DF70178"/>
    <w:rsid w:val="0E3C3C0F"/>
    <w:rsid w:val="0E966946"/>
    <w:rsid w:val="0EE542A1"/>
    <w:rsid w:val="0F0E3C1D"/>
    <w:rsid w:val="0F2862EC"/>
    <w:rsid w:val="0F806FD5"/>
    <w:rsid w:val="0F957CFC"/>
    <w:rsid w:val="0FE53808"/>
    <w:rsid w:val="0FFB71B0"/>
    <w:rsid w:val="105D61FB"/>
    <w:rsid w:val="10AF5991"/>
    <w:rsid w:val="117C0D4E"/>
    <w:rsid w:val="11BB3DB9"/>
    <w:rsid w:val="11D21B30"/>
    <w:rsid w:val="123B658C"/>
    <w:rsid w:val="12822D5D"/>
    <w:rsid w:val="12AD4D73"/>
    <w:rsid w:val="12CD4972"/>
    <w:rsid w:val="12FA2A1E"/>
    <w:rsid w:val="12FB08EA"/>
    <w:rsid w:val="13081A36"/>
    <w:rsid w:val="13B35082"/>
    <w:rsid w:val="142741A0"/>
    <w:rsid w:val="14FD2EFF"/>
    <w:rsid w:val="152A1DB0"/>
    <w:rsid w:val="155D4436"/>
    <w:rsid w:val="162D35F1"/>
    <w:rsid w:val="1637208E"/>
    <w:rsid w:val="16457F02"/>
    <w:rsid w:val="1675525F"/>
    <w:rsid w:val="169510B8"/>
    <w:rsid w:val="16AC706E"/>
    <w:rsid w:val="16B5042D"/>
    <w:rsid w:val="16DD4AF1"/>
    <w:rsid w:val="174C5C47"/>
    <w:rsid w:val="178D27B4"/>
    <w:rsid w:val="178F1B2A"/>
    <w:rsid w:val="182014A2"/>
    <w:rsid w:val="18294E04"/>
    <w:rsid w:val="1892050E"/>
    <w:rsid w:val="18D80C51"/>
    <w:rsid w:val="18EE0BF6"/>
    <w:rsid w:val="18FF0F1B"/>
    <w:rsid w:val="198557BA"/>
    <w:rsid w:val="19CE04CC"/>
    <w:rsid w:val="1A1D0C31"/>
    <w:rsid w:val="1A707A6D"/>
    <w:rsid w:val="1A7D6D25"/>
    <w:rsid w:val="1A816486"/>
    <w:rsid w:val="1A893942"/>
    <w:rsid w:val="1A907FA2"/>
    <w:rsid w:val="1AD533CC"/>
    <w:rsid w:val="1B5F5984"/>
    <w:rsid w:val="1B800168"/>
    <w:rsid w:val="1BA64FD1"/>
    <w:rsid w:val="1BBC5A18"/>
    <w:rsid w:val="1BE97487"/>
    <w:rsid w:val="1C6357AF"/>
    <w:rsid w:val="1CAC5E2B"/>
    <w:rsid w:val="1CDF5587"/>
    <w:rsid w:val="1CF10D78"/>
    <w:rsid w:val="1D023468"/>
    <w:rsid w:val="1D0736D5"/>
    <w:rsid w:val="1D5D728B"/>
    <w:rsid w:val="1D795BF8"/>
    <w:rsid w:val="1E356AFA"/>
    <w:rsid w:val="1E724912"/>
    <w:rsid w:val="1E8F70B8"/>
    <w:rsid w:val="1E936936"/>
    <w:rsid w:val="1F4F61EE"/>
    <w:rsid w:val="1F527064"/>
    <w:rsid w:val="204A0870"/>
    <w:rsid w:val="20740963"/>
    <w:rsid w:val="20C822D8"/>
    <w:rsid w:val="21FA0627"/>
    <w:rsid w:val="220D5EC8"/>
    <w:rsid w:val="22220369"/>
    <w:rsid w:val="223431B1"/>
    <w:rsid w:val="229737E9"/>
    <w:rsid w:val="22A15AE0"/>
    <w:rsid w:val="22C149FC"/>
    <w:rsid w:val="22F1518B"/>
    <w:rsid w:val="238C25BD"/>
    <w:rsid w:val="246A62AE"/>
    <w:rsid w:val="24A91031"/>
    <w:rsid w:val="2540580E"/>
    <w:rsid w:val="254A0B53"/>
    <w:rsid w:val="256303B5"/>
    <w:rsid w:val="25665B19"/>
    <w:rsid w:val="25E72FA7"/>
    <w:rsid w:val="273147E4"/>
    <w:rsid w:val="27487015"/>
    <w:rsid w:val="27A50231"/>
    <w:rsid w:val="28347384"/>
    <w:rsid w:val="287A4275"/>
    <w:rsid w:val="29711978"/>
    <w:rsid w:val="29810304"/>
    <w:rsid w:val="298634AE"/>
    <w:rsid w:val="2A567387"/>
    <w:rsid w:val="2AC21136"/>
    <w:rsid w:val="2AED21E9"/>
    <w:rsid w:val="2B3649F4"/>
    <w:rsid w:val="2B4675FA"/>
    <w:rsid w:val="2BB602C5"/>
    <w:rsid w:val="2BD85FC4"/>
    <w:rsid w:val="2BF50AB4"/>
    <w:rsid w:val="2C1C5AFD"/>
    <w:rsid w:val="2CDB7E63"/>
    <w:rsid w:val="2D434FF8"/>
    <w:rsid w:val="2DA05DCE"/>
    <w:rsid w:val="2EC208DF"/>
    <w:rsid w:val="2F223C18"/>
    <w:rsid w:val="2F401A95"/>
    <w:rsid w:val="2F517C68"/>
    <w:rsid w:val="2F854CC7"/>
    <w:rsid w:val="2FDD2BC4"/>
    <w:rsid w:val="2FF679D7"/>
    <w:rsid w:val="3058472F"/>
    <w:rsid w:val="30653C55"/>
    <w:rsid w:val="307C6D47"/>
    <w:rsid w:val="307D149D"/>
    <w:rsid w:val="30B93C1E"/>
    <w:rsid w:val="30F83A0E"/>
    <w:rsid w:val="320C78A0"/>
    <w:rsid w:val="322D4AD1"/>
    <w:rsid w:val="3235704A"/>
    <w:rsid w:val="32726967"/>
    <w:rsid w:val="329A0B6A"/>
    <w:rsid w:val="329D05C7"/>
    <w:rsid w:val="32C642E9"/>
    <w:rsid w:val="32D2088E"/>
    <w:rsid w:val="32E479BE"/>
    <w:rsid w:val="332573C9"/>
    <w:rsid w:val="33F3040F"/>
    <w:rsid w:val="34854AB1"/>
    <w:rsid w:val="34A63F82"/>
    <w:rsid w:val="34BF4198"/>
    <w:rsid w:val="350A7012"/>
    <w:rsid w:val="360161F0"/>
    <w:rsid w:val="36050641"/>
    <w:rsid w:val="361F6B5B"/>
    <w:rsid w:val="36365F0F"/>
    <w:rsid w:val="365C6B3D"/>
    <w:rsid w:val="372651A6"/>
    <w:rsid w:val="37440EBB"/>
    <w:rsid w:val="375D0374"/>
    <w:rsid w:val="378A5DAD"/>
    <w:rsid w:val="379A4E61"/>
    <w:rsid w:val="382265A3"/>
    <w:rsid w:val="385467B2"/>
    <w:rsid w:val="386B45BC"/>
    <w:rsid w:val="39223F50"/>
    <w:rsid w:val="394C6E9C"/>
    <w:rsid w:val="39915230"/>
    <w:rsid w:val="39A47D94"/>
    <w:rsid w:val="39B533F4"/>
    <w:rsid w:val="39CD5E4B"/>
    <w:rsid w:val="3A166DB1"/>
    <w:rsid w:val="3A6464DA"/>
    <w:rsid w:val="3ABE3E8E"/>
    <w:rsid w:val="3B0D1F3F"/>
    <w:rsid w:val="3B35691C"/>
    <w:rsid w:val="3B376401"/>
    <w:rsid w:val="3B8B78CF"/>
    <w:rsid w:val="3C691FB2"/>
    <w:rsid w:val="3C7265BA"/>
    <w:rsid w:val="3D1957A0"/>
    <w:rsid w:val="3D3B3330"/>
    <w:rsid w:val="3D794D6C"/>
    <w:rsid w:val="3F996600"/>
    <w:rsid w:val="3FD1594E"/>
    <w:rsid w:val="400D1324"/>
    <w:rsid w:val="401A73E5"/>
    <w:rsid w:val="40270632"/>
    <w:rsid w:val="40897331"/>
    <w:rsid w:val="41084885"/>
    <w:rsid w:val="413B574D"/>
    <w:rsid w:val="41637739"/>
    <w:rsid w:val="41A75327"/>
    <w:rsid w:val="42511776"/>
    <w:rsid w:val="425C3FD4"/>
    <w:rsid w:val="42726493"/>
    <w:rsid w:val="44C2436C"/>
    <w:rsid w:val="44D5127D"/>
    <w:rsid w:val="44D90650"/>
    <w:rsid w:val="45225B34"/>
    <w:rsid w:val="454247FC"/>
    <w:rsid w:val="456B1E84"/>
    <w:rsid w:val="45937A12"/>
    <w:rsid w:val="45AB7274"/>
    <w:rsid w:val="45C2437E"/>
    <w:rsid w:val="46247283"/>
    <w:rsid w:val="464740FB"/>
    <w:rsid w:val="466B4F36"/>
    <w:rsid w:val="46945BA3"/>
    <w:rsid w:val="469C1860"/>
    <w:rsid w:val="48100387"/>
    <w:rsid w:val="489F1960"/>
    <w:rsid w:val="48AD6D6F"/>
    <w:rsid w:val="492F3120"/>
    <w:rsid w:val="49866A44"/>
    <w:rsid w:val="4A646C71"/>
    <w:rsid w:val="4A73155F"/>
    <w:rsid w:val="4A974BFD"/>
    <w:rsid w:val="4B041272"/>
    <w:rsid w:val="4B9A6CD9"/>
    <w:rsid w:val="4CC42E4B"/>
    <w:rsid w:val="4CD55DF0"/>
    <w:rsid w:val="4DA41B7F"/>
    <w:rsid w:val="4DED30E6"/>
    <w:rsid w:val="4DFD4F82"/>
    <w:rsid w:val="4E006899"/>
    <w:rsid w:val="4E4604CC"/>
    <w:rsid w:val="4E6B607B"/>
    <w:rsid w:val="4E7E67D5"/>
    <w:rsid w:val="4E834167"/>
    <w:rsid w:val="4EE704C2"/>
    <w:rsid w:val="500E145A"/>
    <w:rsid w:val="500E49CD"/>
    <w:rsid w:val="500F1CD5"/>
    <w:rsid w:val="50F30A3E"/>
    <w:rsid w:val="511D25A1"/>
    <w:rsid w:val="5143646D"/>
    <w:rsid w:val="51695710"/>
    <w:rsid w:val="51A36407"/>
    <w:rsid w:val="51D60B75"/>
    <w:rsid w:val="51D91B25"/>
    <w:rsid w:val="5202225E"/>
    <w:rsid w:val="521557F3"/>
    <w:rsid w:val="52C77658"/>
    <w:rsid w:val="52DB0D77"/>
    <w:rsid w:val="53BF0718"/>
    <w:rsid w:val="53F62214"/>
    <w:rsid w:val="54406946"/>
    <w:rsid w:val="56444969"/>
    <w:rsid w:val="56516960"/>
    <w:rsid w:val="57176092"/>
    <w:rsid w:val="57262273"/>
    <w:rsid w:val="575C7B62"/>
    <w:rsid w:val="57DD0263"/>
    <w:rsid w:val="58083A83"/>
    <w:rsid w:val="581B10FA"/>
    <w:rsid w:val="582156EE"/>
    <w:rsid w:val="58427747"/>
    <w:rsid w:val="58B94C78"/>
    <w:rsid w:val="58BB4CDB"/>
    <w:rsid w:val="58F96B51"/>
    <w:rsid w:val="59AD702D"/>
    <w:rsid w:val="59D14CC4"/>
    <w:rsid w:val="59EF730D"/>
    <w:rsid w:val="59FF73A2"/>
    <w:rsid w:val="5A945937"/>
    <w:rsid w:val="5AA340C2"/>
    <w:rsid w:val="5AB6501F"/>
    <w:rsid w:val="5B9E1D5B"/>
    <w:rsid w:val="5BCB323C"/>
    <w:rsid w:val="5CC83D65"/>
    <w:rsid w:val="5D790E7F"/>
    <w:rsid w:val="5DC24B3C"/>
    <w:rsid w:val="5DC63A4E"/>
    <w:rsid w:val="5DED53D1"/>
    <w:rsid w:val="5E1B7959"/>
    <w:rsid w:val="5EA532B5"/>
    <w:rsid w:val="5EAD142E"/>
    <w:rsid w:val="5EF76013"/>
    <w:rsid w:val="5EFE5A8B"/>
    <w:rsid w:val="5F3F3BFD"/>
    <w:rsid w:val="5F7071A8"/>
    <w:rsid w:val="5FC6181B"/>
    <w:rsid w:val="60066955"/>
    <w:rsid w:val="601211DC"/>
    <w:rsid w:val="60292197"/>
    <w:rsid w:val="610C5CC5"/>
    <w:rsid w:val="612829F8"/>
    <w:rsid w:val="619A0DA9"/>
    <w:rsid w:val="61C43619"/>
    <w:rsid w:val="6210426E"/>
    <w:rsid w:val="62126C3A"/>
    <w:rsid w:val="62325267"/>
    <w:rsid w:val="63510BEE"/>
    <w:rsid w:val="637E758B"/>
    <w:rsid w:val="638119A8"/>
    <w:rsid w:val="63DB7FE5"/>
    <w:rsid w:val="642D51FD"/>
    <w:rsid w:val="64312382"/>
    <w:rsid w:val="644E4B1D"/>
    <w:rsid w:val="64651B49"/>
    <w:rsid w:val="648C2CC5"/>
    <w:rsid w:val="64A11C37"/>
    <w:rsid w:val="64A55F1E"/>
    <w:rsid w:val="652C5EC9"/>
    <w:rsid w:val="65353764"/>
    <w:rsid w:val="65574B3A"/>
    <w:rsid w:val="657171FE"/>
    <w:rsid w:val="65A46AEA"/>
    <w:rsid w:val="65EC5F0A"/>
    <w:rsid w:val="66EC4D96"/>
    <w:rsid w:val="6736101B"/>
    <w:rsid w:val="67690399"/>
    <w:rsid w:val="68370CCC"/>
    <w:rsid w:val="684D7DEF"/>
    <w:rsid w:val="68585ADF"/>
    <w:rsid w:val="68A77809"/>
    <w:rsid w:val="68C94029"/>
    <w:rsid w:val="695217DC"/>
    <w:rsid w:val="69923628"/>
    <w:rsid w:val="69C37032"/>
    <w:rsid w:val="6A2C55E6"/>
    <w:rsid w:val="6AFC54E5"/>
    <w:rsid w:val="6B2F26F6"/>
    <w:rsid w:val="6B895F90"/>
    <w:rsid w:val="6BD916EE"/>
    <w:rsid w:val="6CCA1A7F"/>
    <w:rsid w:val="6D3C598B"/>
    <w:rsid w:val="6DD3641A"/>
    <w:rsid w:val="6E035291"/>
    <w:rsid w:val="6E1206A4"/>
    <w:rsid w:val="6E2C4ACE"/>
    <w:rsid w:val="6E5A3D7E"/>
    <w:rsid w:val="6FDB28A3"/>
    <w:rsid w:val="703933A1"/>
    <w:rsid w:val="70AA0758"/>
    <w:rsid w:val="70B61502"/>
    <w:rsid w:val="70CE17C7"/>
    <w:rsid w:val="70F5166C"/>
    <w:rsid w:val="717B0A3E"/>
    <w:rsid w:val="71981EC0"/>
    <w:rsid w:val="71EF5ACB"/>
    <w:rsid w:val="72145BFB"/>
    <w:rsid w:val="722B706A"/>
    <w:rsid w:val="723369CC"/>
    <w:rsid w:val="723B233B"/>
    <w:rsid w:val="72485A5E"/>
    <w:rsid w:val="724F5D5C"/>
    <w:rsid w:val="72595DB6"/>
    <w:rsid w:val="728E0A16"/>
    <w:rsid w:val="729371FE"/>
    <w:rsid w:val="72C43ABF"/>
    <w:rsid w:val="72E929DE"/>
    <w:rsid w:val="72EF2B1D"/>
    <w:rsid w:val="738D015F"/>
    <w:rsid w:val="73990B03"/>
    <w:rsid w:val="745751F5"/>
    <w:rsid w:val="74892FD1"/>
    <w:rsid w:val="74FB18F9"/>
    <w:rsid w:val="75616560"/>
    <w:rsid w:val="75E158E8"/>
    <w:rsid w:val="75F80517"/>
    <w:rsid w:val="76C57715"/>
    <w:rsid w:val="77114867"/>
    <w:rsid w:val="771479EA"/>
    <w:rsid w:val="771C35A1"/>
    <w:rsid w:val="77A03719"/>
    <w:rsid w:val="77BA7ED7"/>
    <w:rsid w:val="78223427"/>
    <w:rsid w:val="785D59E4"/>
    <w:rsid w:val="789923C9"/>
    <w:rsid w:val="78A4259B"/>
    <w:rsid w:val="78C31CAF"/>
    <w:rsid w:val="78CE6E70"/>
    <w:rsid w:val="78FC6178"/>
    <w:rsid w:val="795B3486"/>
    <w:rsid w:val="79B75ECC"/>
    <w:rsid w:val="79E45FD6"/>
    <w:rsid w:val="7A52270E"/>
    <w:rsid w:val="7AD0105B"/>
    <w:rsid w:val="7AF92581"/>
    <w:rsid w:val="7B044A15"/>
    <w:rsid w:val="7B170E00"/>
    <w:rsid w:val="7B3057E8"/>
    <w:rsid w:val="7B471A04"/>
    <w:rsid w:val="7B655D19"/>
    <w:rsid w:val="7C721F5F"/>
    <w:rsid w:val="7C7D36C4"/>
    <w:rsid w:val="7D197A3B"/>
    <w:rsid w:val="7D1F7EDB"/>
    <w:rsid w:val="7D3707EB"/>
    <w:rsid w:val="7DAC4B36"/>
    <w:rsid w:val="7E431677"/>
    <w:rsid w:val="7E5572E2"/>
    <w:rsid w:val="7E9A3A0C"/>
    <w:rsid w:val="7ED67996"/>
    <w:rsid w:val="7F116F65"/>
    <w:rsid w:val="7F516160"/>
    <w:rsid w:val="7FD45F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Indent"/>
    <w:basedOn w:val="1"/>
    <w:unhideWhenUsed/>
    <w:qFormat/>
    <w:uiPriority w:val="0"/>
    <w:pPr>
      <w:ind w:firstLine="630"/>
    </w:pPr>
    <w:rPr>
      <w:kern w:val="0"/>
      <w:sz w:val="24"/>
    </w:rPr>
  </w:style>
  <w:style w:type="paragraph" w:styleId="7">
    <w:name w:val="Body Text Indent 2"/>
    <w:basedOn w:val="1"/>
    <w:unhideWhenUsed/>
    <w:qFormat/>
    <w:uiPriority w:val="0"/>
    <w:pPr>
      <w:ind w:firstLine="600"/>
    </w:pPr>
    <w:rPr>
      <w:kern w:val="0"/>
      <w:sz w:val="24"/>
    </w:rPr>
  </w:style>
  <w:style w:type="paragraph" w:styleId="8">
    <w:name w:val="Balloon Text"/>
    <w:basedOn w:val="1"/>
    <w:semiHidden/>
    <w:qFormat/>
    <w:uiPriority w:val="0"/>
    <w:rPr>
      <w:sz w:val="18"/>
      <w:szCs w:val="18"/>
    </w:rPr>
  </w:style>
  <w:style w:type="paragraph" w:styleId="9">
    <w:name w:val="footer"/>
    <w:basedOn w:val="1"/>
    <w:unhideWhenUsed/>
    <w:qFormat/>
    <w:uiPriority w:val="0"/>
    <w:pPr>
      <w:tabs>
        <w:tab w:val="center" w:pos="4153"/>
        <w:tab w:val="right" w:pos="8306"/>
      </w:tabs>
      <w:snapToGrid w:val="0"/>
      <w:jc w:val="left"/>
    </w:pPr>
    <w:rPr>
      <w:sz w:val="18"/>
      <w:szCs w:val="20"/>
    </w:rPr>
  </w:style>
  <w:style w:type="paragraph" w:styleId="10">
    <w:name w:val="header"/>
    <w:basedOn w:val="1"/>
    <w:unhideWhenUsed/>
    <w:qFormat/>
    <w:uiPriority w:val="0"/>
    <w:pPr>
      <w:pBdr>
        <w:bottom w:val="single" w:color="auto" w:sz="6" w:space="1"/>
      </w:pBdr>
      <w:tabs>
        <w:tab w:val="center" w:pos="4153"/>
        <w:tab w:val="right" w:pos="8306"/>
      </w:tabs>
      <w:snapToGrid w:val="0"/>
      <w:jc w:val="center"/>
    </w:pPr>
    <w:rPr>
      <w:sz w:val="18"/>
      <w:szCs w:val="20"/>
    </w:rPr>
  </w:style>
  <w:style w:type="table" w:styleId="12">
    <w:name w:val="Table Grid"/>
    <w:basedOn w:val="11"/>
    <w:unhideWhenUsed/>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qFormat/>
    <w:uiPriority w:val="0"/>
  </w:style>
  <w:style w:type="character" w:styleId="15">
    <w:name w:val="Emphasis"/>
    <w:qFormat/>
    <w:uiPriority w:val="0"/>
  </w:style>
  <w:style w:type="character" w:styleId="16">
    <w:name w:val="HTML Definition"/>
    <w:qFormat/>
    <w:uiPriority w:val="0"/>
  </w:style>
  <w:style w:type="character" w:styleId="17">
    <w:name w:val="HTML Acronym"/>
    <w:basedOn w:val="13"/>
    <w:qFormat/>
    <w:uiPriority w:val="0"/>
  </w:style>
  <w:style w:type="character" w:styleId="18">
    <w:name w:val="HTML Variable"/>
    <w:qFormat/>
    <w:uiPriority w:val="0"/>
  </w:style>
  <w:style w:type="character" w:styleId="19">
    <w:name w:val="HTML Code"/>
    <w:qFormat/>
    <w:uiPriority w:val="0"/>
    <w:rPr>
      <w:rFonts w:ascii="Courier New" w:hAnsi="Courier New"/>
      <w:sz w:val="20"/>
      <w:shd w:val="clear" w:color="auto" w:fill="FFFFFF"/>
    </w:rPr>
  </w:style>
  <w:style w:type="character" w:styleId="20">
    <w:name w:val="HTML Cite"/>
    <w:qFormat/>
    <w:uiPriority w:val="0"/>
  </w:style>
  <w:style w:type="character" w:customStyle="1" w:styleId="21">
    <w:name w:val="leftmenu-morenav"/>
    <w:basedOn w:val="13"/>
    <w:qFormat/>
    <w:uiPriority w:val="0"/>
  </w:style>
  <w:style w:type="character" w:customStyle="1" w:styleId="22">
    <w:name w:val="disabled"/>
    <w:qFormat/>
    <w:uiPriority w:val="0"/>
    <w:rPr>
      <w:color w:val="CCCCCC"/>
      <w:bdr w:val="single" w:color="CCCCCC" w:sz="6" w:space="0"/>
    </w:rPr>
  </w:style>
  <w:style w:type="character" w:customStyle="1" w:styleId="23">
    <w:name w:val="font11"/>
    <w:qFormat/>
    <w:uiPriority w:val="0"/>
    <w:rPr>
      <w:rFonts w:hint="default" w:ascii="微软简仿宋" w:hAnsi="微软简仿宋" w:eastAsia="微软简仿宋" w:cs="微软简仿宋"/>
      <w:color w:val="000000"/>
      <w:sz w:val="24"/>
      <w:szCs w:val="24"/>
      <w:u w:val="none"/>
    </w:rPr>
  </w:style>
  <w:style w:type="character" w:customStyle="1" w:styleId="24">
    <w:name w:val="current"/>
    <w:qFormat/>
    <w:uiPriority w:val="0"/>
    <w:rPr>
      <w:color w:val="FFFFFF"/>
      <w:bdr w:val="single" w:color="8DB5D7" w:sz="6" w:space="0"/>
      <w:shd w:val="clear" w:color="auto" w:fill="0080FF"/>
    </w:rPr>
  </w:style>
  <w:style w:type="character" w:customStyle="1" w:styleId="25">
    <w:name w:val="font51"/>
    <w:qFormat/>
    <w:uiPriority w:val="0"/>
    <w:rPr>
      <w:rFonts w:hint="default" w:ascii="Times New Roman" w:hAnsi="Times New Roman" w:cs="Times New Roman"/>
      <w:color w:val="000000"/>
      <w:sz w:val="24"/>
      <w:szCs w:val="24"/>
      <w:u w:val="none"/>
    </w:rPr>
  </w:style>
  <w:style w:type="character" w:customStyle="1" w:styleId="26">
    <w:name w:val="font81"/>
    <w:qFormat/>
    <w:uiPriority w:val="0"/>
    <w:rPr>
      <w:rFonts w:hint="default" w:ascii="微软简仿宋" w:hAnsi="微软简仿宋" w:eastAsia="微软简仿宋" w:cs="微软简仿宋"/>
      <w:color w:val="000000"/>
      <w:sz w:val="24"/>
      <w:szCs w:val="24"/>
      <w:u w:val="none"/>
    </w:rPr>
  </w:style>
  <w:style w:type="character" w:customStyle="1" w:styleId="27">
    <w:name w:val="font01"/>
    <w:qFormat/>
    <w:uiPriority w:val="0"/>
    <w:rPr>
      <w:rFonts w:hint="default" w:ascii="Times New Roman" w:hAnsi="Times New Roman" w:cs="Times New Roman"/>
      <w:color w:val="000000"/>
      <w:sz w:val="24"/>
      <w:szCs w:val="24"/>
      <w:u w:val="none"/>
    </w:rPr>
  </w:style>
  <w:style w:type="paragraph" w:customStyle="1" w:styleId="28">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u w:color="000000"/>
      <w:lang w:val="en-US" w:eastAsia="zh-CN" w:bidi="ar-SA"/>
    </w:rPr>
  </w:style>
  <w:style w:type="paragraph" w:customStyle="1" w:styleId="2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0">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paragraph" w:customStyle="1" w:styleId="31">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20</Pages>
  <Words>20539</Words>
  <Characters>21159</Characters>
  <Lines>138</Lines>
  <Paragraphs>38</Paragraphs>
  <TotalTime>1</TotalTime>
  <ScaleCrop>false</ScaleCrop>
  <LinksUpToDate>false</LinksUpToDate>
  <CharactersWithSpaces>21474</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2022-12-28T12:34:00Z</dcterms:created>
  <dc:creator>ylh</dc:creator>
  <cp:keywords>新版;22-12-28</cp:keywords>
  <cp:lastModifiedBy>张玲榕</cp:lastModifiedBy>
  <dcterms:modified xsi:type="dcterms:W3CDTF">2025-07-08T01:40:23Z</dcterms:modified>
  <dc:title>华夏理财固定收益增强最短持有</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96894235749C449498DC3BCCFB7A4A36</vt:lpwstr>
  </property>
</Properties>
</file>