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托管团队2025年7月工作概述</w:t>
      </w:r>
    </w:p>
    <w:p>
      <w:pPr>
        <w:numPr>
          <w:ilvl w:val="0"/>
          <w:numId w:val="1"/>
        </w:numPr>
        <w:jc w:val="left"/>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上半年工作概述</w:t>
      </w:r>
    </w:p>
    <w:p>
      <w:pPr>
        <w:numPr>
          <w:ilvl w:val="0"/>
          <w:numId w:val="0"/>
        </w:numPr>
        <w:ind w:firstLine="600" w:firstLineChars="200"/>
        <w:jc w:val="left"/>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截至6月末，托管规模预计达到1573.99亿元，托管规模余额今年增量268亿元，完成序时计划的178%。</w:t>
      </w:r>
      <w:r>
        <w:rPr>
          <w:rFonts w:hint="eastAsia" w:ascii="仿宋" w:hAnsi="仿宋" w:eastAsia="仿宋" w:cs="仿宋"/>
          <w:sz w:val="30"/>
          <w:szCs w:val="30"/>
          <w:highlight w:val="none"/>
        </w:rPr>
        <w:t>托管手续费收入</w:t>
      </w:r>
      <w:r>
        <w:rPr>
          <w:rFonts w:hint="eastAsia" w:ascii="仿宋" w:hAnsi="仿宋" w:eastAsia="仿宋" w:cs="仿宋"/>
          <w:sz w:val="30"/>
          <w:szCs w:val="30"/>
          <w:highlight w:val="none"/>
          <w:lang w:val="en-US" w:eastAsia="zh-CN"/>
        </w:rPr>
        <w:t>预计</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2106.06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val="en-US" w:eastAsia="zh-CN"/>
        </w:rPr>
        <w:t>，序时计划完成率104.6%，托管营业收入3630.66万元，序时计划完成率120.4%。</w:t>
      </w:r>
    </w:p>
    <w:p>
      <w:pPr>
        <w:numPr>
          <w:ilvl w:val="0"/>
          <w:numId w:val="0"/>
        </w:numPr>
        <w:ind w:firstLine="600" w:firstLineChars="200"/>
        <w:jc w:val="left"/>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前七个月新增托/监管产品共计48支，合计规模为367.35亿元。接受总行委托运营托管产品194支。</w:t>
      </w:r>
    </w:p>
    <w:p>
      <w:pPr>
        <w:numPr>
          <w:ilvl w:val="0"/>
          <w:numId w:val="0"/>
        </w:numPr>
        <w:jc w:val="left"/>
        <w:rPr>
          <w:rFonts w:hint="default" w:ascii="仿宋" w:hAnsi="仿宋" w:eastAsia="仿宋" w:cs="仿宋"/>
          <w:color w:val="auto"/>
          <w:sz w:val="30"/>
          <w:szCs w:val="30"/>
          <w:highlight w:val="none"/>
          <w:lang w:val="en-US" w:eastAsia="zh-CN"/>
        </w:rPr>
      </w:pPr>
      <w:r>
        <w:rPr>
          <w:rFonts w:hint="eastAsia" w:ascii="仿宋" w:hAnsi="仿宋" w:eastAsia="仿宋" w:cs="仿宋"/>
          <w:sz w:val="30"/>
          <w:szCs w:val="30"/>
          <w:highlight w:val="none"/>
          <w:lang w:val="en-US" w:eastAsia="zh-CN"/>
        </w:rPr>
        <w:t>二、</w:t>
      </w:r>
      <w:r>
        <w:rPr>
          <w:rFonts w:hint="eastAsia" w:ascii="仿宋" w:hAnsi="仿宋" w:eastAsia="仿宋" w:cs="仿宋"/>
          <w:color w:val="auto"/>
          <w:sz w:val="30"/>
          <w:szCs w:val="30"/>
          <w:highlight w:val="none"/>
          <w:lang w:val="en-US" w:eastAsia="zh-CN"/>
        </w:rPr>
        <w:t>上半年举措及成效</w:t>
      </w:r>
    </w:p>
    <w:p>
      <w:pPr>
        <w:keepNext w:val="0"/>
        <w:keepLines w:val="0"/>
        <w:pageBreakBefore w:val="0"/>
        <w:kinsoku/>
        <w:wordWrap/>
        <w:overflowPunct/>
        <w:topLinePunct w:val="0"/>
        <w:autoSpaceDE/>
        <w:autoSpaceDN/>
        <w:bidi w:val="0"/>
        <w:spacing w:line="560" w:lineRule="atLeast"/>
        <w:ind w:firstLine="600" w:firstLineChars="200"/>
        <w:rPr>
          <w:rFonts w:hint="default" w:ascii="楷体" w:hAnsi="楷体" w:eastAsia="楷体" w:cs="楷体"/>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（一）理财子推荐资产模式喜结硕果</w:t>
      </w:r>
    </w:p>
    <w:p>
      <w:pPr>
        <w:keepNext w:val="0"/>
        <w:keepLines w:val="0"/>
        <w:pageBreakBefore w:val="0"/>
        <w:kinsoku/>
        <w:wordWrap/>
        <w:overflowPunct/>
        <w:topLinePunct w:val="0"/>
        <w:autoSpaceDE/>
        <w:autoSpaceDN/>
        <w:bidi w:val="0"/>
        <w:spacing w:line="560" w:lineRule="atLeast"/>
        <w:ind w:firstLine="600" w:firstLineChars="200"/>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部门紧抓华夏理财子的业务阶段性需求，对接多家本地存款银行，为理财子提供了高收益资产撮合服务，实现分行与理财子的双赢，在托管运营商创新和优化了托管户存出的全新的运营流程，在保障运营效率的同</w:t>
      </w:r>
      <w:bookmarkStart w:id="0" w:name="_GoBack"/>
      <w:bookmarkEnd w:id="0"/>
      <w:r>
        <w:rPr>
          <w:rFonts w:hint="eastAsia" w:ascii="仿宋" w:hAnsi="仿宋" w:eastAsia="仿宋" w:cs="仿宋"/>
          <w:color w:val="auto"/>
          <w:sz w:val="30"/>
          <w:szCs w:val="30"/>
          <w:highlight w:val="none"/>
          <w:lang w:val="en-US" w:eastAsia="zh-CN"/>
        </w:rPr>
        <w:t>时也确保了托管资金的安全性。最终落地建元信托瑞盈6号、8号、9号共计139.59亿元托管规模。</w:t>
      </w:r>
    </w:p>
    <w:p>
      <w:pPr>
        <w:keepNext w:val="0"/>
        <w:keepLines w:val="0"/>
        <w:pageBreakBefore w:val="0"/>
        <w:numPr>
          <w:ilvl w:val="0"/>
          <w:numId w:val="2"/>
        </w:numPr>
        <w:kinsoku/>
        <w:wordWrap/>
        <w:overflowPunct/>
        <w:topLinePunct w:val="0"/>
        <w:autoSpaceDE/>
        <w:autoSpaceDN/>
        <w:bidi w:val="0"/>
        <w:spacing w:line="560" w:lineRule="atLeast"/>
        <w:ind w:firstLine="600" w:firstLineChars="20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充分利用托管运营分中心优势，承接多笔证券投资类托管产品。</w:t>
      </w:r>
    </w:p>
    <w:p>
      <w:pPr>
        <w:keepNext w:val="0"/>
        <w:keepLines w:val="0"/>
        <w:pageBreakBefore w:val="0"/>
        <w:kinsoku/>
        <w:wordWrap/>
        <w:overflowPunct/>
        <w:topLinePunct w:val="0"/>
        <w:autoSpaceDE/>
        <w:autoSpaceDN/>
        <w:bidi w:val="0"/>
        <w:spacing w:line="560" w:lineRule="atLeast"/>
        <w:ind w:firstLine="600" w:firstLineChars="200"/>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随着上海托管运营分部运营专业能力以及运营经验的进一步提升，今年以来为托管业务的拓展带来了新的方向，上半年共落地证券投资类产品7支，其中t0产品5支，合计规模200.52亿元。同时已经开始与多家分行对接证券投资类托管业务运营承接的分成模式。</w:t>
      </w:r>
    </w:p>
    <w:p>
      <w:pPr>
        <w:keepNext w:val="0"/>
        <w:keepLines w:val="0"/>
        <w:pageBreakBefore w:val="0"/>
        <w:numPr>
          <w:ilvl w:val="0"/>
          <w:numId w:val="2"/>
        </w:numPr>
        <w:kinsoku/>
        <w:wordWrap/>
        <w:overflowPunct/>
        <w:topLinePunct w:val="0"/>
        <w:autoSpaceDE/>
        <w:autoSpaceDN/>
        <w:bidi w:val="0"/>
        <w:spacing w:line="560" w:lineRule="atLeast"/>
        <w:ind w:left="0" w:leftChars="0" w:firstLine="600" w:firstLineChars="20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与英大、建元、山证等我行重点合作机构拓展长期纯托管业务的合作</w:t>
      </w:r>
    </w:p>
    <w:p>
      <w:pPr>
        <w:keepNext w:val="0"/>
        <w:keepLines w:val="0"/>
        <w:pageBreakBefore w:val="0"/>
        <w:numPr>
          <w:ilvl w:val="0"/>
          <w:numId w:val="0"/>
        </w:numPr>
        <w:kinsoku/>
        <w:wordWrap/>
        <w:overflowPunct/>
        <w:topLinePunct w:val="0"/>
        <w:autoSpaceDE/>
        <w:autoSpaceDN/>
        <w:bidi w:val="0"/>
        <w:spacing w:line="560" w:lineRule="atLeast"/>
        <w:ind w:firstLine="600" w:firstLineChars="200"/>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部门与英大信托开展纯托管业务的营销推进及对接，并逐渐有项目落地，前七个月合计落地产品9支，规模3.1亿元。与建元信托实现多维度合作，除成功为理财子提供高收益资产撮合服务外，又落地机构认购存量公募基金托管业务，二季度实现3个亿的存量公募基金持营托管规模。此外与山证资管也建立了业务对接，已成功落地1支。</w:t>
      </w:r>
    </w:p>
    <w:p>
      <w:pPr>
        <w:keepNext w:val="0"/>
        <w:keepLines w:val="0"/>
        <w:pageBreakBefore w:val="0"/>
        <w:kinsoku/>
        <w:wordWrap/>
        <w:overflowPunct/>
        <w:topLinePunct w:val="0"/>
        <w:autoSpaceDE/>
        <w:autoSpaceDN/>
        <w:bidi w:val="0"/>
        <w:spacing w:line="560" w:lineRule="atLeast"/>
        <w:ind w:firstLine="600" w:firstLineChars="20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（四）拓展信托代销加托管的业务联动</w:t>
      </w:r>
    </w:p>
    <w:p>
      <w:pPr>
        <w:keepNext w:val="0"/>
        <w:keepLines w:val="0"/>
        <w:pageBreakBefore w:val="0"/>
        <w:kinsoku/>
        <w:wordWrap/>
        <w:overflowPunct/>
        <w:topLinePunct w:val="0"/>
        <w:autoSpaceDE/>
        <w:autoSpaceDN/>
        <w:bidi w:val="0"/>
        <w:spacing w:line="560" w:lineRule="atLeast"/>
        <w:ind w:firstLine="600" w:firstLineChars="20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分行持续推进跨部门跨条线业务联动，托管部与财私部业务联动效果显著，两部门针对同业客户进行联合营销，今年前七个月共落地“信托代销+托管”模式的托管业务3笔；新增规模14.06元。并储备多笔证券投资类的联动业务。</w:t>
      </w:r>
    </w:p>
    <w:p>
      <w:pPr>
        <w:keepNext w:val="0"/>
        <w:keepLines w:val="0"/>
        <w:pageBreakBefore w:val="0"/>
        <w:kinsoku/>
        <w:wordWrap/>
        <w:overflowPunct/>
        <w:topLinePunct w:val="0"/>
        <w:autoSpaceDE/>
        <w:autoSpaceDN/>
        <w:bidi w:val="0"/>
        <w:spacing w:line="560" w:lineRule="atLeast"/>
        <w:ind w:firstLine="600" w:firstLineChars="200"/>
        <w:rPr>
          <w:rFonts w:hint="eastAsia" w:ascii="楷体" w:hAnsi="楷体" w:eastAsia="楷体" w:cs="楷体"/>
          <w:color w:val="auto"/>
          <w:sz w:val="30"/>
          <w:szCs w:val="30"/>
          <w:highlight w:val="none"/>
          <w:lang w:val="en-US" w:eastAsia="zh-CN"/>
        </w:rPr>
      </w:pPr>
      <w:r>
        <w:rPr>
          <w:rFonts w:hint="eastAsia" w:ascii="仿宋" w:hAnsi="仿宋" w:eastAsia="仿宋" w:cs="仿宋"/>
          <w:color w:val="auto"/>
          <w:sz w:val="30"/>
          <w:szCs w:val="30"/>
          <w:highlight w:val="none"/>
          <w:lang w:val="en-US" w:eastAsia="zh-CN"/>
        </w:rPr>
        <w:t>（五）落地首笔产业基金托管业务</w:t>
      </w:r>
    </w:p>
    <w:p>
      <w:pPr>
        <w:keepNext w:val="0"/>
        <w:keepLines w:val="0"/>
        <w:pageBreakBefore w:val="0"/>
        <w:kinsoku/>
        <w:wordWrap/>
        <w:overflowPunct/>
        <w:topLinePunct w:val="0"/>
        <w:autoSpaceDE/>
        <w:autoSpaceDN/>
        <w:bidi w:val="0"/>
        <w:spacing w:line="560" w:lineRule="atLeast"/>
        <w:ind w:firstLine="600" w:firstLineChars="200"/>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分行加大力度推动产业基金、政府引导基金、国资背景私募基金的营销力度，举办行内业务培训，团队与经营单位走访多家本地国资投资平台、私募基金管理人，并根据基金的实际情况开展撮合。7月末，已落地首笔产业基金托监管规模20亿，留存对公存款余额达到近9.85亿。</w:t>
      </w:r>
    </w:p>
    <w:p>
      <w:pPr>
        <w:numPr>
          <w:ilvl w:val="0"/>
          <w:numId w:val="0"/>
        </w:numPr>
        <w:ind w:left="0" w:leftChars="0" w:firstLine="786" w:firstLineChars="262"/>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（六）分行承接总行指定托管产品平稳运营</w:t>
      </w:r>
    </w:p>
    <w:p>
      <w:pPr>
        <w:keepNext w:val="0"/>
        <w:keepLines w:val="0"/>
        <w:pageBreakBefore w:val="0"/>
        <w:widowControl w:val="0"/>
        <w:kinsoku/>
        <w:wordWrap/>
        <w:overflowPunct/>
        <w:topLinePunct w:val="0"/>
        <w:autoSpaceDE/>
        <w:autoSpaceDN/>
        <w:bidi w:val="0"/>
        <w:adjustRightInd/>
        <w:snapToGrid/>
        <w:spacing w:line="560" w:lineRule="atLeast"/>
        <w:ind w:left="319" w:leftChars="152" w:firstLine="300" w:firstLineChars="100"/>
        <w:textAlignment w:val="auto"/>
        <w:rPr>
          <w:rFonts w:hint="default" w:ascii="仿宋" w:hAnsi="仿宋" w:eastAsia="仿宋" w:cs="仿宋"/>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w:t>
      </w:r>
      <w:r>
        <w:rPr>
          <w:rFonts w:hint="eastAsia" w:ascii="仿宋" w:hAnsi="仿宋" w:eastAsia="仿宋" w:cs="仿宋"/>
          <w:sz w:val="30"/>
          <w:szCs w:val="30"/>
          <w:highlight w:val="none"/>
          <w:lang w:val="en-US" w:eastAsia="zh-CN"/>
        </w:rPr>
        <w:t>分部承接总行产品194只，总规模达到628.64亿。负责日常的清算、核算、投资监督、信息披露等托管运营工作。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textAlignment w:val="auto"/>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三、下个月工作计划</w:t>
      </w:r>
    </w:p>
    <w:p>
      <w:pPr>
        <w:numPr>
          <w:ilvl w:val="0"/>
          <w:numId w:val="3"/>
        </w:numPr>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加大走访经营单位频率，</w:t>
      </w:r>
      <w:r>
        <w:rPr>
          <w:rFonts w:hint="eastAsia" w:ascii="仿宋" w:hAnsi="仿宋" w:eastAsia="仿宋" w:cs="仿宋"/>
          <w:sz w:val="30"/>
          <w:szCs w:val="30"/>
          <w:highlight w:val="none"/>
          <w:lang w:eastAsia="zh-CN"/>
        </w:rPr>
        <w:t>分行执行托管规模双周报，定时</w:t>
      </w:r>
      <w:r>
        <w:rPr>
          <w:rFonts w:hint="eastAsia" w:ascii="仿宋" w:hAnsi="仿宋" w:eastAsia="仿宋" w:cs="仿宋"/>
          <w:sz w:val="30"/>
          <w:szCs w:val="30"/>
          <w:highlight w:val="none"/>
        </w:rPr>
        <w:t>跟进发布托管规模指标完成情况。重点对未破零的经营单位进行业务督导</w:t>
      </w:r>
      <w:r>
        <w:rPr>
          <w:rFonts w:hint="eastAsia" w:ascii="仿宋" w:hAnsi="仿宋" w:eastAsia="仿宋" w:cs="仿宋"/>
          <w:sz w:val="30"/>
          <w:szCs w:val="30"/>
          <w:highlight w:val="none"/>
          <w:lang w:eastAsia="zh-CN"/>
        </w:rPr>
        <w:t>，督促储备项目，专人跟进。</w:t>
      </w:r>
    </w:p>
    <w:p>
      <w:pPr>
        <w:numPr>
          <w:ilvl w:val="0"/>
          <w:numId w:val="3"/>
        </w:numPr>
        <w:ind w:firstLine="600" w:firstLineChars="200"/>
        <w:rPr>
          <w:rFonts w:ascii="仿宋" w:hAnsi="仿宋" w:eastAsia="仿宋" w:cs="仿宋"/>
          <w:sz w:val="30"/>
          <w:szCs w:val="30"/>
          <w:highlight w:val="none"/>
        </w:rPr>
      </w:pPr>
      <w:r>
        <w:rPr>
          <w:rFonts w:hint="eastAsia" w:ascii="仿宋" w:hAnsi="仿宋" w:eastAsia="仿宋" w:cs="仿宋"/>
          <w:sz w:val="30"/>
          <w:szCs w:val="30"/>
          <w:highlight w:val="none"/>
          <w:lang w:val="en-US" w:eastAsia="zh-CN"/>
        </w:rPr>
        <w:t>推进中信建投、西藏信托、鹏扬基金、财达证券、山证资管等多笔储备项目尽快完成落地。</w:t>
      </w:r>
    </w:p>
    <w:p>
      <w:pPr>
        <w:numPr>
          <w:ilvl w:val="0"/>
          <w:numId w:val="3"/>
        </w:numPr>
        <w:ind w:firstLine="600" w:firstLineChars="200"/>
        <w:rPr>
          <w:rFonts w:ascii="仿宋" w:hAnsi="仿宋" w:eastAsia="仿宋" w:cs="仿宋"/>
          <w:sz w:val="30"/>
          <w:szCs w:val="30"/>
          <w:highlight w:val="none"/>
        </w:rPr>
      </w:pPr>
      <w:r>
        <w:rPr>
          <w:rFonts w:hint="eastAsia" w:ascii="仿宋" w:hAnsi="仿宋" w:eastAsia="仿宋" w:cs="仿宋"/>
          <w:sz w:val="30"/>
          <w:szCs w:val="30"/>
          <w:highlight w:val="none"/>
        </w:rPr>
        <w:t>继续提升与财私、投行、金市的业务联动，做到应托尽托，充分挖掘客户需求</w:t>
      </w:r>
      <w:r>
        <w:rPr>
          <w:rFonts w:hint="eastAsia" w:ascii="仿宋" w:hAnsi="仿宋" w:eastAsia="仿宋" w:cs="仿宋"/>
          <w:sz w:val="30"/>
          <w:szCs w:val="30"/>
          <w:highlight w:val="none"/>
          <w:lang w:eastAsia="zh-CN"/>
        </w:rPr>
        <w:t>。在我行代销、投资业务带动托管的基础上，进一步派生纯托管。</w:t>
      </w:r>
    </w:p>
    <w:p>
      <w:pPr>
        <w:numPr>
          <w:ilvl w:val="0"/>
          <w:numId w:val="3"/>
        </w:numPr>
        <w:ind w:firstLine="600" w:firstLineChars="200"/>
        <w:rPr>
          <w:rFonts w:ascii="仿宋" w:hAnsi="仿宋" w:eastAsia="仿宋" w:cs="仿宋"/>
          <w:sz w:val="30"/>
          <w:szCs w:val="30"/>
          <w:highlight w:val="none"/>
        </w:rPr>
      </w:pPr>
      <w:r>
        <w:rPr>
          <w:rFonts w:hint="eastAsia" w:ascii="仿宋" w:hAnsi="仿宋" w:eastAsia="仿宋" w:cs="仿宋"/>
          <w:sz w:val="30"/>
          <w:szCs w:val="30"/>
          <w:highlight w:val="none"/>
        </w:rPr>
        <w:t>继续做好产业基金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私募股权基金</w:t>
      </w:r>
      <w:r>
        <w:rPr>
          <w:rFonts w:hint="eastAsia" w:ascii="仿宋" w:hAnsi="仿宋" w:eastAsia="仿宋" w:cs="仿宋"/>
          <w:sz w:val="30"/>
          <w:szCs w:val="30"/>
          <w:highlight w:val="none"/>
        </w:rPr>
        <w:t>的营销支撑，通过</w:t>
      </w:r>
      <w:r>
        <w:rPr>
          <w:rFonts w:hint="eastAsia" w:ascii="仿宋" w:hAnsi="仿宋" w:eastAsia="仿宋" w:cs="仿宋"/>
          <w:sz w:val="30"/>
          <w:szCs w:val="30"/>
          <w:highlight w:val="none"/>
          <w:lang w:val="en-US" w:eastAsia="zh-CN"/>
        </w:rPr>
        <w:t>业务营销、</w:t>
      </w:r>
      <w:r>
        <w:rPr>
          <w:rFonts w:hint="eastAsia" w:ascii="仿宋" w:hAnsi="仿宋" w:eastAsia="仿宋" w:cs="仿宋"/>
          <w:sz w:val="30"/>
          <w:szCs w:val="30"/>
          <w:highlight w:val="none"/>
        </w:rPr>
        <w:t>业务撮合获取托管</w:t>
      </w:r>
      <w:r>
        <w:rPr>
          <w:rFonts w:hint="eastAsia" w:ascii="仿宋" w:hAnsi="仿宋" w:eastAsia="仿宋" w:cs="仿宋"/>
          <w:sz w:val="30"/>
          <w:szCs w:val="30"/>
          <w:highlight w:val="none"/>
          <w:lang w:val="en-US" w:eastAsia="zh-CN"/>
        </w:rPr>
        <w:t>落地</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为拉动分行对公存款作出贡献</w:t>
      </w:r>
      <w:r>
        <w:rPr>
          <w:rFonts w:hint="eastAsia" w:ascii="仿宋" w:hAnsi="仿宋" w:eastAsia="仿宋" w:cs="仿宋"/>
          <w:sz w:val="30"/>
          <w:szCs w:val="30"/>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60" w:lineRule="atLeast"/>
        <w:ind w:left="0" w:leftChars="0" w:firstLine="600" w:firstLineChars="200"/>
        <w:textAlignment w:val="auto"/>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以建元瑞盈为样板，继续</w:t>
      </w:r>
      <w:r>
        <w:rPr>
          <w:rFonts w:hint="eastAsia" w:ascii="仿宋" w:hAnsi="仿宋" w:eastAsia="仿宋" w:cs="仿宋"/>
          <w:sz w:val="30"/>
          <w:szCs w:val="30"/>
          <w:highlight w:val="none"/>
        </w:rPr>
        <w:t>为理财子提供</w:t>
      </w:r>
      <w:r>
        <w:rPr>
          <w:rFonts w:hint="eastAsia" w:ascii="仿宋" w:hAnsi="仿宋" w:eastAsia="仿宋" w:cs="仿宋"/>
          <w:sz w:val="30"/>
          <w:szCs w:val="30"/>
          <w:highlight w:val="none"/>
          <w:lang w:val="en-US" w:eastAsia="zh-CN"/>
        </w:rPr>
        <w:t>资产</w:t>
      </w:r>
      <w:r>
        <w:rPr>
          <w:rFonts w:hint="eastAsia" w:ascii="仿宋" w:hAnsi="仿宋" w:eastAsia="仿宋" w:cs="仿宋"/>
          <w:sz w:val="30"/>
          <w:szCs w:val="30"/>
          <w:highlight w:val="none"/>
        </w:rPr>
        <w:t>撮合服务，通过推荐优质资产</w:t>
      </w:r>
      <w:r>
        <w:rPr>
          <w:rFonts w:hint="eastAsia" w:ascii="仿宋" w:hAnsi="仿宋" w:eastAsia="仿宋" w:cs="仿宋"/>
          <w:sz w:val="30"/>
          <w:szCs w:val="30"/>
          <w:highlight w:val="none"/>
          <w:lang w:val="en-US" w:eastAsia="zh-CN"/>
        </w:rPr>
        <w:t>进一步</w:t>
      </w:r>
      <w:r>
        <w:rPr>
          <w:rFonts w:hint="eastAsia" w:ascii="仿宋" w:hAnsi="仿宋" w:eastAsia="仿宋" w:cs="仿宋"/>
          <w:sz w:val="30"/>
          <w:szCs w:val="30"/>
          <w:highlight w:val="none"/>
        </w:rPr>
        <w:t>获取托管业务机会</w:t>
      </w:r>
      <w:r>
        <w:rPr>
          <w:rFonts w:hint="eastAsia" w:ascii="仿宋" w:hAnsi="仿宋" w:eastAsia="仿宋" w:cs="仿宋"/>
          <w:sz w:val="30"/>
          <w:szCs w:val="30"/>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60" w:lineRule="atLeast"/>
        <w:ind w:left="0" w:leftChars="0" w:firstLine="600" w:firstLineChars="200"/>
        <w:textAlignment w:val="auto"/>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依据总行托管业务各类营销指引，尽快锁定目标客户，推动支行逐笔营销，尽快实现落地。</w:t>
      </w:r>
    </w:p>
    <w:p>
      <w:pPr>
        <w:keepNext w:val="0"/>
        <w:keepLines w:val="0"/>
        <w:pageBreakBefore w:val="0"/>
        <w:widowControl w:val="0"/>
        <w:kinsoku/>
        <w:wordWrap/>
        <w:overflowPunct/>
        <w:topLinePunct w:val="0"/>
        <w:autoSpaceDE/>
        <w:autoSpaceDN/>
        <w:bidi w:val="0"/>
        <w:adjustRightInd/>
        <w:snapToGrid/>
        <w:spacing w:line="560" w:lineRule="atLeast"/>
        <w:ind w:firstLine="600" w:firstLineChars="200"/>
        <w:textAlignment w:val="auto"/>
        <w:rPr>
          <w:rFonts w:hint="eastAsia" w:ascii="仿宋" w:hAnsi="仿宋" w:eastAsia="仿宋" w:cs="仿宋"/>
          <w:sz w:val="30"/>
          <w:szCs w:val="30"/>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righ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托管团队</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righ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2025年7月25日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textAlignment w:val="auto"/>
        <w:rPr>
          <w:rFonts w:hint="default" w:ascii="仿宋" w:hAnsi="仿宋" w:eastAsia="仿宋" w:cs="仿宋"/>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textAlignment w:val="auto"/>
        <w:rPr>
          <w:rFonts w:hint="default" w:ascii="仿宋" w:hAnsi="仿宋" w:eastAsia="仿宋" w:cs="仿宋"/>
          <w:sz w:val="32"/>
          <w:szCs w:val="32"/>
          <w:highlight w:val="none"/>
          <w:lang w:val="en-US" w:eastAsia="zh-CN"/>
        </w:rPr>
      </w:pPr>
    </w:p>
    <w:p>
      <w:pPr>
        <w:numPr>
          <w:ilvl w:val="0"/>
          <w:numId w:val="0"/>
        </w:numPr>
        <w:rPr>
          <w:rFonts w:hint="default" w:ascii="仿宋" w:hAnsi="仿宋" w:eastAsia="仿宋" w:cs="仿宋"/>
          <w:color w:val="auto"/>
          <w:sz w:val="32"/>
          <w:szCs w:val="32"/>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346E3B"/>
    <w:multiLevelType w:val="singleLevel"/>
    <w:tmpl w:val="E2346E3B"/>
    <w:lvl w:ilvl="0" w:tentative="0">
      <w:start w:val="1"/>
      <w:numFmt w:val="decimal"/>
      <w:suff w:val="nothing"/>
      <w:lvlText w:val="%1、"/>
      <w:lvlJc w:val="left"/>
    </w:lvl>
  </w:abstractNum>
  <w:abstractNum w:abstractNumId="1">
    <w:nsid w:val="E2C5A050"/>
    <w:multiLevelType w:val="singleLevel"/>
    <w:tmpl w:val="E2C5A050"/>
    <w:lvl w:ilvl="0" w:tentative="0">
      <w:start w:val="1"/>
      <w:numFmt w:val="chineseCounting"/>
      <w:suff w:val="nothing"/>
      <w:lvlText w:val="%1、"/>
      <w:lvlJc w:val="left"/>
      <w:rPr>
        <w:rFonts w:hint="eastAsia"/>
      </w:rPr>
    </w:lvl>
  </w:abstractNum>
  <w:abstractNum w:abstractNumId="2">
    <w:nsid w:val="F629276D"/>
    <w:multiLevelType w:val="singleLevel"/>
    <w:tmpl w:val="F629276D"/>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6707CE"/>
    <w:rsid w:val="00ED24CF"/>
    <w:rsid w:val="09E016A0"/>
    <w:rsid w:val="1036180D"/>
    <w:rsid w:val="13DA6B99"/>
    <w:rsid w:val="14ED6053"/>
    <w:rsid w:val="167D1103"/>
    <w:rsid w:val="175D648D"/>
    <w:rsid w:val="1AA64663"/>
    <w:rsid w:val="1B2304AF"/>
    <w:rsid w:val="1EA64C5A"/>
    <w:rsid w:val="209059F9"/>
    <w:rsid w:val="24C44ABD"/>
    <w:rsid w:val="2801368D"/>
    <w:rsid w:val="2AFFF5A5"/>
    <w:rsid w:val="33553177"/>
    <w:rsid w:val="35FA439C"/>
    <w:rsid w:val="36684FAB"/>
    <w:rsid w:val="3B210EED"/>
    <w:rsid w:val="40C54BE2"/>
    <w:rsid w:val="448A0C5C"/>
    <w:rsid w:val="451C459F"/>
    <w:rsid w:val="482E768F"/>
    <w:rsid w:val="4B1574A1"/>
    <w:rsid w:val="53971F1A"/>
    <w:rsid w:val="5BEE74D4"/>
    <w:rsid w:val="5C052B8C"/>
    <w:rsid w:val="616707CE"/>
    <w:rsid w:val="66A97230"/>
    <w:rsid w:val="6D970D57"/>
    <w:rsid w:val="6E7D0A43"/>
    <w:rsid w:val="79E5418F"/>
    <w:rsid w:val="7AF74EC8"/>
    <w:rsid w:val="7FDF0DB6"/>
    <w:rsid w:val="F7FE4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9</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2024-12-25T18:28:00Z</dcterms:created>
  <dc:creator>hxb</dc:creator>
  <cp:lastModifiedBy>hxb</cp:lastModifiedBy>
  <dcterms:modified xsi:type="dcterms:W3CDTF">2025-07-25T08:46:27Z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E3F931866AF44577BC0D162620C00717</vt:lpwstr>
  </property>
</Properties>
</file>