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adjustRightInd w:val="0"/>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w:t>
      </w:r>
      <w:r>
        <w:rPr>
          <w:rFonts w:hint="eastAsia" w:eastAsia="黑体"/>
          <w:bCs/>
          <w:kern w:val="2"/>
          <w:sz w:val="36"/>
          <w:szCs w:val="36"/>
          <w:lang w:val="en-US" w:eastAsia="zh-CN"/>
        </w:rPr>
        <w:t>悦慧</w:t>
      </w:r>
      <w:r>
        <w:rPr>
          <w:rFonts w:hint="eastAsia" w:eastAsia="黑体"/>
          <w:bCs/>
          <w:kern w:val="2"/>
          <w:sz w:val="36"/>
          <w:szCs w:val="36"/>
        </w:rPr>
        <w:t>最短持有</w:t>
      </w:r>
      <w:r>
        <w:rPr>
          <w:rFonts w:hint="eastAsia" w:eastAsia="黑体"/>
          <w:bCs/>
          <w:kern w:val="2"/>
          <w:sz w:val="36"/>
          <w:szCs w:val="36"/>
          <w:lang w:val="en-US" w:eastAsia="zh-CN"/>
        </w:rPr>
        <w:t>7</w:t>
      </w:r>
      <w:r>
        <w:rPr>
          <w:rFonts w:hint="eastAsia" w:eastAsia="黑体"/>
          <w:bCs/>
          <w:kern w:val="2"/>
          <w:sz w:val="36"/>
          <w:szCs w:val="36"/>
        </w:rPr>
        <w:t>天理财产品</w:t>
      </w:r>
      <w:r>
        <w:rPr>
          <w:rFonts w:hint="eastAsia" w:eastAsia="黑体"/>
          <w:bCs/>
          <w:kern w:val="2"/>
          <w:sz w:val="36"/>
          <w:szCs w:val="36"/>
          <w:lang w:val="en-US" w:eastAsia="zh-CN"/>
        </w:rPr>
        <w:t>L</w:t>
      </w:r>
      <w:r>
        <w:rPr>
          <w:rFonts w:hint="eastAsia" w:eastAsia="黑体"/>
          <w:bCs/>
          <w:kern w:val="2"/>
          <w:sz w:val="36"/>
          <w:szCs w:val="36"/>
        </w:rPr>
        <w:t>款</w:t>
      </w:r>
    </w:p>
    <w:p>
      <w:pPr>
        <w:pStyle w:val="6"/>
        <w:adjustRightInd w:val="0"/>
        <w:snapToGrid w:val="0"/>
        <w:spacing w:line="400" w:lineRule="exact"/>
        <w:ind w:firstLine="0"/>
        <w:jc w:val="center"/>
        <w:rPr>
          <w:rFonts w:hint="eastAsia"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可在规定时间内按照本产品说明书中约定的申购、赎回条款申购或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w:t>
            </w:r>
            <w:r>
              <w:rPr>
                <w:rFonts w:hint="eastAsia" w:ascii="黑体" w:hAnsi="黑体" w:eastAsia="黑体"/>
                <w:b/>
                <w:sz w:val="28"/>
                <w:szCs w:val="28"/>
                <w:u w:val="single"/>
                <w:lang w:eastAsia="zh-CN"/>
              </w:rPr>
              <w:t>（</w:t>
            </w:r>
            <w:r>
              <w:rPr>
                <w:rFonts w:hint="eastAsia" w:ascii="黑体" w:hAnsi="黑体" w:eastAsia="黑体"/>
                <w:b/>
                <w:sz w:val="28"/>
                <w:szCs w:val="28"/>
                <w:u w:val="single"/>
              </w:rPr>
              <w:t>如有</w:t>
            </w:r>
            <w:r>
              <w:rPr>
                <w:rFonts w:hint="eastAsia" w:ascii="黑体" w:hAnsi="黑体" w:eastAsia="黑体"/>
                <w:b/>
                <w:sz w:val="28"/>
                <w:szCs w:val="28"/>
                <w:u w:val="single"/>
                <w:lang w:eastAsia="zh-CN"/>
              </w:rPr>
              <w:t>）</w:t>
            </w:r>
            <w:r>
              <w:rPr>
                <w:rFonts w:hint="eastAsia" w:ascii="黑体" w:hAnsi="黑体" w:eastAsia="黑体"/>
                <w:b/>
                <w:sz w:val="28"/>
                <w:szCs w:val="28"/>
                <w:u w:val="single"/>
              </w:rPr>
              <w:t>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五、本说明书在法律许可的范围内由华夏理财方负责解释。</w:t>
            </w:r>
          </w:p>
        </w:tc>
      </w:tr>
    </w:tbl>
    <w:p>
      <w:pPr>
        <w:pStyle w:val="6"/>
        <w:adjustRightInd w:val="0"/>
        <w:snapToGrid w:val="0"/>
        <w:spacing w:line="400" w:lineRule="exact"/>
        <w:ind w:firstLine="0"/>
        <w:jc w:val="center"/>
        <w:rPr>
          <w:rFonts w:eastAsia="黑体"/>
          <w:bCs/>
          <w:kern w:val="2"/>
          <w:sz w:val="36"/>
          <w:szCs w:val="36"/>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w:t>
            </w:r>
            <w:r>
              <w:rPr>
                <w:rFonts w:hint="eastAsia" w:ascii="仿宋" w:hAnsi="仿宋" w:eastAsia="仿宋"/>
                <w:b/>
                <w:bCs/>
                <w:szCs w:val="21"/>
                <w:lang w:val="en-US" w:eastAsia="zh-CN"/>
              </w:rPr>
              <w:t>悦慧</w:t>
            </w:r>
            <w:r>
              <w:rPr>
                <w:rFonts w:hint="eastAsia" w:ascii="仿宋" w:hAnsi="仿宋" w:eastAsia="仿宋"/>
                <w:b/>
                <w:bCs/>
                <w:szCs w:val="21"/>
              </w:rPr>
              <w:t>最短持有</w:t>
            </w:r>
            <w:r>
              <w:rPr>
                <w:rFonts w:hint="eastAsia" w:ascii="仿宋" w:hAnsi="仿宋" w:eastAsia="仿宋"/>
                <w:b/>
                <w:bCs/>
                <w:szCs w:val="21"/>
                <w:lang w:val="en-US" w:eastAsia="zh-CN"/>
              </w:rPr>
              <w:t>7</w:t>
            </w:r>
            <w:r>
              <w:rPr>
                <w:rFonts w:hint="eastAsia" w:ascii="仿宋" w:hAnsi="仿宋" w:eastAsia="仿宋"/>
                <w:b/>
                <w:bCs/>
                <w:szCs w:val="21"/>
              </w:rPr>
              <w:t>天理财产品</w:t>
            </w:r>
            <w:r>
              <w:rPr>
                <w:rFonts w:hint="eastAsia" w:ascii="仿宋" w:hAnsi="仿宋" w:eastAsia="仿宋"/>
                <w:b/>
                <w:bCs/>
                <w:szCs w:val="21"/>
                <w:lang w:val="en-US" w:eastAsia="zh-CN"/>
              </w:rPr>
              <w:t>L</w:t>
            </w:r>
            <w:r>
              <w:rPr>
                <w:rFonts w:hint="eastAsia" w:ascii="仿宋" w:hAnsi="仿宋" w:eastAsia="仿宋"/>
                <w:b/>
                <w:bCs/>
                <w:szCs w:val="21"/>
              </w:rPr>
              <w:t>款</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A份额简称：“华夏理财悦慧最短持有7天L款A”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highlight w:val="none"/>
                <w:lang w:val="en-US"/>
              </w:rPr>
            </w:pPr>
            <w:r>
              <w:rPr>
                <w:rFonts w:hint="eastAsia" w:ascii="仿宋" w:hAnsi="仿宋" w:eastAsia="仿宋"/>
                <w:bCs/>
                <w:szCs w:val="21"/>
                <w:highlight w:val="none"/>
              </w:rPr>
              <w:t>24135030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A份额：</w:t>
            </w:r>
            <w:r>
              <w:rPr>
                <w:rFonts w:hint="eastAsia" w:ascii="仿宋" w:hAnsi="仿宋" w:eastAsia="仿宋"/>
                <w:bCs/>
                <w:szCs w:val="21"/>
                <w:highlight w:val="none"/>
              </w:rPr>
              <w:t>24135030</w:t>
            </w:r>
            <w:r>
              <w:rPr>
                <w:rFonts w:hint="eastAsia" w:ascii="仿宋" w:hAnsi="仿宋" w:eastAsia="仿宋"/>
                <w:bCs/>
                <w:szCs w:val="21"/>
                <w:highlight w:val="none"/>
                <w:lang w:val="en-US" w:eastAsia="zh-CN"/>
              </w:rPr>
              <w:t>A</w:t>
            </w:r>
            <w:r>
              <w:rPr>
                <w:rFonts w:hint="eastAsia" w:ascii="仿宋" w:hAnsi="仿宋" w:eastAsia="仿宋"/>
                <w:bCs/>
                <w:szCs w:val="21"/>
                <w:lang w:eastAsia="zh-CN"/>
              </w:rPr>
              <w:t>（面向微众银行</w:t>
            </w:r>
            <w:r>
              <w:rPr>
                <w:rFonts w:hint="eastAsia" w:ascii="仿宋" w:hAnsi="仿宋" w:eastAsia="仿宋"/>
                <w:bCs/>
                <w:szCs w:val="21"/>
                <w:lang w:val="en-US" w:eastAsia="zh-CN"/>
              </w:rPr>
              <w:t>渠道</w:t>
            </w:r>
            <w:r>
              <w:rPr>
                <w:rFonts w:hint="eastAsia" w:ascii="仿宋" w:hAnsi="仿宋" w:eastAsia="仿宋"/>
                <w:bCs/>
                <w:szCs w:val="21"/>
                <w:lang w:eastAsia="zh-CN"/>
              </w:rPr>
              <w:t>销售）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highlight w:val="none"/>
                <w:lang w:val="en-US"/>
              </w:rPr>
            </w:pPr>
            <w:r>
              <w:rPr>
                <w:rFonts w:hint="eastAsia" w:ascii="仿宋" w:hAnsi="仿宋" w:eastAsia="仿宋"/>
                <w:bCs/>
                <w:szCs w:val="21"/>
                <w:highlight w:val="none"/>
              </w:rPr>
              <w:t>Z7003925000376</w:t>
            </w:r>
          </w:p>
          <w:p>
            <w:pPr>
              <w:adjustRightInd w:val="0"/>
              <w:snapToGrid w:val="0"/>
              <w:spacing w:line="240" w:lineRule="atLeast"/>
              <w:jc w:val="center"/>
              <w:rPr>
                <w:rFonts w:ascii="仿宋" w:hAnsi="仿宋" w:eastAsia="仿宋"/>
                <w:bCs/>
                <w:szCs w:val="21"/>
                <w:highlight w:val="none"/>
              </w:rPr>
            </w:pPr>
            <w:r>
              <w:rPr>
                <w:rFonts w:hint="eastAsia" w:ascii="仿宋" w:hAnsi="仿宋" w:eastAsia="仿宋"/>
                <w:bCs/>
                <w:szCs w:val="21"/>
                <w:highlight w:val="none"/>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w:t>
            </w:r>
            <w:r>
              <w:rPr>
                <w:rFonts w:ascii="仿宋" w:hAnsi="仿宋" w:eastAsia="仿宋"/>
                <w:bCs/>
                <w:szCs w:val="21"/>
              </w:rPr>
              <w:t>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rPr>
              <w:t xml:space="preserve"> </w:t>
            </w:r>
            <w:r>
              <w:rPr>
                <w:rFonts w:hint="eastAsia" w:ascii="仿宋" w:hAnsi="仿宋" w:eastAsia="仿宋"/>
                <w:bCs/>
                <w:szCs w:val="21"/>
                <w:u w:val="single"/>
              </w:rPr>
              <w:t>PR2级（中低风险）</w:t>
            </w:r>
            <w:r>
              <w:rPr>
                <w:rFonts w:ascii="仿宋" w:hAnsi="仿宋" w:eastAsia="仿宋"/>
                <w:bCs/>
                <w:szCs w:val="21"/>
              </w:rPr>
              <w:t xml:space="preserve"> 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ascii="仿宋" w:hAnsi="仿宋" w:eastAsia="仿宋"/>
                <w:bCs/>
                <w:szCs w:val="21"/>
                <w:u w:val="single"/>
              </w:rPr>
              <w:t xml:space="preserve"> </w:t>
            </w:r>
            <w:r>
              <w:rPr>
                <w:rFonts w:hint="eastAsia" w:ascii="仿宋" w:hAnsi="仿宋" w:eastAsia="仿宋"/>
                <w:bCs/>
                <w:color w:val="000000"/>
                <w:szCs w:val="21"/>
                <w:u w:val="single"/>
              </w:rPr>
              <w:t>CR2（稳健型）、CR3（平衡型）、CR4（进取型）、CR5（激进型）</w:t>
            </w:r>
            <w:r>
              <w:rPr>
                <w:rFonts w:hint="eastAsia" w:ascii="仿宋" w:hAnsi="仿宋" w:eastAsia="仿宋"/>
                <w:bCs/>
                <w:color w:val="000000"/>
                <w:szCs w:val="21"/>
                <w:lang w:eastAsia="zh-CN"/>
              </w:rPr>
              <w:t>】</w:t>
            </w:r>
            <w:r>
              <w:rPr>
                <w:rFonts w:ascii="仿宋" w:hAnsi="仿宋" w:eastAsia="仿宋"/>
                <w:bCs/>
                <w:szCs w:val="21"/>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hint="eastAsia" w:ascii="仿宋" w:hAnsi="仿宋" w:eastAsia="仿宋"/>
                <w:b/>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 w:val="0"/>
                <w:bCs w:val="0"/>
                <w:color w:val="00000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p>
            <w:pPr>
              <w:adjustRightInd w:val="0"/>
              <w:snapToGrid w:val="0"/>
              <w:spacing w:line="240" w:lineRule="atLeast"/>
              <w:jc w:val="center"/>
              <w:rPr>
                <w:rFonts w:ascii="仿宋" w:hAnsi="仿宋" w:eastAsia="仿宋"/>
                <w:bCs/>
                <w:szCs w:val="21"/>
              </w:rPr>
            </w:pP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ascii="仿宋" w:hAnsi="仿宋" w:eastAsia="仿宋" w:cs="Cambria"/>
                <w:bCs/>
                <w:szCs w:val="21"/>
              </w:rPr>
              <w:t>A</w:t>
            </w:r>
            <w:r>
              <w:rPr>
                <w:rFonts w:hint="eastAsia" w:ascii="仿宋" w:hAnsi="仿宋" w:eastAsia="仿宋" w:cs="Cambria"/>
                <w:bCs/>
                <w:szCs w:val="21"/>
              </w:rPr>
              <w:t>份额：</w:t>
            </w:r>
            <w:r>
              <w:rPr>
                <w:rFonts w:hint="eastAsia" w:ascii="仿宋" w:hAnsi="仿宋" w:eastAsia="仿宋" w:cs="Cambria"/>
                <w:bCs/>
                <w:kern w:val="0"/>
                <w:szCs w:val="21"/>
              </w:rPr>
              <w:t>业绩比较基准为</w:t>
            </w:r>
            <w:r>
              <w:rPr>
                <w:rFonts w:hint="eastAsia" w:ascii="仿宋" w:hAnsi="仿宋" w:eastAsia="仿宋" w:cs="Cambria"/>
                <w:bCs/>
                <w:kern w:val="0"/>
                <w:szCs w:val="21"/>
                <w:lang w:val="en-US" w:eastAsia="zh-CN"/>
              </w:rPr>
              <w:t>1.20%-2.20%</w:t>
            </w:r>
            <w:r>
              <w:rPr>
                <w:rFonts w:hint="eastAsia" w:ascii="仿宋" w:hAnsi="仿宋" w:eastAsia="仿宋" w:cs="Cambria"/>
                <w:bCs/>
                <w:kern w:val="0"/>
                <w:szCs w:val="21"/>
              </w:rPr>
              <w:t>（年化）。以产品投资于债券类资产仓位80%-100%，权益类资产（仅限优先股）仓位0-20%，组合杠杆率110%-140%为例，参考符合久期要求的目标债券到期收益率、优先股资产收益率，结合低波动类资产组合配置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14</w:t>
            </w:r>
            <w:r>
              <w:rPr>
                <w:rFonts w:hint="eastAsia" w:ascii="仿宋" w:hAnsi="仿宋" w:eastAsia="仿宋"/>
                <w:bCs/>
                <w:szCs w:val="21"/>
              </w:rPr>
              <w:t>日－2025年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15</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w:t>
            </w:r>
            <w:r>
              <w:rPr>
                <w:rFonts w:hint="eastAsia" w:ascii="仿宋" w:hAnsi="仿宋" w:eastAsia="仿宋"/>
                <w:bCs/>
                <w:szCs w:val="21"/>
                <w:lang w:val="en-US" w:eastAsia="zh-CN"/>
              </w:rPr>
              <w:t>5:</w:t>
            </w:r>
            <w:r>
              <w:rPr>
                <w:rFonts w:hint="eastAsia" w:ascii="仿宋" w:hAnsi="仿宋" w:eastAsia="仿宋"/>
                <w:bCs/>
                <w:szCs w:val="21"/>
              </w:rPr>
              <w:t>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2025年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16</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
                <w:bCs/>
                <w:szCs w:val="21"/>
              </w:rPr>
            </w:pPr>
            <w:r>
              <w:rPr>
                <w:rFonts w:hint="eastAsia" w:ascii="仿宋" w:hAnsi="仿宋" w:eastAsia="仿宋"/>
                <w:bCs/>
                <w:szCs w:val="21"/>
              </w:rPr>
              <w:t>本理财产品不设置封闭期。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cs="Cambria"/>
                <w:bCs/>
                <w:szCs w:val="21"/>
              </w:rPr>
              <w:t>A</w:t>
            </w:r>
            <w:r>
              <w:rPr>
                <w:rFonts w:hint="eastAsia" w:ascii="仿宋" w:hAnsi="仿宋" w:eastAsia="仿宋" w:cs="Cambria"/>
                <w:bCs/>
                <w:szCs w:val="21"/>
              </w:rPr>
              <w:t>份额：</w:t>
            </w:r>
            <w:r>
              <w:rPr>
                <w:rFonts w:hint="eastAsia" w:ascii="仿宋" w:hAnsi="仿宋" w:eastAsia="仿宋" w:cs="Cambria"/>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ascii="仿宋" w:hAnsi="仿宋" w:eastAsia="仿宋" w:cs="Cambria"/>
                <w:bCs/>
                <w:szCs w:val="21"/>
              </w:rPr>
              <w:t>A</w:t>
            </w:r>
            <w:r>
              <w:rPr>
                <w:rFonts w:hint="eastAsia" w:ascii="仿宋" w:hAnsi="仿宋" w:eastAsia="仿宋" w:cs="Cambria"/>
                <w:bCs/>
                <w:szCs w:val="21"/>
              </w:rPr>
              <w:t>份额：</w:t>
            </w:r>
            <w:r>
              <w:rPr>
                <w:rFonts w:hint="eastAsia" w:ascii="仿宋" w:hAnsi="仿宋" w:eastAsia="仿宋"/>
                <w:bCs/>
                <w:szCs w:val="21"/>
                <w:lang w:val="en-US" w:eastAsia="zh-CN"/>
              </w:rPr>
              <w:t>0.0</w:t>
            </w:r>
            <w:r>
              <w:rPr>
                <w:rFonts w:ascii="仿宋" w:hAnsi="仿宋" w:eastAsia="仿宋"/>
                <w:bCs/>
                <w:szCs w:val="21"/>
              </w:rPr>
              <w:t>1元，以</w:t>
            </w:r>
            <w:r>
              <w:rPr>
                <w:rFonts w:hint="eastAsia" w:ascii="仿宋" w:hAnsi="仿宋" w:eastAsia="仿宋"/>
                <w:bCs/>
                <w:szCs w:val="21"/>
                <w:lang w:val="en-US" w:eastAsia="zh-CN"/>
              </w:rPr>
              <w:t>0.0</w:t>
            </w:r>
            <w:r>
              <w:rPr>
                <w:rFonts w:ascii="仿宋" w:hAnsi="仿宋" w:eastAsia="仿宋"/>
                <w:bCs/>
                <w:szCs w:val="21"/>
              </w:rPr>
              <w:t>1元的整数倍追加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最低保留</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
                <w:bCs w:val="0"/>
                <w:szCs w:val="21"/>
                <w:lang w:val="en-GB"/>
              </w:rPr>
              <w:t>为保护投资者的利益，在发生大额赎回等情况时，经与产品托管人协商一致，华夏理财有权临时提高产品或单个份额的份额净值精度，并在上述事项对投资者利益不再产生重大影响时，恢复说明书约定的份额净值精度。投资者可在本说明书约定的信息披露渠道查询产品份额净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开放日为产品成立后每个</w:t>
            </w:r>
            <w:r>
              <w:rPr>
                <w:rFonts w:ascii="仿宋" w:hAnsi="仿宋" w:eastAsia="仿宋"/>
                <w:bCs/>
                <w:szCs w:val="21"/>
              </w:rPr>
              <w:t>工作日</w:t>
            </w:r>
            <w:r>
              <w:rPr>
                <w:rFonts w:hint="eastAsia" w:ascii="仿宋" w:hAnsi="仿宋" w:eastAsia="仿宋"/>
                <w:bCs/>
                <w:szCs w:val="21"/>
              </w:rPr>
              <w:t>，开放日如遇非工作日则顺延至下一个工作日。</w:t>
            </w:r>
          </w:p>
          <w:p>
            <w:pPr>
              <w:adjustRightInd w:val="0"/>
              <w:snapToGrid w:val="0"/>
              <w:spacing w:line="240" w:lineRule="atLeast"/>
              <w:ind w:right="-44"/>
              <w:rPr>
                <w:rFonts w:ascii="仿宋" w:hAnsi="仿宋" w:eastAsia="仿宋"/>
                <w:bCs/>
                <w:szCs w:val="21"/>
              </w:rPr>
            </w:pPr>
            <w:r>
              <w:rPr>
                <w:rFonts w:hint="eastAsia" w:ascii="仿宋" w:hAnsi="仿宋" w:eastAsia="仿宋"/>
                <w:szCs w:val="21"/>
              </w:rPr>
              <w:t xml:space="preserve">    </w:t>
            </w:r>
            <w:r>
              <w:rPr>
                <w:rFonts w:hint="eastAsia" w:ascii="仿宋" w:hAnsi="仿宋" w:eastAsia="仿宋"/>
                <w:bCs/>
                <w:szCs w:val="21"/>
              </w:rPr>
              <w:t>通过华夏银行/华夏理财购买的，</w:t>
            </w:r>
            <w:r>
              <w:rPr>
                <w:rFonts w:hint="eastAsia" w:ascii="仿宋" w:hAnsi="仿宋" w:eastAsia="仿宋"/>
                <w:szCs w:val="21"/>
              </w:rPr>
              <w:t xml:space="preserve">每个开放日的开放时间为 </w:t>
            </w:r>
            <w:r>
              <w:rPr>
                <w:rFonts w:ascii="仿宋" w:hAnsi="仿宋" w:eastAsia="仿宋"/>
                <w:u w:val="single"/>
              </w:rPr>
              <w:t>9</w:t>
            </w:r>
            <w:r>
              <w:rPr>
                <w:rFonts w:hint="eastAsia" w:ascii="仿宋" w:hAnsi="仿宋" w:eastAsia="仿宋"/>
                <w:u w:val="single"/>
              </w:rPr>
              <w:t>:00-</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w:t>
            </w:r>
            <w:r>
              <w:rPr>
                <w:rFonts w:ascii="仿宋" w:hAnsi="仿宋" w:eastAsia="仿宋"/>
                <w:bCs/>
                <w:szCs w:val="21"/>
              </w:rPr>
              <w:t xml:space="preserve"> </w:t>
            </w:r>
            <w:r>
              <w:rPr>
                <w:rFonts w:hint="eastAsia" w:ascii="仿宋" w:hAnsi="仿宋" w:eastAsia="仿宋"/>
                <w:bCs/>
                <w:szCs w:val="21"/>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r>
              <w:rPr>
                <w:rFonts w:hint="eastAsia" w:ascii="仿宋" w:hAnsi="仿宋" w:eastAsia="仿宋"/>
                <w:szCs w:val="21"/>
              </w:rPr>
              <w:t>。</w:t>
            </w: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在本理财产品存续期间，如投资者在开放日开放时间内提交申购申请，华夏理财作为当日申购申请处理，该申请只能于当日开放时间内撤销；如投资者在开放日开放时间结束后及非开放日提交申购申请，通过华夏银行/华夏理财购买的，作为下一开放日申购申请处理，该申请只能于下一开放日开放时间结束前撤销；通过其他代销机构购买的，业务处理规则以该代销机构业务规定为准。</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最短持有期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u w:val="single"/>
              </w:rPr>
            </w:pPr>
            <w:r>
              <w:rPr>
                <w:rFonts w:hint="eastAsia" w:ascii="仿宋" w:hAnsi="仿宋" w:eastAsia="仿宋"/>
                <w:bCs/>
                <w:szCs w:val="21"/>
                <w:u w:val="single"/>
                <w:lang w:val="en-US" w:eastAsia="zh-CN"/>
              </w:rPr>
              <w:t>7</w:t>
            </w:r>
            <w:r>
              <w:rPr>
                <w:rFonts w:hint="eastAsia" w:ascii="仿宋" w:hAnsi="仿宋" w:eastAsia="仿宋"/>
                <w:bCs/>
                <w:szCs w:val="21"/>
                <w:u w:val="single"/>
              </w:rPr>
              <w:t xml:space="preserve"> 个自然日，对投资者的每笔认/申购份额设置最短持有期限，即每笔认购份额从产品成立日（含）或每笔申购份额从申购申请确认日（含）起 </w:t>
            </w:r>
            <w:r>
              <w:rPr>
                <w:rFonts w:hint="eastAsia" w:ascii="仿宋" w:hAnsi="仿宋" w:eastAsia="仿宋"/>
                <w:bCs/>
                <w:szCs w:val="21"/>
                <w:u w:val="single"/>
                <w:lang w:val="en-US" w:eastAsia="zh-CN"/>
              </w:rPr>
              <w:t>7</w:t>
            </w:r>
            <w:r>
              <w:rPr>
                <w:rFonts w:hint="eastAsia" w:ascii="仿宋" w:hAnsi="仿宋" w:eastAsia="仿宋"/>
                <w:bCs/>
                <w:szCs w:val="21"/>
                <w:u w:val="single"/>
              </w:rPr>
              <w:t xml:space="preserve"> 个自然日前，投资者不能提起赎回申请；从该日起（含）之后每个开放日，客户可提交赎回申请，若该日为非开放日，则顺延至下一开放日。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申购及赎回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投资者可在产品开放日的开放时间提出申购申请；</w:t>
            </w:r>
            <w:r>
              <w:rPr>
                <w:rFonts w:hint="eastAsia" w:ascii="仿宋" w:hAnsi="仿宋" w:eastAsia="仿宋"/>
                <w:b/>
                <w:szCs w:val="21"/>
              </w:rPr>
              <w:t>投资者仅可在满足最短持有期后，在产品开放日的开放时间提出赎回申请。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本产品不支持预约购买。</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最短持有期内最后一个工作日 </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0（不含）</w:t>
            </w:r>
            <w:r>
              <w:rPr>
                <w:rFonts w:ascii="仿宋" w:hAnsi="仿宋" w:eastAsia="仿宋"/>
                <w:bCs/>
                <w:szCs w:val="21"/>
              </w:rPr>
              <w:t xml:space="preserve"> </w:t>
            </w:r>
            <w:r>
              <w:rPr>
                <w:rFonts w:hint="eastAsia" w:ascii="仿宋" w:hAnsi="仿宋" w:eastAsia="仿宋"/>
                <w:bCs/>
                <w:szCs w:val="21"/>
              </w:rPr>
              <w:t>前，可接受通过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预约赎回申请，视</w:t>
            </w:r>
            <w:r>
              <w:rPr>
                <w:rFonts w:ascii="仿宋" w:hAnsi="仿宋" w:eastAsia="仿宋"/>
                <w:bCs/>
                <w:szCs w:val="21"/>
              </w:rPr>
              <w:t>同在</w:t>
            </w:r>
            <w:r>
              <w:rPr>
                <w:rFonts w:hint="eastAsia" w:ascii="仿宋" w:hAnsi="仿宋" w:eastAsia="仿宋"/>
                <w:bCs/>
                <w:szCs w:val="21"/>
              </w:rPr>
              <w:t>第一个可赎回的开放日开放时间内提交的赎回申请。</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w:t>
            </w:r>
            <w:r>
              <w:rPr>
                <w:rFonts w:ascii="仿宋" w:hAnsi="仿宋" w:eastAsia="仿宋"/>
                <w:bCs/>
                <w:szCs w:val="21"/>
              </w:rPr>
              <w:t>1日确认。T日为开放日。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w:t>
            </w:r>
            <w:r>
              <w:rPr>
                <w:rFonts w:ascii="仿宋" w:hAnsi="仿宋" w:eastAsia="仿宋"/>
                <w:bCs/>
                <w:szCs w:val="21"/>
              </w:rPr>
              <w:t>1日确认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hint="eastAsia" w:ascii="仿宋" w:hAnsi="仿宋" w:eastAsia="仿宋"/>
                <w:bCs/>
                <w:szCs w:val="21"/>
                <w:lang w:val="en-US" w:eastAsia="zh-CN"/>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hint="eastAsia" w:ascii="仿宋" w:hAnsi="仿宋" w:eastAsia="仿宋"/>
                <w:bCs/>
                <w:szCs w:val="21"/>
                <w:lang w:val="en-US" w:eastAsia="zh-CN"/>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szCs w:val="21"/>
              </w:rPr>
            </w:pPr>
            <w:r>
              <w:rPr>
                <w:rFonts w:ascii="仿宋" w:hAnsi="仿宋" w:eastAsia="仿宋"/>
                <w:bCs/>
                <w:szCs w:val="21"/>
              </w:rPr>
              <w:t>本理财产品采取份额赎回的方式。投资者可选择全额或部分赎回，部分赎回后投资者持有本理财产品的</w:t>
            </w:r>
            <w:r>
              <w:rPr>
                <w:rFonts w:hint="eastAsia" w:ascii="仿宋" w:hAnsi="仿宋" w:eastAsia="仿宋"/>
                <w:bCs/>
                <w:szCs w:val="21"/>
              </w:rPr>
              <w:t>日末余额</w:t>
            </w:r>
            <w:r>
              <w:rPr>
                <w:rFonts w:ascii="仿宋" w:hAnsi="仿宋" w:eastAsia="仿宋"/>
                <w:bCs/>
                <w:szCs w:val="21"/>
              </w:rPr>
              <w:t>低于理财账户最低保留</w:t>
            </w:r>
            <w:r>
              <w:rPr>
                <w:rFonts w:hint="eastAsia" w:ascii="仿宋" w:hAnsi="仿宋" w:eastAsia="仿宋"/>
                <w:bCs/>
                <w:szCs w:val="21"/>
              </w:rPr>
              <w:t>限</w:t>
            </w:r>
            <w:r>
              <w:rPr>
                <w:rFonts w:ascii="仿宋" w:hAnsi="仿宋" w:eastAsia="仿宋"/>
                <w:bCs/>
                <w:szCs w:val="21"/>
              </w:rPr>
              <w:t>额</w:t>
            </w:r>
            <w:r>
              <w:rPr>
                <w:rFonts w:hint="eastAsia" w:ascii="仿宋" w:hAnsi="仿宋" w:eastAsia="仿宋"/>
                <w:bCs/>
                <w:szCs w:val="21"/>
              </w:rPr>
              <w:t>时</w:t>
            </w:r>
            <w:r>
              <w:rPr>
                <w:rFonts w:ascii="仿宋" w:hAnsi="仿宋" w:eastAsia="仿宋"/>
                <w:bCs/>
                <w:szCs w:val="21"/>
              </w:rPr>
              <w:t>，</w:t>
            </w:r>
            <w:r>
              <w:rPr>
                <w:rFonts w:hint="eastAsia" w:ascii="仿宋" w:hAnsi="仿宋" w:eastAsia="仿宋"/>
                <w:b/>
                <w:szCs w:val="21"/>
              </w:rPr>
              <w:t>华夏理财将在赎回确认日末对投资者的剩余份额发起强制赎回</w:t>
            </w:r>
            <w:r>
              <w:rPr>
                <w:rFonts w:ascii="仿宋" w:hAnsi="仿宋" w:eastAsia="仿宋"/>
                <w:b/>
                <w:szCs w:val="21"/>
              </w:rPr>
              <w:t>。</w:t>
            </w:r>
          </w:p>
          <w:p>
            <w:pPr>
              <w:adjustRightInd w:val="0"/>
              <w:snapToGrid w:val="0"/>
              <w:spacing w:line="240" w:lineRule="atLeast"/>
              <w:ind w:right="-44" w:firstLine="422" w:firstLineChars="200"/>
              <w:jc w:val="left"/>
              <w:rPr>
                <w:rFonts w:ascii="仿宋" w:hAnsi="仿宋" w:eastAsia="仿宋"/>
                <w:b/>
                <w:szCs w:val="21"/>
              </w:rPr>
            </w:pPr>
            <w:r>
              <w:rPr>
                <w:rFonts w:hint="eastAsia" w:ascii="仿宋" w:hAnsi="仿宋" w:eastAsia="仿宋"/>
                <w:b/>
                <w:szCs w:val="21"/>
              </w:rPr>
              <w:t>若客户在同一开放日提交申购和赎回原持有份额的交易申请，经申购和赎回交易确认后的日末余额低于理财账户最低保留限额时，华夏理财将在赎回确认日末对投资者的剩余份额发起强制赎回。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本产品赎回遵循“先进先出”原则。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 xml:space="preserve">申请日的产品份额净值，保留到小数点后 2 </w:t>
            </w:r>
            <w:r>
              <w:rPr>
                <w:rFonts w:hint="eastAsia" w:ascii="仿宋" w:hAnsi="仿宋" w:eastAsia="仿宋"/>
                <w:bCs/>
                <w:szCs w:val="21"/>
                <w:u w:val="single"/>
              </w:rPr>
              <w:t xml:space="preserve">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认购/申购/赎回申请拒绝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华夏理财根据市场情况或理财产品实际投资运作的情况确定理财产品规模上限（代销机构可控制自身销售额度），若本理财产品余额超过产品规模上限，</w:t>
            </w:r>
            <w:r>
              <w:rPr>
                <w:rFonts w:hint="eastAsia" w:ascii="仿宋" w:hAnsi="仿宋" w:eastAsia="仿宋"/>
                <w:b/>
                <w:bCs/>
                <w:szCs w:val="21"/>
              </w:rPr>
              <w:t>华夏理财有权在成立日/申购确认日采取比例确认等方式对购买申请给予部分确认。</w:t>
            </w:r>
          </w:p>
          <w:p>
            <w:pPr>
              <w:tabs>
                <w:tab w:val="left" w:pos="720"/>
              </w:tabs>
              <w:adjustRightInd w:val="0"/>
              <w:snapToGrid w:val="0"/>
              <w:spacing w:line="300" w:lineRule="exact"/>
              <w:ind w:firstLine="422" w:firstLineChars="200"/>
              <w:rPr>
                <w:rFonts w:ascii="仿宋" w:hAnsi="仿宋" w:eastAsia="仿宋"/>
                <w:bCs/>
                <w:szCs w:val="21"/>
              </w:rPr>
            </w:pPr>
            <w:r>
              <w:rPr>
                <w:rFonts w:hint="eastAsia" w:ascii="仿宋" w:hAnsi="仿宋" w:eastAsia="仿宋"/>
                <w:b/>
                <w:szCs w:val="21"/>
              </w:rPr>
              <w:t>华夏理财认为接受大额认购/申购申请可能会影响或损害理财产品投资者权益时，有权拒绝或暂停该认购/申购申请。</w:t>
            </w:r>
          </w:p>
          <w:p>
            <w:pPr>
              <w:spacing w:line="240" w:lineRule="atLeast"/>
              <w:rPr>
                <w:rFonts w:ascii="仿宋" w:hAnsi="仿宋" w:eastAsia="仿宋"/>
                <w:bCs/>
                <w:szCs w:val="21"/>
              </w:rPr>
            </w:pPr>
            <w:r>
              <w:rPr>
                <w:rFonts w:hint="eastAsia" w:ascii="仿宋" w:hAnsi="仿宋" w:eastAsia="仿宋"/>
                <w:bCs/>
                <w:szCs w:val="21"/>
              </w:rPr>
              <w:t xml:space="preserve">    若因超过产品规模上限或</w:t>
            </w:r>
            <w:r>
              <w:rPr>
                <w:rFonts w:ascii="仿宋" w:hAnsi="仿宋" w:eastAsia="仿宋"/>
                <w:bCs/>
                <w:szCs w:val="21"/>
              </w:rPr>
              <w:t>发生巨额赎回</w:t>
            </w:r>
            <w:r>
              <w:rPr>
                <w:rFonts w:hint="eastAsia" w:ascii="仿宋" w:hAnsi="仿宋" w:eastAsia="仿宋"/>
                <w:bCs/>
                <w:szCs w:val="21"/>
              </w:rPr>
              <w:t>,华夏理财拒绝、延期办理或部分接受客户的认购/申购/赎回</w:t>
            </w:r>
            <w:r>
              <w:rPr>
                <w:rFonts w:ascii="仿宋" w:hAnsi="仿宋" w:eastAsia="仿宋"/>
                <w:bCs/>
                <w:szCs w:val="21"/>
              </w:rPr>
              <w:t>申请时，</w:t>
            </w:r>
            <w:r>
              <w:rPr>
                <w:rFonts w:hint="eastAsia" w:ascii="仿宋" w:hAnsi="仿宋" w:eastAsia="仿宋"/>
                <w:bCs/>
                <w:szCs w:val="21"/>
              </w:rPr>
              <w:t>华夏理财于</w:t>
            </w:r>
            <w:r>
              <w:rPr>
                <w:rFonts w:ascii="仿宋" w:hAnsi="仿宋" w:eastAsia="仿宋"/>
                <w:bCs/>
                <w:szCs w:val="21"/>
              </w:rPr>
              <w:t>3</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 xml:space="preserve"> 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djustRightInd w:val="0"/>
              <w:snapToGrid w:val="0"/>
              <w:spacing w:line="300" w:lineRule="exact"/>
              <w:ind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rPr>
              <w:t>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hint="eastAsia" w:ascii="仿宋" w:hAnsi="仿宋" w:eastAsia="仿宋"/>
                <w:lang w:val="en-US" w:eastAsia="zh-CN"/>
              </w:rPr>
              <w:t>5</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hint="eastAsia" w:ascii="仿宋" w:hAnsi="仿宋" w:eastAsia="仿宋"/>
                <w:lang w:val="en-US" w:eastAsia="zh-CN"/>
              </w:rPr>
              <w:t>5</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申购的，投资者撤销申购的本金在</w:t>
            </w:r>
            <w:r>
              <w:rPr>
                <w:rFonts w:ascii="仿宋" w:hAnsi="仿宋" w:eastAsia="仿宋"/>
                <w:bCs/>
                <w:szCs w:val="21"/>
              </w:rPr>
              <w:t xml:space="preserve"> 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）通过华夏银行申购的，投资者撤销申购的本金实时到账。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 xml:space="preserve"> </w:t>
            </w:r>
            <w:r>
              <w:rPr>
                <w:rFonts w:ascii="仿宋" w:hAnsi="仿宋" w:eastAsia="仿宋"/>
                <w:bCs/>
                <w:szCs w:val="21"/>
                <w:u w:val="single"/>
              </w:rPr>
              <w:t>15:30</w:t>
            </w:r>
            <w:r>
              <w:rPr>
                <w:rFonts w:hint="eastAsia" w:ascii="仿宋" w:hAnsi="仿宋" w:eastAsia="仿宋"/>
                <w:bCs/>
                <w:szCs w:val="21"/>
                <w:u w:val="single"/>
              </w:rPr>
              <w:t>（不含）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cs="Cambria"/>
                <w:b/>
                <w:bCs/>
                <w:szCs w:val="21"/>
              </w:rPr>
              <w:t>A份额：</w:t>
            </w:r>
            <w:r>
              <w:rPr>
                <w:rFonts w:ascii="仿宋" w:hAnsi="仿宋" w:eastAsia="仿宋"/>
                <w:b/>
                <w:bCs w:val="0"/>
                <w:szCs w:val="21"/>
              </w:rPr>
              <w:t>0.</w:t>
            </w:r>
            <w:r>
              <w:rPr>
                <w:rFonts w:hint="eastAsia" w:ascii="仿宋" w:hAnsi="仿宋" w:eastAsia="仿宋"/>
                <w:b/>
                <w:bCs w:val="0"/>
                <w:szCs w:val="21"/>
                <w:lang w:val="en-US" w:eastAsia="zh-CN"/>
              </w:rPr>
              <w:t>3</w:t>
            </w:r>
            <w:r>
              <w:rPr>
                <w:rFonts w:ascii="仿宋" w:hAnsi="仿宋" w:eastAsia="仿宋"/>
                <w:b/>
                <w:bCs w:val="0"/>
                <w:szCs w:val="21"/>
              </w:rPr>
              <w:t>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F=E×【</w:t>
            </w:r>
            <w:r>
              <w:rPr>
                <w:rFonts w:hint="eastAsia" w:ascii="仿宋" w:hAnsi="仿宋" w:eastAsia="仿宋"/>
                <w:b/>
                <w:bCs/>
                <w:szCs w:val="21"/>
              </w:rPr>
              <w:t>各</w:t>
            </w:r>
            <w:r>
              <w:rPr>
                <w:rFonts w:ascii="仿宋" w:hAnsi="仿宋" w:eastAsia="仿宋"/>
                <w:b/>
                <w:bCs/>
                <w:szCs w:val="21"/>
              </w:rPr>
              <w:t>份额</w:t>
            </w:r>
            <w:r>
              <w:rPr>
                <w:rFonts w:hint="eastAsia" w:ascii="仿宋" w:hAnsi="仿宋" w:eastAsia="仿宋"/>
                <w:b/>
                <w:bCs/>
                <w:szCs w:val="21"/>
              </w:rPr>
              <w:t>销售</w:t>
            </w:r>
            <w:r>
              <w:rPr>
                <w:rFonts w:ascii="仿宋" w:hAnsi="仿宋" w:eastAsia="仿宋"/>
                <w:b/>
                <w:bCs/>
                <w:szCs w:val="21"/>
              </w:rPr>
              <w:t>手续费率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w:t>
            </w:r>
            <w:r>
              <w:rPr>
                <w:rFonts w:hint="eastAsia" w:ascii="仿宋" w:hAnsi="仿宋" w:eastAsia="仿宋"/>
                <w:b/>
                <w:bCs/>
                <w:szCs w:val="21"/>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3</w:t>
            </w:r>
            <w:r>
              <w:rPr>
                <w:rFonts w:ascii="仿宋" w:hAnsi="仿宋" w:eastAsia="仿宋"/>
                <w:b/>
                <w:bCs w:val="0"/>
                <w:szCs w:val="21"/>
              </w:rPr>
              <w:t>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3</w:t>
            </w:r>
            <w:r>
              <w:rPr>
                <w:rFonts w:ascii="仿宋" w:hAnsi="仿宋" w:eastAsia="仿宋"/>
                <w:b/>
                <w:bCs w:val="0"/>
                <w:szCs w:val="21"/>
              </w:rPr>
              <w:t>0</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产品开放日后第 </w:t>
            </w:r>
            <w:r>
              <w:rPr>
                <w:rFonts w:ascii="仿宋" w:hAnsi="仿宋" w:eastAsia="仿宋"/>
                <w:bCs/>
                <w:szCs w:val="21"/>
                <w:u w:val="single"/>
              </w:rPr>
              <w:t>2</w:t>
            </w:r>
            <w:r>
              <w:rPr>
                <w:rFonts w:hint="eastAsia" w:ascii="仿宋" w:hAnsi="仿宋" w:eastAsia="仿宋"/>
                <w:bCs/>
                <w:szCs w:val="21"/>
              </w:rPr>
              <w:t xml:space="preserve"> 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通过本</w:t>
            </w:r>
            <w:r>
              <w:rPr>
                <w:rFonts w:hint="eastAsia" w:ascii="仿宋" w:hAnsi="仿宋" w:eastAsia="仿宋"/>
                <w:b/>
                <w:szCs w:val="21"/>
              </w:rPr>
              <w:t>产品</w:t>
            </w:r>
            <w:r>
              <w:rPr>
                <w:rFonts w:ascii="仿宋" w:hAnsi="仿宋" w:eastAsia="仿宋"/>
                <w:b/>
                <w:szCs w:val="21"/>
              </w:rPr>
              <w:t>说明书约定的信息披露渠道公告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 xml:space="preserve">当本理财产品份额低于 </w:t>
            </w:r>
            <w:r>
              <w:rPr>
                <w:rFonts w:hint="eastAsia" w:ascii="仿宋" w:hAnsi="仿宋" w:eastAsia="仿宋"/>
                <w:bCs/>
                <w:szCs w:val="21"/>
                <w:u w:val="single"/>
                <w:lang w:val="en-US" w:eastAsia="zh-CN"/>
              </w:rPr>
              <w:t>5,</w:t>
            </w:r>
            <w:r>
              <w:rPr>
                <w:rFonts w:hint="eastAsia" w:ascii="仿宋" w:hAnsi="仿宋" w:eastAsia="仿宋"/>
                <w:bCs/>
                <w:szCs w:val="21"/>
                <w:u w:val="single"/>
              </w:rPr>
              <w:t>000万</w:t>
            </w:r>
            <w:r>
              <w:rPr>
                <w:rFonts w:ascii="仿宋" w:hAnsi="仿宋" w:eastAsia="仿宋"/>
                <w:bCs/>
                <w:szCs w:val="21"/>
              </w:rPr>
              <w:t xml:space="preserve"> </w:t>
            </w:r>
            <w:r>
              <w:rPr>
                <w:rFonts w:hint="eastAsia" w:ascii="仿宋" w:hAnsi="仿宋" w:eastAsia="仿宋"/>
                <w:bCs/>
                <w:szCs w:val="21"/>
              </w:rPr>
              <w:t>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22"/>
        <w:snapToGrid w:val="0"/>
        <w:spacing w:after="156" w:afterLines="50" w:line="400" w:lineRule="exact"/>
        <w:ind w:firstLine="482" w:firstLineChars="200"/>
        <w:jc w:val="both"/>
        <w:rPr>
          <w:rFonts w:ascii="Times New Roman" w:eastAsia="黑体" w:cs="Times New Roman"/>
          <w:b/>
          <w:color w:val="auto"/>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本产品主要投资于货币市场工具、标准化债权类资产等固定收益类资产</w:t>
      </w:r>
      <w:r>
        <w:rPr>
          <w:rFonts w:hint="eastAsia" w:ascii="仿宋" w:hAnsi="仿宋" w:eastAsia="仿宋" w:cs="宋体"/>
          <w:color w:val="000000"/>
          <w:kern w:val="0"/>
          <w:sz w:val="24"/>
          <w:lang w:val="en-US" w:eastAsia="zh-CN"/>
        </w:rPr>
        <w:t>以及</w:t>
      </w:r>
      <w:r>
        <w:rPr>
          <w:rFonts w:hint="eastAsia" w:ascii="仿宋" w:hAnsi="仿宋" w:eastAsia="仿宋" w:cs="宋体"/>
          <w:color w:val="000000"/>
          <w:kern w:val="0"/>
          <w:sz w:val="24"/>
        </w:rPr>
        <w:t>权益类资产。</w:t>
      </w:r>
    </w:p>
    <w:p>
      <w:pPr>
        <w:widowControl/>
        <w:adjustRightInd w:val="0"/>
        <w:snapToGrid w:val="0"/>
        <w:spacing w:line="276" w:lineRule="auto"/>
        <w:ind w:firstLine="480" w:firstLineChars="200"/>
        <w:contextualSpacing/>
        <w:jc w:val="both"/>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权益类资产</w:t>
      </w:r>
      <w:r>
        <w:rPr>
          <w:rFonts w:hint="eastAsia" w:ascii="仿宋" w:hAnsi="仿宋" w:eastAsia="仿宋" w:cs="宋体"/>
          <w:color w:val="000000"/>
          <w:kern w:val="0"/>
          <w:sz w:val="24"/>
          <w:lang w:val="en-US" w:eastAsia="zh-CN"/>
        </w:rPr>
        <w:t>仅</w:t>
      </w:r>
      <w:r>
        <w:rPr>
          <w:rFonts w:hint="eastAsia" w:ascii="仿宋" w:hAnsi="仿宋" w:eastAsia="仿宋" w:cs="宋体"/>
          <w:color w:val="000000"/>
          <w:kern w:val="0"/>
          <w:sz w:val="24"/>
        </w:rPr>
        <w:t>限于</w:t>
      </w:r>
      <w:r>
        <w:rPr>
          <w:rFonts w:hint="eastAsia" w:ascii="仿宋" w:hAnsi="仿宋" w:eastAsia="仿宋" w:cs="宋体"/>
          <w:color w:val="000000"/>
          <w:kern w:val="0"/>
          <w:sz w:val="24"/>
          <w:lang w:val="en-US" w:eastAsia="zh-CN"/>
        </w:rPr>
        <w:t>优先股</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keepNext/>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85"/>
        <w:gridCol w:w="2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trPr>
        <w:tc>
          <w:tcPr>
            <w:tcW w:w="5685" w:type="dxa"/>
            <w:vAlign w:val="center"/>
          </w:tcPr>
          <w:p>
            <w:pPr>
              <w:keepNext/>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2378" w:type="dxa"/>
            <w:vAlign w:val="center"/>
          </w:tcPr>
          <w:p>
            <w:pPr>
              <w:keepNext/>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trPr>
        <w:tc>
          <w:tcPr>
            <w:tcW w:w="5685"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固定收益类</w:t>
            </w:r>
          </w:p>
        </w:tc>
        <w:tc>
          <w:tcPr>
            <w:tcW w:w="2378"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80%（含）-100%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trPr>
        <w:tc>
          <w:tcPr>
            <w:tcW w:w="5685"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权益类</w:t>
            </w:r>
          </w:p>
        </w:tc>
        <w:tc>
          <w:tcPr>
            <w:tcW w:w="2378"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0%-20%</w:t>
            </w:r>
          </w:p>
        </w:tc>
      </w:tr>
    </w:tbl>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r>
        <w:rPr>
          <w:rFonts w:hint="eastAsia" w:ascii="仿宋" w:hAnsi="仿宋" w:eastAsia="仿宋" w:cs="宋体"/>
          <w:b/>
          <w:bCs/>
          <w:color w:val="000000"/>
          <w:kern w:val="0"/>
          <w:sz w:val="24"/>
        </w:rPr>
        <w:t>本理财产品可以按照监管部门相关规定开展回购业务。</w:t>
      </w:r>
    </w:p>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管理人应当自理财产品成立日起</w:t>
      </w:r>
      <w:r>
        <w:rPr>
          <w:rFonts w:ascii="仿宋" w:hAnsi="仿宋" w:eastAsia="仿宋" w:cs="宋体"/>
          <w:b/>
          <w:bCs/>
          <w:color w:val="000000"/>
          <w:kern w:val="0"/>
          <w:sz w:val="24"/>
        </w:rPr>
        <w:t>1</w:t>
      </w:r>
      <w:r>
        <w:rPr>
          <w:rFonts w:hint="eastAsia" w:ascii="仿宋" w:hAnsi="仿宋" w:eastAsia="仿宋" w:cs="宋体"/>
          <w:b/>
          <w:bCs/>
          <w:color w:val="000000"/>
          <w:kern w:val="0"/>
          <w:sz w:val="24"/>
        </w:rPr>
        <w:t>个</w:t>
      </w:r>
      <w:r>
        <w:rPr>
          <w:rFonts w:ascii="仿宋" w:hAnsi="仿宋" w:eastAsia="仿宋" w:cs="宋体"/>
          <w:b/>
          <w:bCs/>
          <w:color w:val="000000"/>
          <w:kern w:val="0"/>
          <w:sz w:val="24"/>
        </w:rPr>
        <w:t>月</w:t>
      </w:r>
      <w:r>
        <w:rPr>
          <w:rFonts w:hint="eastAsia" w:ascii="仿宋" w:hAnsi="仿宋" w:eastAsia="仿宋" w:cs="宋体"/>
          <w:b/>
          <w:bCs/>
          <w:color w:val="000000"/>
          <w:kern w:val="0"/>
          <w:sz w:val="24"/>
        </w:rPr>
        <w:t>内使理财产品的投资比例符合上述约定。</w:t>
      </w: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w:t>
      </w:r>
      <w:r>
        <w:rPr>
          <w:rFonts w:hint="eastAsia" w:ascii="仿宋" w:hAnsi="仿宋" w:eastAsia="仿宋" w:cs="仿宋"/>
          <w:b/>
          <w:bCs/>
          <w:color w:val="000000"/>
          <w:kern w:val="0"/>
          <w:sz w:val="24"/>
        </w:rPr>
        <w:t>本产品说明书约定的信息披露渠道</w:t>
      </w:r>
      <w:r>
        <w:rPr>
          <w:rFonts w:hint="eastAsia" w:ascii="仿宋" w:hAnsi="仿宋" w:eastAsia="仿宋" w:cs="宋体"/>
          <w:b/>
          <w:bCs/>
          <w:color w:val="000000"/>
          <w:kern w:val="0"/>
          <w:sz w:val="24"/>
        </w:rPr>
        <w:t>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w:t>
      </w:r>
      <w:r>
        <w:rPr>
          <w:rFonts w:ascii="Times New Roman" w:eastAsia="黑体" w:cs="Times New Roman"/>
          <w:b/>
          <w:color w:val="auto"/>
        </w:rPr>
        <w:t>、</w:t>
      </w:r>
      <w:r>
        <w:rPr>
          <w:rFonts w:hint="eastAsia" w:ascii="Times New Roman" w:eastAsia="黑体" w:cs="Times New Roman"/>
          <w:b/>
          <w:color w:val="auto"/>
        </w:rPr>
        <w:t>理财产品管理人和托管</w:t>
      </w:r>
      <w:r>
        <w:rPr>
          <w:rFonts w:ascii="Times New Roman" w:eastAsia="黑体" w:cs="Times New Roman"/>
          <w:b/>
          <w:color w:val="auto"/>
        </w:rPr>
        <w:t>人</w:t>
      </w:r>
    </w:p>
    <w:p>
      <w:pPr>
        <w:pStyle w:val="22"/>
        <w:snapToGrid w:val="0"/>
        <w:spacing w:after="156" w:afterLines="50" w:line="400" w:lineRule="exact"/>
        <w:ind w:firstLine="480" w:firstLineChars="200"/>
        <w:jc w:val="both"/>
        <w:rPr>
          <w:rFonts w:ascii="仿宋" w:hAnsi="仿宋" w:eastAsia="仿宋"/>
        </w:rPr>
      </w:pPr>
      <w:r>
        <w:rPr>
          <w:rFonts w:hint="eastAsia" w:ascii="仿宋" w:hAnsi="仿宋" w:eastAsia="仿宋"/>
        </w:rPr>
        <w:t>（一）</w:t>
      </w:r>
      <w:r>
        <w:rPr>
          <w:rFonts w:ascii="仿宋" w:hAnsi="仿宋" w:eastAsia="仿宋"/>
        </w:rPr>
        <w:t>本</w:t>
      </w:r>
      <w:r>
        <w:rPr>
          <w:rFonts w:hint="eastAsia" w:ascii="仿宋" w:hAnsi="仿宋" w:eastAsia="仿宋"/>
        </w:rPr>
        <w:t>理财</w:t>
      </w:r>
      <w:r>
        <w:rPr>
          <w:rFonts w:ascii="仿宋" w:hAnsi="仿宋" w:eastAsia="仿宋"/>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w:t>
      </w:r>
      <w:r>
        <w:rPr>
          <w:rFonts w:hint="eastAsia" w:ascii="仿宋" w:hAnsi="仿宋" w:eastAsia="仿宋" w:cs="宋体"/>
          <w:color w:val="000000"/>
          <w:kern w:val="0"/>
          <w:sz w:val="24"/>
        </w:rPr>
        <w:t>银行股份有限公司。</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w:t>
      </w:r>
      <w:r>
        <w:rPr>
          <w:rFonts w:hint="eastAsia" w:ascii="仿宋" w:hAnsi="仿宋" w:eastAsia="仿宋" w:cs="宋体"/>
          <w:kern w:val="0"/>
          <w:sz w:val="24"/>
          <w:lang w:val="en-US" w:eastAsia="zh-CN"/>
        </w:rPr>
        <w:t>直销</w:t>
      </w:r>
      <w:r>
        <w:rPr>
          <w:rFonts w:hint="eastAsia" w:ascii="仿宋" w:hAnsi="仿宋" w:eastAsia="仿宋" w:cs="宋体"/>
          <w:kern w:val="0"/>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华夏银行柜台</w:t>
      </w:r>
      <w:r>
        <w:rPr>
          <w:rFonts w:hint="eastAsia" w:ascii="仿宋" w:hAnsi="仿宋" w:eastAsia="仿宋"/>
          <w:sz w:val="24"/>
        </w:rPr>
        <w:t>、手机银行、网上银行等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hint="eastAsia" w:ascii="仿宋" w:hAnsi="仿宋" w:eastAsia="仿宋" w:cs="宋体"/>
          <w:b/>
          <w:bCs/>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不再接受该单一投资者对本理财产品的认、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hint="eastAsia" w:ascii="仿宋" w:hAnsi="仿宋" w:eastAsia="仿宋" w:cs="宋体"/>
          <w:b/>
          <w:bCs/>
          <w:kern w:val="0"/>
          <w:sz w:val="24"/>
        </w:rPr>
      </w:pPr>
      <w:r>
        <w:rPr>
          <w:rFonts w:hint="eastAsia" w:ascii="仿宋" w:hAnsi="仿宋" w:eastAsia="仿宋" w:cs="宋体"/>
          <w:kern w:val="0"/>
          <w:sz w:val="24"/>
        </w:rPr>
        <w:t>法律法规、监管部门另有规定的，从其规定。</w:t>
      </w:r>
    </w:p>
    <w:p>
      <w:pPr>
        <w:widowControl/>
        <w:adjustRightInd w:val="0"/>
        <w:snapToGrid w:val="0"/>
        <w:spacing w:line="276" w:lineRule="auto"/>
        <w:ind w:firstLine="480" w:firstLineChars="200"/>
        <w:contextualSpacing/>
        <w:rPr>
          <w:rFonts w:hint="eastAsia" w:ascii="仿宋" w:hAnsi="仿宋" w:eastAsia="仿宋" w:cs="宋体"/>
          <w:b/>
          <w:bCs/>
          <w:kern w:val="0"/>
          <w:sz w:val="24"/>
        </w:rPr>
      </w:pPr>
      <w:r>
        <w:rPr>
          <w:rFonts w:hint="eastAsia" w:ascii="仿宋" w:hAnsi="仿宋" w:eastAsia="仿宋" w:cs="宋体"/>
          <w:b w:val="0"/>
          <w:bCs w:val="0"/>
          <w:kern w:val="0"/>
          <w:sz w:val="24"/>
        </w:rPr>
        <w:t>3</w:t>
      </w:r>
      <w:r>
        <w:rPr>
          <w:rFonts w:hint="eastAsia" w:ascii="仿宋" w:hAnsi="仿宋" w:eastAsia="仿宋" w:cs="宋体"/>
          <w:b w:val="0"/>
          <w:bCs w:val="0"/>
          <w:kern w:val="0"/>
          <w:sz w:val="24"/>
          <w:lang w:val="en-US" w:eastAsia="zh-CN"/>
        </w:rPr>
        <w:t>.</w:t>
      </w:r>
      <w:r>
        <w:rPr>
          <w:rFonts w:hint="eastAsia" w:ascii="仿宋" w:hAnsi="仿宋" w:eastAsia="仿宋" w:cs="宋体"/>
          <w:b w:val="0"/>
          <w:bCs w:val="0"/>
          <w:kern w:val="0"/>
          <w:sz w:val="24"/>
        </w:rPr>
        <w:t>本理财产品申购和赎回采用“未知价”原则，即本产品申购申请和赎回申请提交时，适用的产品份额净值都是未知的。适用的产品份额净值</w:t>
      </w:r>
      <w:r>
        <w:rPr>
          <w:rFonts w:hint="eastAsia" w:ascii="仿宋" w:hAnsi="仿宋" w:eastAsia="仿宋" w:cs="宋体"/>
          <w:b w:val="0"/>
          <w:bCs w:val="0"/>
          <w:kern w:val="0"/>
          <w:sz w:val="24"/>
          <w:lang w:eastAsia="zh-CN"/>
        </w:rPr>
        <w:t>，</w:t>
      </w:r>
      <w:r>
        <w:rPr>
          <w:rFonts w:hint="eastAsia" w:ascii="仿宋" w:hAnsi="仿宋" w:eastAsia="仿宋" w:cs="宋体"/>
          <w:b w:val="0"/>
          <w:bCs w:val="0"/>
          <w:kern w:val="0"/>
          <w:sz w:val="24"/>
          <w:lang w:val="en-US" w:eastAsia="zh-CN"/>
        </w:rPr>
        <w:t>详见“份额净值公告日”“九、信息披露”</w:t>
      </w:r>
      <w:r>
        <w:rPr>
          <w:rFonts w:hint="eastAsia" w:ascii="仿宋" w:hAnsi="仿宋" w:eastAsia="仿宋" w:cs="宋体"/>
          <w:b w:val="0"/>
          <w:bCs w:val="0"/>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5.单个投资者在单个开放日的赎回超过说明书约定的赎回比例</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22"/>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本产品说明书中的任何业绩比较基准、收益示例或类似表述均不具有法律约束力，不等于预期收益，不代表投资者可能获得的实际收益，亦不构成华夏理财/代销机构对本理财产品的任何收益承诺。</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（一）估值对象</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w:t>
      </w:r>
      <w:r>
        <w:rPr>
          <w:rFonts w:hint="eastAsia" w:ascii="仿宋" w:hAnsi="仿宋" w:eastAsia="仿宋"/>
          <w:lang w:val="en-US" w:eastAsia="zh-CN"/>
        </w:rPr>
        <w:t>等</w:t>
      </w:r>
      <w:r>
        <w:rPr>
          <w:rFonts w:hint="eastAsia" w:ascii="仿宋" w:hAnsi="仿宋" w:eastAsia="仿宋" w:cs="宋体"/>
          <w:color w:val="000000"/>
          <w:kern w:val="0"/>
          <w:sz w:val="24"/>
        </w:rPr>
        <w:t>固定收益类资产</w:t>
      </w:r>
      <w:r>
        <w:rPr>
          <w:rFonts w:hint="eastAsia" w:ascii="仿宋" w:hAnsi="仿宋" w:eastAsia="仿宋" w:cs="宋体"/>
          <w:color w:val="000000"/>
          <w:kern w:val="0"/>
          <w:sz w:val="24"/>
          <w:lang w:eastAsia="zh-CN"/>
        </w:rPr>
        <w:t>、</w:t>
      </w:r>
      <w:r>
        <w:rPr>
          <w:rFonts w:hint="eastAsia" w:ascii="仿宋" w:hAnsi="仿宋" w:eastAsia="仿宋"/>
        </w:rPr>
        <w:t>权益类资产以及资产管理产品等资产。</w:t>
      </w:r>
    </w:p>
    <w:p>
      <w:pPr>
        <w:pStyle w:val="2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22"/>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（三）估值方法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 证券交易所上市的有价证券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 处于未上市期间的有价证券应区分如下情况处理：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 同一债券同时在两个或两个以上市场交易的，按债券所处的市场分别估值。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 证券投资基金的估值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 期货以估值日期货交易所的当日结算价估值，估值当日无结算价的，且最近交易日后经济环境未发生重大变化的，采用最近交易日结算价估值。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 汇率估值方法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 场内期权以估值日交易所的结算价估值，该日无交易的，以最近一日的结算价为准。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 非标准化债权类资产采用估值技术确认公允价值，在估值技术难以可靠计量公允价值的情况下，按照管理人和托管人共同认可的估值。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 本系列产品所投资的资产管理产品以估值日公布的产品单位净值进行估值，估值日产品单位净值未公布的，以最近一个工作日产品单位净值计算。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14. 相关法律法规以及监管部门有强制规定的，从其规定。如有新增事项或变更事项，依法按最新规定计算。没有相关规定的，由产品管理人与托管人协商确定计算方法。</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22"/>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22"/>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22"/>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22"/>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w:t>
      </w:r>
      <w:r>
        <w:rPr>
          <w:rFonts w:hint="eastAsia" w:eastAsia="黑体"/>
          <w:b/>
        </w:rPr>
        <w:t>或最短持有期内产品管理人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22"/>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如因与理财产品投资资产相关的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22"/>
        <w:snapToGrid w:val="0"/>
        <w:spacing w:line="276" w:lineRule="auto"/>
        <w:ind w:firstLine="482"/>
        <w:contextualSpacing/>
        <w:rPr>
          <w:rFonts w:ascii="Times New Roman" w:eastAsia="黑体" w:cs="Times New Roman"/>
          <w:b/>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22"/>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（十四）流动性应对措施及对投资者的潜在影响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w:t>
      </w:r>
      <w:r>
        <w:rPr>
          <w:rFonts w:ascii="Times New Roman" w:eastAsia="黑体" w:cs="Times New Roman"/>
          <w:b/>
        </w:rPr>
        <w:t>认购</w:t>
      </w:r>
      <w:r>
        <w:rPr>
          <w:rFonts w:hint="eastAsia" w:ascii="Times New Roman" w:eastAsia="黑体" w:cs="Times New Roman"/>
          <w:b/>
        </w:rPr>
        <w:t>、申购、赎回”。</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22"/>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color w:val="auto"/>
          <w:lang w:val="en-US" w:eastAsia="zh-CN"/>
        </w:rPr>
        <w:t xml:space="preserve">    （十六）</w:t>
      </w:r>
      <w:r>
        <w:rPr>
          <w:rFonts w:hint="eastAsia" w:ascii="Times New Roman" w:eastAsia="黑体" w:cs="Times New Roman"/>
          <w:b/>
          <w:color w:val="auto"/>
        </w:rPr>
        <w:t>本产品特有风险说明</w:t>
      </w:r>
    </w:p>
    <w:p>
      <w:pPr>
        <w:pStyle w:val="22"/>
        <w:snapToGrid w:val="0"/>
        <w:spacing w:beforeLines="0" w:afterLines="0" w:line="276" w:lineRule="auto"/>
        <w:ind w:firstLine="482"/>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固定收益类、权益类资产</w:t>
      </w:r>
      <w:r>
        <w:rPr>
          <w:rFonts w:hint="eastAsia" w:ascii="Times New Roman" w:eastAsia="黑体" w:cs="Times New Roman"/>
          <w:b/>
        </w:rPr>
        <w:t>，因此可能面临如下特定风险：</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hAns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eastAsia="黑体" w:cs="Times New Roman"/>
          <w:b/>
          <w:kern w:val="0"/>
          <w:sz w:val="24"/>
          <w:szCs w:val="24"/>
          <w:lang w:val="en-US" w:eastAsia="zh-CN" w:bidi="ar-SA"/>
        </w:rPr>
        <w:t>3</w:t>
      </w:r>
      <w:r>
        <w:rPr>
          <w:rFonts w:hint="eastAsia" w:ascii="Times New Roman" w:hAnsi="Times New Roman" w:eastAsia="黑体" w:cs="Times New Roman"/>
          <w:b/>
          <w:kern w:val="0"/>
          <w:sz w:val="24"/>
          <w:szCs w:val="24"/>
          <w:lang w:val="en-US" w:eastAsia="zh-CN" w:bidi="ar-SA"/>
        </w:rPr>
        <w:t>.投资于存款类资产的可能风险：本产品拟投资的存款类资产在极端情况下可能面临被拒绝支取、因提前支取而被收取罚息等费用的风险，从而影响投资者收益，甚至使本产品本金遭受损失。</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snapToGrid w:val="0"/>
        <w:spacing w:beforeLines="0" w:afterLines="0" w:line="276" w:lineRule="auto"/>
        <w:ind w:firstLine="482"/>
        <w:contextualSpacing/>
        <w:rPr>
          <w:rFonts w:hint="eastAsia" w:ascii="Times New Roman" w:hAnsi="Times New Roman" w:eastAsia="黑体" w:cs="Times New Roman"/>
          <w:b/>
          <w:sz w:val="24"/>
          <w:szCs w:val="24"/>
          <w:lang w:val="en-US" w:eastAsia="zh-CN"/>
        </w:rPr>
      </w:pP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投资于股票类资产的可能风险：国家货币、财政、产业等政策变化对证券市场产生一定的影响，导致市场价格水平波动的风险；宏观经济运行周期性波动，对股票市场的收益水平产生影响的风险；上市公司的经营状况受多种因素影响，如市场、技术、竞争、管理、财务等都可能导致公司盈利发生变化，从而导致股票价格下跌，影响投资者收益，甚至使产品本金遭受损失；股票遭流通和转让限制导致的流动性风险；投资于不同板块、不同市场股票，如投资科创板、创业板、港股通股票等，可能面临因投资标的、市场制度、交易规则、监管法规等差异造成的风险等。</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bidi="ar-SA"/>
        </w:rPr>
        <w:t>6</w:t>
      </w:r>
      <w:r>
        <w:rPr>
          <w:rFonts w:hint="eastAsia" w:ascii="Times New Roman" w:hAnsi="Times New Roman" w:eastAsia="黑体" w:cs="Times New Roman"/>
          <w:b/>
          <w:kern w:val="0"/>
          <w:sz w:val="24"/>
          <w:szCs w:val="24"/>
          <w:lang w:val="en-US" w:eastAsia="zh-CN" w:bidi="ar-SA"/>
        </w:rPr>
        <w:t xml:space="preserve">.投资于优先股的可能风险：优先股具有固定收益证券的特征，但优先股发行方无到期归还本金的义务，可能发生发行人经营状况恶化、无法足额支付股息的风险，从而影响产品和投资者收益；优先股属于权益类资产，价格受国家各类政策、宏观经济、行业发展等多种因素影响，可能发生波动从而影响产品收益，甚至使产品本金遭受损失。 </w:t>
      </w:r>
    </w:p>
    <w:p>
      <w:pPr>
        <w:pStyle w:val="22"/>
        <w:numPr>
          <w:ilvl w:val="0"/>
          <w:numId w:val="0"/>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lang w:val="en-US" w:eastAsia="zh-CN"/>
        </w:rPr>
        <w:t>7.</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一</w:t>
      </w:r>
      <w:r>
        <w:rPr>
          <w:rFonts w:ascii="仿宋" w:hAnsi="仿宋" w:eastAsia="仿宋"/>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（二）理财产品临时</w:t>
      </w:r>
      <w:r>
        <w:rPr>
          <w:rFonts w:hint="eastAsia" w:ascii="仿宋" w:hAnsi="仿宋" w:eastAsia="仿宋"/>
        </w:rPr>
        <w:t>性</w:t>
      </w:r>
      <w:r>
        <w:rPr>
          <w:rFonts w:ascii="仿宋" w:hAnsi="仿宋" w:eastAsia="仿宋"/>
        </w:rPr>
        <w:t>信息披露</w:t>
      </w:r>
      <w:r>
        <w:rPr>
          <w:rFonts w:hint="eastAsia" w:ascii="仿宋" w:hAnsi="仿宋" w:eastAsia="仿宋"/>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w:t>
      </w:r>
      <w:r>
        <w:rPr>
          <w:rFonts w:hint="eastAsia" w:ascii="仿宋" w:hAnsi="仿宋" w:eastAsia="仿宋" w:cs="宋体"/>
          <w:b/>
          <w:bCs/>
          <w:kern w:val="0"/>
          <w:sz w:val="24"/>
        </w:rPr>
        <w:t>其中，对于华夏理财增加费用名目、提高收费标准等对投资者利益产生实质不利影响的情形，投资者如不接受，可按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三</w:t>
      </w:r>
      <w:r>
        <w:rPr>
          <w:rFonts w:ascii="仿宋" w:hAnsi="仿宋" w:eastAsia="仿宋"/>
        </w:rPr>
        <w:t>）</w:t>
      </w:r>
      <w:r>
        <w:rPr>
          <w:rFonts w:hint="eastAsia" w:ascii="仿宋" w:hAnsi="仿宋" w:eastAsia="仿宋"/>
        </w:rPr>
        <w:t>管理人</w:t>
      </w:r>
      <w:r>
        <w:rPr>
          <w:rFonts w:ascii="仿宋" w:hAnsi="仿宋" w:eastAsia="仿宋"/>
        </w:rPr>
        <w:t>信息披露</w:t>
      </w:r>
      <w:r>
        <w:rPr>
          <w:rFonts w:hint="eastAsia" w:ascii="仿宋" w:hAnsi="仿宋" w:eastAsia="仿宋"/>
        </w:rPr>
        <w:t>的方式</w:t>
      </w:r>
      <w:r>
        <w:rPr>
          <w:rFonts w:ascii="仿宋" w:hAnsi="仿宋" w:eastAsia="仿宋"/>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（四）投资者关于信息披露的确认</w:t>
      </w:r>
    </w:p>
    <w:p>
      <w:pPr>
        <w:spacing w:after="156" w:afterLines="50" w:line="276" w:lineRule="auto"/>
        <w:ind w:firstLine="480"/>
        <w:contextualSpacing/>
        <w:rPr>
          <w:rFonts w:eastAsia="黑体"/>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bCs/>
          <w:sz w:val="24"/>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panose1 w:val="00000000000000000000"/>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31EDCD"/>
    <w:multiLevelType w:val="singleLevel"/>
    <w:tmpl w:val="6531EDCD"/>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72A27"/>
    <w:rsid w:val="00002DCA"/>
    <w:rsid w:val="0000532D"/>
    <w:rsid w:val="00020F81"/>
    <w:rsid w:val="0004783E"/>
    <w:rsid w:val="00063561"/>
    <w:rsid w:val="00064D76"/>
    <w:rsid w:val="000713E1"/>
    <w:rsid w:val="000805E4"/>
    <w:rsid w:val="000A3C07"/>
    <w:rsid w:val="000B2313"/>
    <w:rsid w:val="000B32CF"/>
    <w:rsid w:val="000C6CF0"/>
    <w:rsid w:val="000D002A"/>
    <w:rsid w:val="000D7DE2"/>
    <w:rsid w:val="000E195A"/>
    <w:rsid w:val="000E7817"/>
    <w:rsid w:val="000F0804"/>
    <w:rsid w:val="00111D14"/>
    <w:rsid w:val="001260F4"/>
    <w:rsid w:val="001318D7"/>
    <w:rsid w:val="00141481"/>
    <w:rsid w:val="001423F3"/>
    <w:rsid w:val="00146323"/>
    <w:rsid w:val="00170760"/>
    <w:rsid w:val="00172A27"/>
    <w:rsid w:val="001B29E5"/>
    <w:rsid w:val="001E22CF"/>
    <w:rsid w:val="001E4307"/>
    <w:rsid w:val="001F6E3A"/>
    <w:rsid w:val="00214B23"/>
    <w:rsid w:val="0022758F"/>
    <w:rsid w:val="00227F2A"/>
    <w:rsid w:val="00294355"/>
    <w:rsid w:val="002A2967"/>
    <w:rsid w:val="002A2FEF"/>
    <w:rsid w:val="002E7F9D"/>
    <w:rsid w:val="00311EF5"/>
    <w:rsid w:val="00317320"/>
    <w:rsid w:val="00351C38"/>
    <w:rsid w:val="00365E5C"/>
    <w:rsid w:val="003923B3"/>
    <w:rsid w:val="003B2A65"/>
    <w:rsid w:val="003B5F8B"/>
    <w:rsid w:val="003C2EBD"/>
    <w:rsid w:val="003D55AF"/>
    <w:rsid w:val="003D65A8"/>
    <w:rsid w:val="003E4BEB"/>
    <w:rsid w:val="003E7186"/>
    <w:rsid w:val="003F4E18"/>
    <w:rsid w:val="003F6114"/>
    <w:rsid w:val="004021F4"/>
    <w:rsid w:val="0044086D"/>
    <w:rsid w:val="00462536"/>
    <w:rsid w:val="004734C8"/>
    <w:rsid w:val="00494748"/>
    <w:rsid w:val="004A15DE"/>
    <w:rsid w:val="004A2A5F"/>
    <w:rsid w:val="004C4084"/>
    <w:rsid w:val="004E60FD"/>
    <w:rsid w:val="004E7D97"/>
    <w:rsid w:val="004F4E81"/>
    <w:rsid w:val="004F648F"/>
    <w:rsid w:val="005016FC"/>
    <w:rsid w:val="005114E6"/>
    <w:rsid w:val="00512B7C"/>
    <w:rsid w:val="00516401"/>
    <w:rsid w:val="00557AC8"/>
    <w:rsid w:val="005604F6"/>
    <w:rsid w:val="00560CC1"/>
    <w:rsid w:val="005727C8"/>
    <w:rsid w:val="005C08EC"/>
    <w:rsid w:val="005F66E4"/>
    <w:rsid w:val="00601E1F"/>
    <w:rsid w:val="006075D0"/>
    <w:rsid w:val="00613BD1"/>
    <w:rsid w:val="00650968"/>
    <w:rsid w:val="00656FE9"/>
    <w:rsid w:val="0066020C"/>
    <w:rsid w:val="00667B5F"/>
    <w:rsid w:val="00670595"/>
    <w:rsid w:val="00677437"/>
    <w:rsid w:val="00681E3A"/>
    <w:rsid w:val="0068328B"/>
    <w:rsid w:val="006860DD"/>
    <w:rsid w:val="0069073D"/>
    <w:rsid w:val="006915E0"/>
    <w:rsid w:val="006D3A14"/>
    <w:rsid w:val="006E0E9D"/>
    <w:rsid w:val="006E742E"/>
    <w:rsid w:val="006F119A"/>
    <w:rsid w:val="006F13D3"/>
    <w:rsid w:val="00712CC7"/>
    <w:rsid w:val="00714E33"/>
    <w:rsid w:val="007311CA"/>
    <w:rsid w:val="00734D46"/>
    <w:rsid w:val="0076606B"/>
    <w:rsid w:val="00777429"/>
    <w:rsid w:val="007815CF"/>
    <w:rsid w:val="00792744"/>
    <w:rsid w:val="007D5695"/>
    <w:rsid w:val="007F32C1"/>
    <w:rsid w:val="00807591"/>
    <w:rsid w:val="008277B6"/>
    <w:rsid w:val="008340D5"/>
    <w:rsid w:val="00836CF0"/>
    <w:rsid w:val="00843345"/>
    <w:rsid w:val="00846F1F"/>
    <w:rsid w:val="008505CE"/>
    <w:rsid w:val="00852D93"/>
    <w:rsid w:val="00863612"/>
    <w:rsid w:val="00887E73"/>
    <w:rsid w:val="008D19F3"/>
    <w:rsid w:val="008D5335"/>
    <w:rsid w:val="008D5F85"/>
    <w:rsid w:val="008E0C40"/>
    <w:rsid w:val="008E628E"/>
    <w:rsid w:val="008F10DC"/>
    <w:rsid w:val="008F6891"/>
    <w:rsid w:val="00902123"/>
    <w:rsid w:val="00916782"/>
    <w:rsid w:val="00930217"/>
    <w:rsid w:val="00971A91"/>
    <w:rsid w:val="00972105"/>
    <w:rsid w:val="00991FA8"/>
    <w:rsid w:val="009A3572"/>
    <w:rsid w:val="009C0A85"/>
    <w:rsid w:val="009C4B76"/>
    <w:rsid w:val="009C5840"/>
    <w:rsid w:val="009E3137"/>
    <w:rsid w:val="009E6D89"/>
    <w:rsid w:val="009F0D25"/>
    <w:rsid w:val="009F1CB5"/>
    <w:rsid w:val="00A25440"/>
    <w:rsid w:val="00A33474"/>
    <w:rsid w:val="00A51A90"/>
    <w:rsid w:val="00A547BE"/>
    <w:rsid w:val="00A87692"/>
    <w:rsid w:val="00A93593"/>
    <w:rsid w:val="00A978E7"/>
    <w:rsid w:val="00AA15B6"/>
    <w:rsid w:val="00AA7D8A"/>
    <w:rsid w:val="00AD7FE0"/>
    <w:rsid w:val="00AE07B3"/>
    <w:rsid w:val="00AE1B0B"/>
    <w:rsid w:val="00AE26B5"/>
    <w:rsid w:val="00AE7F75"/>
    <w:rsid w:val="00AF3F07"/>
    <w:rsid w:val="00B22A7A"/>
    <w:rsid w:val="00B47C68"/>
    <w:rsid w:val="00B5695A"/>
    <w:rsid w:val="00BA2B7F"/>
    <w:rsid w:val="00BA77A8"/>
    <w:rsid w:val="00BB3661"/>
    <w:rsid w:val="00BB4269"/>
    <w:rsid w:val="00BC4B7F"/>
    <w:rsid w:val="00BE076D"/>
    <w:rsid w:val="00BE4A47"/>
    <w:rsid w:val="00C00313"/>
    <w:rsid w:val="00C04074"/>
    <w:rsid w:val="00C04B81"/>
    <w:rsid w:val="00C33E4C"/>
    <w:rsid w:val="00CD5A26"/>
    <w:rsid w:val="00CE50FA"/>
    <w:rsid w:val="00D04171"/>
    <w:rsid w:val="00D04582"/>
    <w:rsid w:val="00D06C20"/>
    <w:rsid w:val="00D316BA"/>
    <w:rsid w:val="00D3392B"/>
    <w:rsid w:val="00D34745"/>
    <w:rsid w:val="00D55F86"/>
    <w:rsid w:val="00D65353"/>
    <w:rsid w:val="00D8696C"/>
    <w:rsid w:val="00D919BF"/>
    <w:rsid w:val="00DC3F67"/>
    <w:rsid w:val="00DD0C1D"/>
    <w:rsid w:val="00DE02F1"/>
    <w:rsid w:val="00DE2987"/>
    <w:rsid w:val="00E46D53"/>
    <w:rsid w:val="00E67222"/>
    <w:rsid w:val="00E80727"/>
    <w:rsid w:val="00E8155A"/>
    <w:rsid w:val="00E816F5"/>
    <w:rsid w:val="00E82284"/>
    <w:rsid w:val="00E879FF"/>
    <w:rsid w:val="00E95A0F"/>
    <w:rsid w:val="00EA3D6E"/>
    <w:rsid w:val="00EE7A2F"/>
    <w:rsid w:val="00F17ED8"/>
    <w:rsid w:val="00F37C88"/>
    <w:rsid w:val="00F444A8"/>
    <w:rsid w:val="00F5357A"/>
    <w:rsid w:val="00F55B95"/>
    <w:rsid w:val="00F56D69"/>
    <w:rsid w:val="00F9415B"/>
    <w:rsid w:val="00FC1677"/>
    <w:rsid w:val="00FD2903"/>
    <w:rsid w:val="00FE1291"/>
    <w:rsid w:val="00FE482B"/>
    <w:rsid w:val="00FF56AD"/>
    <w:rsid w:val="018D5F51"/>
    <w:rsid w:val="01DC7EE3"/>
    <w:rsid w:val="01EB6FEC"/>
    <w:rsid w:val="020578AC"/>
    <w:rsid w:val="02377743"/>
    <w:rsid w:val="026A609C"/>
    <w:rsid w:val="03357777"/>
    <w:rsid w:val="03C00FC5"/>
    <w:rsid w:val="03DB06FE"/>
    <w:rsid w:val="046E56D3"/>
    <w:rsid w:val="049D2AC6"/>
    <w:rsid w:val="04B16B62"/>
    <w:rsid w:val="05215177"/>
    <w:rsid w:val="054369B0"/>
    <w:rsid w:val="06106106"/>
    <w:rsid w:val="06490B74"/>
    <w:rsid w:val="06996718"/>
    <w:rsid w:val="06E52844"/>
    <w:rsid w:val="07026ACD"/>
    <w:rsid w:val="08961A5A"/>
    <w:rsid w:val="08A96CC2"/>
    <w:rsid w:val="08D03FC7"/>
    <w:rsid w:val="0A0F44CD"/>
    <w:rsid w:val="0AA97A8C"/>
    <w:rsid w:val="0B047D48"/>
    <w:rsid w:val="0B9C5D9B"/>
    <w:rsid w:val="0BA27F6B"/>
    <w:rsid w:val="0C024483"/>
    <w:rsid w:val="0C510FA4"/>
    <w:rsid w:val="0C53265C"/>
    <w:rsid w:val="0C9E5955"/>
    <w:rsid w:val="0D4C0E51"/>
    <w:rsid w:val="0D511F69"/>
    <w:rsid w:val="0D5A24E8"/>
    <w:rsid w:val="0DC52C23"/>
    <w:rsid w:val="0DD002B9"/>
    <w:rsid w:val="0DF70178"/>
    <w:rsid w:val="0E3C3C0F"/>
    <w:rsid w:val="0E966946"/>
    <w:rsid w:val="0EE542A1"/>
    <w:rsid w:val="0F0E3C1D"/>
    <w:rsid w:val="0F2862EC"/>
    <w:rsid w:val="0F2F40E2"/>
    <w:rsid w:val="0F7F397E"/>
    <w:rsid w:val="0F806FD5"/>
    <w:rsid w:val="0FE53808"/>
    <w:rsid w:val="105D61FB"/>
    <w:rsid w:val="10AF5991"/>
    <w:rsid w:val="117C0D4E"/>
    <w:rsid w:val="11BB3DB9"/>
    <w:rsid w:val="11D21B30"/>
    <w:rsid w:val="123B658C"/>
    <w:rsid w:val="12822D5D"/>
    <w:rsid w:val="12AD4D73"/>
    <w:rsid w:val="12C45FA4"/>
    <w:rsid w:val="12CD4972"/>
    <w:rsid w:val="12FA2A1E"/>
    <w:rsid w:val="12FB08EA"/>
    <w:rsid w:val="13B35082"/>
    <w:rsid w:val="142741A0"/>
    <w:rsid w:val="149D64EC"/>
    <w:rsid w:val="14F661AC"/>
    <w:rsid w:val="14FD2EFF"/>
    <w:rsid w:val="152A1DB0"/>
    <w:rsid w:val="155D4436"/>
    <w:rsid w:val="1637208E"/>
    <w:rsid w:val="16457F02"/>
    <w:rsid w:val="1675525F"/>
    <w:rsid w:val="169510B8"/>
    <w:rsid w:val="16B5042D"/>
    <w:rsid w:val="16DD4AF1"/>
    <w:rsid w:val="174C5C47"/>
    <w:rsid w:val="178D27B4"/>
    <w:rsid w:val="180A32C2"/>
    <w:rsid w:val="182014A2"/>
    <w:rsid w:val="18294E04"/>
    <w:rsid w:val="1892050E"/>
    <w:rsid w:val="18967A67"/>
    <w:rsid w:val="18D80C51"/>
    <w:rsid w:val="18EE0BF6"/>
    <w:rsid w:val="18FF0F1B"/>
    <w:rsid w:val="198557BA"/>
    <w:rsid w:val="19CE04CC"/>
    <w:rsid w:val="1A707A6D"/>
    <w:rsid w:val="1A7D6D25"/>
    <w:rsid w:val="1A816486"/>
    <w:rsid w:val="1A893942"/>
    <w:rsid w:val="1A907FA2"/>
    <w:rsid w:val="1AD533CC"/>
    <w:rsid w:val="1B5F5984"/>
    <w:rsid w:val="1BA64FD1"/>
    <w:rsid w:val="1BBC5A18"/>
    <w:rsid w:val="1BC627CF"/>
    <w:rsid w:val="1BE97487"/>
    <w:rsid w:val="1C6357AF"/>
    <w:rsid w:val="1CAC5E2B"/>
    <w:rsid w:val="1CDF5587"/>
    <w:rsid w:val="1CF10D78"/>
    <w:rsid w:val="1D023468"/>
    <w:rsid w:val="1D0736D5"/>
    <w:rsid w:val="1D5D728B"/>
    <w:rsid w:val="1D795BF8"/>
    <w:rsid w:val="1E356AFA"/>
    <w:rsid w:val="1E724912"/>
    <w:rsid w:val="1E7F770F"/>
    <w:rsid w:val="1E8F70B8"/>
    <w:rsid w:val="1E936936"/>
    <w:rsid w:val="1F4F61EE"/>
    <w:rsid w:val="1F527064"/>
    <w:rsid w:val="204A0870"/>
    <w:rsid w:val="204C73E3"/>
    <w:rsid w:val="20740963"/>
    <w:rsid w:val="20C822D8"/>
    <w:rsid w:val="21B36B87"/>
    <w:rsid w:val="21FA0627"/>
    <w:rsid w:val="220D5EC8"/>
    <w:rsid w:val="22220369"/>
    <w:rsid w:val="223431B1"/>
    <w:rsid w:val="223A7FB3"/>
    <w:rsid w:val="22A15AE0"/>
    <w:rsid w:val="22C149FC"/>
    <w:rsid w:val="22F1518B"/>
    <w:rsid w:val="238C25BD"/>
    <w:rsid w:val="246A62AE"/>
    <w:rsid w:val="24A91031"/>
    <w:rsid w:val="2540580E"/>
    <w:rsid w:val="254A0B53"/>
    <w:rsid w:val="25665B19"/>
    <w:rsid w:val="25E72FA7"/>
    <w:rsid w:val="273147E4"/>
    <w:rsid w:val="27487015"/>
    <w:rsid w:val="27A05C6E"/>
    <w:rsid w:val="27A50231"/>
    <w:rsid w:val="27A506F6"/>
    <w:rsid w:val="27DC5671"/>
    <w:rsid w:val="28347384"/>
    <w:rsid w:val="287A4275"/>
    <w:rsid w:val="29711978"/>
    <w:rsid w:val="298634AE"/>
    <w:rsid w:val="2A567387"/>
    <w:rsid w:val="2AC21136"/>
    <w:rsid w:val="2AED21E9"/>
    <w:rsid w:val="2B3649F4"/>
    <w:rsid w:val="2B4675FA"/>
    <w:rsid w:val="2BB602C5"/>
    <w:rsid w:val="2BC67352"/>
    <w:rsid w:val="2BD85FC4"/>
    <w:rsid w:val="2BF50AB4"/>
    <w:rsid w:val="2C1C5AFD"/>
    <w:rsid w:val="2C4A3CAE"/>
    <w:rsid w:val="2C7E551B"/>
    <w:rsid w:val="2C9021AC"/>
    <w:rsid w:val="2CC66E03"/>
    <w:rsid w:val="2CDB7E63"/>
    <w:rsid w:val="2D434FF8"/>
    <w:rsid w:val="2DA05DCE"/>
    <w:rsid w:val="2E410428"/>
    <w:rsid w:val="2EC208DF"/>
    <w:rsid w:val="2F223C18"/>
    <w:rsid w:val="2F401A95"/>
    <w:rsid w:val="2F517C68"/>
    <w:rsid w:val="2F854CC7"/>
    <w:rsid w:val="2FDD2BC4"/>
    <w:rsid w:val="2FF679D7"/>
    <w:rsid w:val="3058472F"/>
    <w:rsid w:val="30653C55"/>
    <w:rsid w:val="307C6D47"/>
    <w:rsid w:val="30B93C1E"/>
    <w:rsid w:val="30F83A0E"/>
    <w:rsid w:val="320C78A0"/>
    <w:rsid w:val="322D4AD1"/>
    <w:rsid w:val="3235704A"/>
    <w:rsid w:val="32726967"/>
    <w:rsid w:val="329A0B6A"/>
    <w:rsid w:val="329D05C7"/>
    <w:rsid w:val="32C642E9"/>
    <w:rsid w:val="32D2088E"/>
    <w:rsid w:val="32E479BE"/>
    <w:rsid w:val="332573C9"/>
    <w:rsid w:val="3375578E"/>
    <w:rsid w:val="33F3040F"/>
    <w:rsid w:val="34854AB1"/>
    <w:rsid w:val="34A63F82"/>
    <w:rsid w:val="34BF4198"/>
    <w:rsid w:val="350A7012"/>
    <w:rsid w:val="360161F0"/>
    <w:rsid w:val="36050641"/>
    <w:rsid w:val="361F6B5B"/>
    <w:rsid w:val="36365F0F"/>
    <w:rsid w:val="365C6B3D"/>
    <w:rsid w:val="369F292C"/>
    <w:rsid w:val="372651A6"/>
    <w:rsid w:val="379A4E61"/>
    <w:rsid w:val="37AC5C27"/>
    <w:rsid w:val="382265A3"/>
    <w:rsid w:val="385467B2"/>
    <w:rsid w:val="386B45BC"/>
    <w:rsid w:val="387A56B5"/>
    <w:rsid w:val="39223F50"/>
    <w:rsid w:val="394C6E9C"/>
    <w:rsid w:val="39915230"/>
    <w:rsid w:val="39A47D94"/>
    <w:rsid w:val="39B533F4"/>
    <w:rsid w:val="39CD5E4B"/>
    <w:rsid w:val="3A166DB1"/>
    <w:rsid w:val="3A6464DA"/>
    <w:rsid w:val="3ADD5052"/>
    <w:rsid w:val="3B0504AA"/>
    <w:rsid w:val="3B0D1F3F"/>
    <w:rsid w:val="3B35691C"/>
    <w:rsid w:val="3B376401"/>
    <w:rsid w:val="3B8B78CF"/>
    <w:rsid w:val="3BE5682B"/>
    <w:rsid w:val="3C345451"/>
    <w:rsid w:val="3C691FB2"/>
    <w:rsid w:val="3CD93877"/>
    <w:rsid w:val="3D1957A0"/>
    <w:rsid w:val="3D3B3330"/>
    <w:rsid w:val="3D794D6C"/>
    <w:rsid w:val="3D896A63"/>
    <w:rsid w:val="3EB035E6"/>
    <w:rsid w:val="3F996600"/>
    <w:rsid w:val="401A73E5"/>
    <w:rsid w:val="40270632"/>
    <w:rsid w:val="40897331"/>
    <w:rsid w:val="41084885"/>
    <w:rsid w:val="41204B42"/>
    <w:rsid w:val="413B574D"/>
    <w:rsid w:val="41637739"/>
    <w:rsid w:val="41A75327"/>
    <w:rsid w:val="42503F0E"/>
    <w:rsid w:val="42511776"/>
    <w:rsid w:val="425C3FD4"/>
    <w:rsid w:val="42726493"/>
    <w:rsid w:val="43A6660D"/>
    <w:rsid w:val="44C2436C"/>
    <w:rsid w:val="44D90650"/>
    <w:rsid w:val="45225B34"/>
    <w:rsid w:val="454247FC"/>
    <w:rsid w:val="456B1E84"/>
    <w:rsid w:val="45905D94"/>
    <w:rsid w:val="45937A12"/>
    <w:rsid w:val="45AB7274"/>
    <w:rsid w:val="45C2437E"/>
    <w:rsid w:val="46247283"/>
    <w:rsid w:val="464740FB"/>
    <w:rsid w:val="466B4F36"/>
    <w:rsid w:val="46945BA3"/>
    <w:rsid w:val="469C1860"/>
    <w:rsid w:val="48100387"/>
    <w:rsid w:val="48636ED0"/>
    <w:rsid w:val="489F1960"/>
    <w:rsid w:val="48AD6D6F"/>
    <w:rsid w:val="492F3120"/>
    <w:rsid w:val="49866A44"/>
    <w:rsid w:val="4A646C71"/>
    <w:rsid w:val="4A73155F"/>
    <w:rsid w:val="4A974BFD"/>
    <w:rsid w:val="4B041272"/>
    <w:rsid w:val="4B9A6CD9"/>
    <w:rsid w:val="4CC42E4B"/>
    <w:rsid w:val="4CD55DF0"/>
    <w:rsid w:val="4DA41B7F"/>
    <w:rsid w:val="4DED30E6"/>
    <w:rsid w:val="4E006899"/>
    <w:rsid w:val="4E4604CC"/>
    <w:rsid w:val="4E6B607B"/>
    <w:rsid w:val="4E7E67D5"/>
    <w:rsid w:val="4E834167"/>
    <w:rsid w:val="4EE704C2"/>
    <w:rsid w:val="500E145A"/>
    <w:rsid w:val="500E49CD"/>
    <w:rsid w:val="500F1CD5"/>
    <w:rsid w:val="50B507A1"/>
    <w:rsid w:val="50F30A3E"/>
    <w:rsid w:val="511D25A1"/>
    <w:rsid w:val="5143646D"/>
    <w:rsid w:val="51695710"/>
    <w:rsid w:val="51A36407"/>
    <w:rsid w:val="51D60B75"/>
    <w:rsid w:val="51D91B25"/>
    <w:rsid w:val="51DA4F03"/>
    <w:rsid w:val="5202225E"/>
    <w:rsid w:val="521557F3"/>
    <w:rsid w:val="52C77658"/>
    <w:rsid w:val="52DB0D77"/>
    <w:rsid w:val="538C26A5"/>
    <w:rsid w:val="53BF0718"/>
    <w:rsid w:val="54C77260"/>
    <w:rsid w:val="56423C8E"/>
    <w:rsid w:val="56444969"/>
    <w:rsid w:val="56516960"/>
    <w:rsid w:val="57176092"/>
    <w:rsid w:val="57262273"/>
    <w:rsid w:val="575C7B62"/>
    <w:rsid w:val="57DD0263"/>
    <w:rsid w:val="58083A83"/>
    <w:rsid w:val="581B10FA"/>
    <w:rsid w:val="582156EE"/>
    <w:rsid w:val="58427747"/>
    <w:rsid w:val="58B94C78"/>
    <w:rsid w:val="58BB4CDB"/>
    <w:rsid w:val="58F96B51"/>
    <w:rsid w:val="59685B0E"/>
    <w:rsid w:val="59AD702D"/>
    <w:rsid w:val="59D14CC4"/>
    <w:rsid w:val="59EF730D"/>
    <w:rsid w:val="59FF73A2"/>
    <w:rsid w:val="5A945937"/>
    <w:rsid w:val="5AA340C2"/>
    <w:rsid w:val="5AB6501F"/>
    <w:rsid w:val="5B8F2FBA"/>
    <w:rsid w:val="5B9E1D5B"/>
    <w:rsid w:val="5BCB323C"/>
    <w:rsid w:val="5CC83D65"/>
    <w:rsid w:val="5D1A20AD"/>
    <w:rsid w:val="5D790E7F"/>
    <w:rsid w:val="5D885D8B"/>
    <w:rsid w:val="5DC24B3C"/>
    <w:rsid w:val="5DC63A4E"/>
    <w:rsid w:val="5DED53D1"/>
    <w:rsid w:val="5E1B7959"/>
    <w:rsid w:val="5EAD142E"/>
    <w:rsid w:val="5EF76013"/>
    <w:rsid w:val="5EFE5A8B"/>
    <w:rsid w:val="5F3F3BFD"/>
    <w:rsid w:val="5F7071A8"/>
    <w:rsid w:val="5FC6181B"/>
    <w:rsid w:val="60066955"/>
    <w:rsid w:val="600B7B81"/>
    <w:rsid w:val="601211DC"/>
    <w:rsid w:val="60292197"/>
    <w:rsid w:val="610C5CC5"/>
    <w:rsid w:val="612829F8"/>
    <w:rsid w:val="619A0DA9"/>
    <w:rsid w:val="61C43619"/>
    <w:rsid w:val="62060BAA"/>
    <w:rsid w:val="6210426E"/>
    <w:rsid w:val="62126C3A"/>
    <w:rsid w:val="62325267"/>
    <w:rsid w:val="63510BEE"/>
    <w:rsid w:val="637E758B"/>
    <w:rsid w:val="638119A8"/>
    <w:rsid w:val="642D51FD"/>
    <w:rsid w:val="64312382"/>
    <w:rsid w:val="644E4B1D"/>
    <w:rsid w:val="64651B49"/>
    <w:rsid w:val="648C2CC5"/>
    <w:rsid w:val="64A11C37"/>
    <w:rsid w:val="64A55F1E"/>
    <w:rsid w:val="64BA04E0"/>
    <w:rsid w:val="652C5EC9"/>
    <w:rsid w:val="65353764"/>
    <w:rsid w:val="657171FE"/>
    <w:rsid w:val="65A12701"/>
    <w:rsid w:val="65A46AEA"/>
    <w:rsid w:val="65EC5F0A"/>
    <w:rsid w:val="65EE67C8"/>
    <w:rsid w:val="66EC4D96"/>
    <w:rsid w:val="6736101B"/>
    <w:rsid w:val="67A23C8E"/>
    <w:rsid w:val="68370CCC"/>
    <w:rsid w:val="68454880"/>
    <w:rsid w:val="684D7DEF"/>
    <w:rsid w:val="68585ADF"/>
    <w:rsid w:val="68A77809"/>
    <w:rsid w:val="68C94029"/>
    <w:rsid w:val="68E95002"/>
    <w:rsid w:val="68F660B3"/>
    <w:rsid w:val="692554F6"/>
    <w:rsid w:val="695217DC"/>
    <w:rsid w:val="69923628"/>
    <w:rsid w:val="69C37032"/>
    <w:rsid w:val="69DF13A6"/>
    <w:rsid w:val="6A2C55E6"/>
    <w:rsid w:val="6A5034F9"/>
    <w:rsid w:val="6AFC54E5"/>
    <w:rsid w:val="6B2F26F6"/>
    <w:rsid w:val="6B570828"/>
    <w:rsid w:val="6B895F90"/>
    <w:rsid w:val="6BD916EE"/>
    <w:rsid w:val="6BF803B2"/>
    <w:rsid w:val="6C2514C3"/>
    <w:rsid w:val="6CCA1A7F"/>
    <w:rsid w:val="6CCA2908"/>
    <w:rsid w:val="6D966B59"/>
    <w:rsid w:val="6DD3641A"/>
    <w:rsid w:val="6E035291"/>
    <w:rsid w:val="6E1206A4"/>
    <w:rsid w:val="6E5A3D7E"/>
    <w:rsid w:val="6FC85320"/>
    <w:rsid w:val="6FDB28A3"/>
    <w:rsid w:val="6FE32862"/>
    <w:rsid w:val="703933A1"/>
    <w:rsid w:val="70AA0758"/>
    <w:rsid w:val="70B61502"/>
    <w:rsid w:val="70CE17C7"/>
    <w:rsid w:val="70F5166C"/>
    <w:rsid w:val="71981EC0"/>
    <w:rsid w:val="71EF5ACB"/>
    <w:rsid w:val="72145BFB"/>
    <w:rsid w:val="722B706A"/>
    <w:rsid w:val="723369CC"/>
    <w:rsid w:val="723B233B"/>
    <w:rsid w:val="724F5D5C"/>
    <w:rsid w:val="72595DB6"/>
    <w:rsid w:val="72850EF0"/>
    <w:rsid w:val="728E0A16"/>
    <w:rsid w:val="729371FE"/>
    <w:rsid w:val="72C43ABF"/>
    <w:rsid w:val="72E929DE"/>
    <w:rsid w:val="72EF2B1D"/>
    <w:rsid w:val="73655FDF"/>
    <w:rsid w:val="738D015F"/>
    <w:rsid w:val="73990B03"/>
    <w:rsid w:val="73A15E73"/>
    <w:rsid w:val="745751F5"/>
    <w:rsid w:val="74892FD1"/>
    <w:rsid w:val="74CF7316"/>
    <w:rsid w:val="74FB18F9"/>
    <w:rsid w:val="75616560"/>
    <w:rsid w:val="75E158E8"/>
    <w:rsid w:val="75F80517"/>
    <w:rsid w:val="769C48A8"/>
    <w:rsid w:val="76C57715"/>
    <w:rsid w:val="771479EA"/>
    <w:rsid w:val="771C35A1"/>
    <w:rsid w:val="77A03719"/>
    <w:rsid w:val="78223427"/>
    <w:rsid w:val="789923C9"/>
    <w:rsid w:val="78A4259B"/>
    <w:rsid w:val="78C31CAF"/>
    <w:rsid w:val="78C3642C"/>
    <w:rsid w:val="78CE6E70"/>
    <w:rsid w:val="78FC6178"/>
    <w:rsid w:val="795B3486"/>
    <w:rsid w:val="79B75ECC"/>
    <w:rsid w:val="79E45FD6"/>
    <w:rsid w:val="7A52270E"/>
    <w:rsid w:val="7AD0105B"/>
    <w:rsid w:val="7AF92581"/>
    <w:rsid w:val="7B044A15"/>
    <w:rsid w:val="7B170E00"/>
    <w:rsid w:val="7B3057E8"/>
    <w:rsid w:val="7B3A013A"/>
    <w:rsid w:val="7B471A04"/>
    <w:rsid w:val="7B655D19"/>
    <w:rsid w:val="7C214BB4"/>
    <w:rsid w:val="7C721F5F"/>
    <w:rsid w:val="7C7D36C4"/>
    <w:rsid w:val="7D197A3B"/>
    <w:rsid w:val="7D1F7EDB"/>
    <w:rsid w:val="7D3707EB"/>
    <w:rsid w:val="7D5070A0"/>
    <w:rsid w:val="7D772F67"/>
    <w:rsid w:val="7DAC4B36"/>
    <w:rsid w:val="7E431677"/>
    <w:rsid w:val="7E5572E2"/>
    <w:rsid w:val="7E9A3A0C"/>
    <w:rsid w:val="7ED67996"/>
    <w:rsid w:val="7F116F65"/>
    <w:rsid w:val="7F516160"/>
    <w:rsid w:val="7F976FF4"/>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style>
  <w:style w:type="character" w:styleId="15">
    <w:name w:val="Emphasis"/>
    <w:qFormat/>
    <w:uiPriority w:val="0"/>
  </w:style>
  <w:style w:type="character" w:styleId="16">
    <w:name w:val="HTML Definition"/>
    <w:qFormat/>
    <w:uiPriority w:val="0"/>
  </w:style>
  <w:style w:type="character" w:styleId="17">
    <w:name w:val="HTML Acronym"/>
    <w:basedOn w:val="13"/>
    <w:qFormat/>
    <w:uiPriority w:val="0"/>
  </w:style>
  <w:style w:type="character" w:styleId="18">
    <w:name w:val="HTML Variable"/>
    <w:qFormat/>
    <w:uiPriority w:val="0"/>
  </w:style>
  <w:style w:type="character" w:styleId="19">
    <w:name w:val="HTML Code"/>
    <w:qFormat/>
    <w:uiPriority w:val="0"/>
    <w:rPr>
      <w:rFonts w:ascii="Courier New" w:hAnsi="Courier New"/>
      <w:sz w:val="20"/>
      <w:shd w:val="clear" w:color="auto" w:fill="FFFFFF"/>
    </w:rPr>
  </w:style>
  <w:style w:type="character" w:styleId="20">
    <w:name w:val="HTML Cite"/>
    <w:qFormat/>
    <w:uiPriority w:val="0"/>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2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3">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4">
    <w:name w:val="p0"/>
    <w:basedOn w:val="1"/>
    <w:qFormat/>
    <w:uiPriority w:val="0"/>
    <w:pPr>
      <w:widowControl/>
    </w:pPr>
    <w:rPr>
      <w:kern w:val="0"/>
      <w:szCs w:val="21"/>
    </w:rPr>
  </w:style>
  <w:style w:type="character" w:customStyle="1" w:styleId="25">
    <w:name w:val="leftmenu-morenav"/>
    <w:basedOn w:val="13"/>
    <w:qFormat/>
    <w:uiPriority w:val="0"/>
  </w:style>
  <w:style w:type="character" w:customStyle="1" w:styleId="26">
    <w:name w:val="disabled"/>
    <w:qFormat/>
    <w:uiPriority w:val="0"/>
    <w:rPr>
      <w:color w:val="CCCCCC"/>
      <w:bdr w:val="single" w:color="CCCCCC" w:sz="6" w:space="0"/>
    </w:rPr>
  </w:style>
  <w:style w:type="character" w:customStyle="1" w:styleId="27">
    <w:name w:val="font11"/>
    <w:qFormat/>
    <w:uiPriority w:val="0"/>
    <w:rPr>
      <w:rFonts w:hint="default" w:ascii="微软简仿宋" w:hAnsi="微软简仿宋" w:eastAsia="微软简仿宋" w:cs="微软简仿宋"/>
      <w:color w:val="000000"/>
      <w:sz w:val="24"/>
      <w:szCs w:val="24"/>
      <w:u w:val="none"/>
    </w:rPr>
  </w:style>
  <w:style w:type="character" w:customStyle="1" w:styleId="28">
    <w:name w:val="current"/>
    <w:qFormat/>
    <w:uiPriority w:val="0"/>
    <w:rPr>
      <w:color w:val="FFFFFF"/>
      <w:bdr w:val="single" w:color="8DB5D7" w:sz="6" w:space="0"/>
      <w:shd w:val="clear" w:color="auto" w:fill="0080FF"/>
    </w:rPr>
  </w:style>
  <w:style w:type="character" w:customStyle="1" w:styleId="29">
    <w:name w:val="font51"/>
    <w:qFormat/>
    <w:uiPriority w:val="0"/>
    <w:rPr>
      <w:rFonts w:hint="default" w:ascii="Times New Roman" w:hAnsi="Times New Roman" w:cs="Times New Roman"/>
      <w:color w:val="000000"/>
      <w:sz w:val="24"/>
      <w:szCs w:val="24"/>
      <w:u w:val="none"/>
    </w:rPr>
  </w:style>
  <w:style w:type="character" w:customStyle="1" w:styleId="30">
    <w:name w:val="font81"/>
    <w:qFormat/>
    <w:uiPriority w:val="0"/>
    <w:rPr>
      <w:rFonts w:hint="default" w:ascii="微软简仿宋" w:hAnsi="微软简仿宋" w:eastAsia="微软简仿宋" w:cs="微软简仿宋"/>
      <w:color w:val="000000"/>
      <w:sz w:val="24"/>
      <w:szCs w:val="24"/>
      <w:u w:val="none"/>
    </w:rPr>
  </w:style>
  <w:style w:type="character" w:customStyle="1" w:styleId="31">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19</Pages>
  <Words>18183</Words>
  <Characters>18762</Characters>
  <Lines>138</Lines>
  <Paragraphs>38</Paragraphs>
  <TotalTime>3</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2022-12-28T12:32:00Z</dcterms:created>
  <dc:creator>ylh</dc:creator>
  <cp:keywords>新版;22-12-28</cp:keywords>
  <cp:lastModifiedBy>张玲榕</cp:lastModifiedBy>
  <dcterms:modified xsi:type="dcterms:W3CDTF">2025-04-24T01:21:48Z</dcterms:modified>
  <dc:title>华夏理财固定收益增强最短持有</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769DEC2D12E94BA69ED1C0DF2A3C022A</vt:lpwstr>
  </property>
</Properties>
</file>