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50号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50号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华夏理财现金50号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华夏理财现金50号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华夏理财现金50号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华夏理财现金50号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24012050</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24012050</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24012050</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24012050</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Z7003924000083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29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29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30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474805"/>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CA3F70"/>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62</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2025-04-25T03:20:57Z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F807DD44755D42169A2BADD5ECF7653E</vt:lpwstr>
  </property>
</Properties>
</file>