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华夏理财悦安封闭式理财产品</w:t>
      </w:r>
      <w:r>
        <w:rPr>
          <w:rFonts w:hint="eastAsia" w:eastAsia="黑体"/>
          <w:bCs/>
          <w:sz w:val="36"/>
          <w:szCs w:val="36"/>
          <w:lang w:val="en-US" w:eastAsia="zh-CN"/>
        </w:rPr>
        <w:t>17</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2"/>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17</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A份额简称：“华夏理财悦安封闭式</w:t>
            </w:r>
            <w:r>
              <w:rPr>
                <w:rFonts w:hint="eastAsia" w:ascii="仿宋" w:hAnsi="仿宋" w:eastAsia="仿宋"/>
                <w:b/>
                <w:bCs/>
                <w:szCs w:val="21"/>
                <w:lang w:val="en-US" w:eastAsia="zh-CN"/>
              </w:rPr>
              <w:t>17</w:t>
            </w:r>
            <w:r>
              <w:rPr>
                <w:rFonts w:hint="eastAsia" w:ascii="仿宋" w:hAnsi="仿宋" w:eastAsia="仿宋"/>
                <w:b/>
                <w:bCs/>
                <w:szCs w:val="21"/>
              </w:rPr>
              <w:t>号</w:t>
            </w:r>
            <w:r>
              <w:rPr>
                <w:rFonts w:hint="eastAsia" w:ascii="仿宋" w:hAnsi="仿宋" w:eastAsia="仿宋"/>
                <w:b/>
                <w:bCs/>
                <w:szCs w:val="21"/>
                <w:lang w:val="en-US" w:eastAsia="zh-CN"/>
              </w:rPr>
              <w:t>98</w:t>
            </w:r>
            <w:r>
              <w:rPr>
                <w:rFonts w:hint="eastAsia" w:ascii="仿宋" w:hAnsi="仿宋" w:eastAsia="仿宋"/>
                <w:b/>
                <w:bCs/>
                <w:szCs w:val="21"/>
              </w:rPr>
              <w:t>天A”</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份额简称：“华夏理财悦安封闭式</w:t>
            </w:r>
            <w:r>
              <w:rPr>
                <w:rFonts w:hint="eastAsia" w:ascii="仿宋" w:hAnsi="仿宋" w:eastAsia="仿宋"/>
                <w:b/>
                <w:bCs/>
                <w:szCs w:val="21"/>
                <w:lang w:val="en-US" w:eastAsia="zh-CN"/>
              </w:rPr>
              <w:t>17</w:t>
            </w:r>
            <w:r>
              <w:rPr>
                <w:rFonts w:hint="eastAsia" w:ascii="仿宋" w:hAnsi="仿宋" w:eastAsia="仿宋"/>
                <w:b/>
                <w:bCs/>
                <w:szCs w:val="21"/>
              </w:rPr>
              <w:t>号</w:t>
            </w:r>
            <w:r>
              <w:rPr>
                <w:rFonts w:hint="eastAsia" w:ascii="仿宋" w:hAnsi="仿宋" w:eastAsia="仿宋"/>
                <w:b/>
                <w:bCs/>
                <w:szCs w:val="21"/>
                <w:lang w:val="en-US" w:eastAsia="zh-CN"/>
              </w:rPr>
              <w:t>98</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R</w:t>
            </w:r>
            <w:r>
              <w:rPr>
                <w:rFonts w:hint="eastAsia" w:ascii="仿宋" w:hAnsi="仿宋" w:eastAsia="仿宋"/>
                <w:b/>
                <w:bCs/>
                <w:szCs w:val="21"/>
              </w:rPr>
              <w:t>份额简称：“华夏理财悦安封闭式</w:t>
            </w:r>
            <w:r>
              <w:rPr>
                <w:rFonts w:hint="eastAsia" w:ascii="仿宋" w:hAnsi="仿宋" w:eastAsia="仿宋"/>
                <w:b/>
                <w:bCs/>
                <w:szCs w:val="21"/>
                <w:lang w:val="en-US" w:eastAsia="zh-CN"/>
              </w:rPr>
              <w:t>17</w:t>
            </w:r>
            <w:r>
              <w:rPr>
                <w:rFonts w:hint="eastAsia" w:ascii="仿宋" w:hAnsi="仿宋" w:eastAsia="仿宋"/>
                <w:b/>
                <w:bCs/>
                <w:szCs w:val="21"/>
              </w:rPr>
              <w:t>号</w:t>
            </w:r>
            <w:r>
              <w:rPr>
                <w:rFonts w:hint="eastAsia" w:ascii="仿宋" w:hAnsi="仿宋" w:eastAsia="仿宋"/>
                <w:b/>
                <w:bCs/>
                <w:szCs w:val="21"/>
                <w:lang w:val="en-US" w:eastAsia="zh-CN"/>
              </w:rPr>
              <w:t>98</w:t>
            </w:r>
            <w:r>
              <w:rPr>
                <w:rFonts w:hint="eastAsia" w:ascii="仿宋" w:hAnsi="仿宋" w:eastAsia="仿宋"/>
                <w:b/>
                <w:bCs/>
                <w:szCs w:val="21"/>
              </w:rPr>
              <w:t>天</w:t>
            </w:r>
            <w:r>
              <w:rPr>
                <w:rFonts w:hint="eastAsia" w:ascii="仿宋" w:hAnsi="仿宋" w:eastAsia="仿宋"/>
                <w:b/>
                <w:bCs/>
                <w:szCs w:val="21"/>
                <w:lang w:val="en-US" w:eastAsia="zh-CN"/>
              </w:rPr>
              <w:t>R</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23111</w:t>
            </w:r>
            <w:r>
              <w:rPr>
                <w:rFonts w:hint="eastAsia" w:ascii="仿宋" w:hAnsi="仿宋" w:eastAsia="仿宋"/>
                <w:bCs/>
                <w:szCs w:val="21"/>
              </w:rPr>
              <w:t>6</w:t>
            </w:r>
            <w:r>
              <w:rPr>
                <w:rFonts w:hint="eastAsia" w:ascii="仿宋" w:hAnsi="仿宋" w:eastAsia="仿宋"/>
                <w:bCs/>
                <w:szCs w:val="21"/>
                <w:lang w:val="en-US" w:eastAsia="zh-CN"/>
              </w:rPr>
              <w:t>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highlight w:val="none"/>
                <w:lang w:eastAsia="zh-CN"/>
              </w:rPr>
            </w:pPr>
            <w:r>
              <w:rPr>
                <w:rFonts w:hint="eastAsia" w:ascii="仿宋" w:hAnsi="仿宋" w:eastAsia="仿宋"/>
                <w:bCs/>
                <w:szCs w:val="21"/>
                <w:highlight w:val="none"/>
              </w:rPr>
              <w:t>A份额代码：</w:t>
            </w:r>
            <w:r>
              <w:rPr>
                <w:rFonts w:ascii="仿宋" w:hAnsi="仿宋" w:eastAsia="仿宋"/>
                <w:bCs/>
                <w:szCs w:val="21"/>
                <w:highlight w:val="none"/>
              </w:rPr>
              <w:t>23111</w:t>
            </w:r>
            <w:r>
              <w:rPr>
                <w:rFonts w:hint="eastAsia" w:ascii="仿宋" w:hAnsi="仿宋" w:eastAsia="仿宋"/>
                <w:bCs/>
                <w:szCs w:val="21"/>
                <w:highlight w:val="none"/>
              </w:rPr>
              <w:t>6</w:t>
            </w:r>
            <w:r>
              <w:rPr>
                <w:rFonts w:hint="eastAsia" w:ascii="仿宋" w:hAnsi="仿宋" w:eastAsia="仿宋"/>
                <w:bCs/>
                <w:szCs w:val="21"/>
                <w:highlight w:val="none"/>
                <w:lang w:val="en-US" w:eastAsia="zh-CN"/>
              </w:rPr>
              <w:t>17</w:t>
            </w:r>
            <w:r>
              <w:rPr>
                <w:rFonts w:hint="eastAsia" w:ascii="仿宋" w:hAnsi="仿宋" w:eastAsia="仿宋"/>
                <w:bCs/>
                <w:szCs w:val="21"/>
                <w:highlight w:val="none"/>
              </w:rPr>
              <w:t>A</w:t>
            </w:r>
          </w:p>
          <w:p>
            <w:pPr>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B</w:t>
            </w:r>
            <w:r>
              <w:rPr>
                <w:rFonts w:hint="eastAsia" w:ascii="仿宋" w:hAnsi="仿宋" w:eastAsia="仿宋"/>
                <w:bCs/>
                <w:szCs w:val="21"/>
                <w:highlight w:val="none"/>
              </w:rPr>
              <w:t>份额代码：</w:t>
            </w:r>
            <w:r>
              <w:rPr>
                <w:rFonts w:ascii="仿宋" w:hAnsi="仿宋" w:eastAsia="仿宋"/>
                <w:bCs/>
                <w:szCs w:val="21"/>
                <w:highlight w:val="none"/>
              </w:rPr>
              <w:t>23111</w:t>
            </w:r>
            <w:r>
              <w:rPr>
                <w:rFonts w:hint="eastAsia" w:ascii="仿宋" w:hAnsi="仿宋" w:eastAsia="仿宋"/>
                <w:bCs/>
                <w:szCs w:val="21"/>
                <w:highlight w:val="none"/>
              </w:rPr>
              <w:t>6</w:t>
            </w:r>
            <w:r>
              <w:rPr>
                <w:rFonts w:hint="eastAsia" w:ascii="仿宋" w:hAnsi="仿宋" w:eastAsia="仿宋"/>
                <w:bCs/>
                <w:szCs w:val="21"/>
                <w:highlight w:val="none"/>
                <w:lang w:val="en-US" w:eastAsia="zh-CN"/>
              </w:rPr>
              <w:t>17B</w:t>
            </w:r>
          </w:p>
          <w:p>
            <w:pPr>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R</w:t>
            </w:r>
            <w:r>
              <w:rPr>
                <w:rFonts w:hint="eastAsia" w:ascii="仿宋" w:hAnsi="仿宋" w:eastAsia="仿宋"/>
                <w:bCs/>
                <w:szCs w:val="21"/>
                <w:highlight w:val="none"/>
              </w:rPr>
              <w:t>份额代码：</w:t>
            </w:r>
            <w:r>
              <w:rPr>
                <w:rFonts w:ascii="仿宋" w:hAnsi="仿宋" w:eastAsia="仿宋"/>
                <w:bCs/>
                <w:szCs w:val="21"/>
                <w:highlight w:val="none"/>
              </w:rPr>
              <w:t>23111</w:t>
            </w:r>
            <w:r>
              <w:rPr>
                <w:rFonts w:hint="eastAsia" w:ascii="仿宋" w:hAnsi="仿宋" w:eastAsia="仿宋"/>
                <w:bCs/>
                <w:szCs w:val="21"/>
                <w:highlight w:val="none"/>
              </w:rPr>
              <w:t>6</w:t>
            </w:r>
            <w:r>
              <w:rPr>
                <w:rFonts w:hint="eastAsia" w:ascii="仿宋" w:hAnsi="仿宋" w:eastAsia="仿宋"/>
                <w:bCs/>
                <w:szCs w:val="21"/>
                <w:highlight w:val="none"/>
                <w:lang w:val="en-US" w:eastAsia="zh-CN"/>
              </w:rPr>
              <w:t>17R</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221</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u w:val="single"/>
              </w:rPr>
              <w:t>CR1（谨慎型）、CR2（稳健型）、CR3（平衡型）、CR4（进取型）、CR5（激进型）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w:t>
            </w:r>
            <w:r>
              <w:rPr>
                <w:rFonts w:hint="eastAsia" w:ascii="仿宋" w:hAnsi="仿宋" w:eastAsia="仿宋" w:cs="Cambria"/>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75</w:t>
            </w:r>
            <w:r>
              <w:rPr>
                <w:rFonts w:ascii="仿宋" w:hAnsi="仿宋" w:eastAsia="仿宋" w:cs="Cambria"/>
                <w:bCs/>
                <w:szCs w:val="21"/>
              </w:rPr>
              <w:t>%-</w:t>
            </w:r>
            <w:r>
              <w:rPr>
                <w:rFonts w:hint="eastAsia" w:ascii="仿宋" w:hAnsi="仿宋" w:eastAsia="仿宋" w:cs="Cambria"/>
                <w:bCs/>
                <w:szCs w:val="21"/>
                <w:lang w:val="en-US" w:eastAsia="zh-CN"/>
              </w:rPr>
              <w:t>2.95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;R</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55</w:t>
            </w:r>
            <w:r>
              <w:rPr>
                <w:rFonts w:ascii="仿宋" w:hAnsi="仿宋" w:eastAsia="仿宋" w:cs="Cambria"/>
                <w:bCs/>
                <w:szCs w:val="21"/>
              </w:rPr>
              <w:t>%-</w:t>
            </w:r>
            <w:r>
              <w:rPr>
                <w:rFonts w:hint="eastAsia" w:ascii="仿宋" w:hAnsi="仿宋" w:eastAsia="仿宋" w:cs="Cambria"/>
                <w:bCs/>
                <w:szCs w:val="21"/>
                <w:lang w:val="en-US" w:eastAsia="zh-CN"/>
              </w:rPr>
              <w:t>2.75</w:t>
            </w:r>
            <w:r>
              <w:rPr>
                <w:rFonts w:ascii="仿宋" w:hAnsi="仿宋" w:eastAsia="仿宋" w:cs="Cambria"/>
                <w:bCs/>
                <w:szCs w:val="21"/>
              </w:rPr>
              <w:t>%</w:t>
            </w:r>
            <w:r>
              <w:rPr>
                <w:rFonts w:hint="eastAsia" w:ascii="仿宋" w:hAnsi="仿宋" w:eastAsia="仿宋" w:cs="Cambria"/>
                <w:bCs/>
                <w:szCs w:val="21"/>
              </w:rPr>
              <w:t>（年化）。以产品主要投资于存款类资产为例，参考当前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hint="eastAsia" w:ascii="仿宋" w:hAnsi="仿宋" w:eastAsia="仿宋"/>
                <w:bCs/>
                <w:szCs w:val="21"/>
              </w:rPr>
              <w:t>0亿元，</w:t>
            </w:r>
            <w:r>
              <w:rPr>
                <w:rFonts w:ascii="仿宋" w:hAnsi="仿宋" w:eastAsia="仿宋"/>
                <w:bCs/>
                <w:szCs w:val="21"/>
              </w:rPr>
              <w:t>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R</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A份额：销售手续费率为</w:t>
            </w:r>
            <w:r>
              <w:rPr>
                <w:rFonts w:ascii="仿宋" w:hAnsi="仿宋" w:eastAsia="仿宋"/>
                <w:b/>
                <w:bCs/>
                <w:szCs w:val="21"/>
              </w:rPr>
              <w:t>0.</w:t>
            </w:r>
            <w:r>
              <w:rPr>
                <w:rFonts w:hint="eastAsia" w:ascii="仿宋" w:hAnsi="仿宋" w:eastAsia="仿宋"/>
                <w:b/>
                <w:bCs/>
                <w:szCs w:val="21"/>
                <w:lang w:val="en-US" w:eastAsia="zh-CN"/>
              </w:rPr>
              <w:t>05</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份额：销售手续费率为</w:t>
            </w:r>
            <w:r>
              <w:rPr>
                <w:rFonts w:ascii="仿宋" w:hAnsi="仿宋" w:eastAsia="仿宋"/>
                <w:b/>
                <w:bCs/>
                <w:szCs w:val="21"/>
              </w:rPr>
              <w:t>0.10%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R</w:t>
            </w:r>
            <w:r>
              <w:rPr>
                <w:rFonts w:hint="eastAsia" w:ascii="仿宋" w:hAnsi="仿宋" w:eastAsia="仿宋"/>
                <w:b/>
                <w:bCs/>
                <w:szCs w:val="21"/>
              </w:rPr>
              <w:t>份额：销售手续费率为</w:t>
            </w:r>
            <w:r>
              <w:rPr>
                <w:rFonts w:ascii="仿宋" w:hAnsi="仿宋" w:eastAsia="仿宋"/>
                <w:b/>
                <w:bCs/>
                <w:szCs w:val="21"/>
              </w:rPr>
              <w:t>0.</w:t>
            </w:r>
            <w:r>
              <w:rPr>
                <w:rFonts w:hint="eastAsia" w:ascii="仿宋" w:hAnsi="仿宋" w:eastAsia="仿宋"/>
                <w:b/>
                <w:bCs/>
                <w:szCs w:val="21"/>
                <w:lang w:val="en-US" w:eastAsia="zh-CN"/>
              </w:rPr>
              <w:t>3</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F=E×【各份额销售手续费率】/当年天数。F为各份额销售手续费；E为计算基数。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0.05%</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A份额超额管理费计提基准为</w:t>
            </w:r>
            <w:r>
              <w:rPr>
                <w:rFonts w:hint="eastAsia" w:ascii="仿宋" w:hAnsi="仿宋" w:eastAsia="仿宋" w:cs="Cambria"/>
                <w:b/>
                <w:bCs/>
                <w:szCs w:val="21"/>
                <w:lang w:val="en-US" w:eastAsia="zh-CN"/>
              </w:rPr>
              <w:t>3</w:t>
            </w:r>
            <w:r>
              <w:rPr>
                <w:rFonts w:ascii="仿宋" w:hAnsi="仿宋" w:eastAsia="仿宋" w:cs="Cambria"/>
                <w:b/>
                <w:bCs/>
                <w:szCs w:val="21"/>
              </w:rPr>
              <w:t>.</w:t>
            </w:r>
            <w:r>
              <w:rPr>
                <w:rFonts w:hint="eastAsia" w:ascii="仿宋" w:hAnsi="仿宋" w:eastAsia="仿宋" w:cs="Cambria"/>
                <w:b/>
                <w:bCs/>
                <w:szCs w:val="21"/>
                <w:lang w:val="en-US" w:eastAsia="zh-CN"/>
              </w:rPr>
              <w:t>0</w:t>
            </w:r>
            <w:r>
              <w:rPr>
                <w:rFonts w:ascii="仿宋" w:hAnsi="仿宋" w:eastAsia="仿宋" w:cs="Cambria"/>
                <w:b/>
                <w:bCs/>
                <w:szCs w:val="21"/>
              </w:rPr>
              <w:t>0%</w:t>
            </w:r>
            <w:r>
              <w:rPr>
                <w:rFonts w:hint="eastAsia" w:ascii="仿宋" w:hAnsi="仿宋" w:eastAsia="仿宋" w:cs="Cambria"/>
                <w:b/>
                <w:bCs/>
                <w:szCs w:val="21"/>
              </w:rPr>
              <w:t>（年化）</w:t>
            </w:r>
            <w:r>
              <w:rPr>
                <w:rFonts w:hint="eastAsia" w:ascii="仿宋" w:hAnsi="仿宋" w:eastAsia="仿宋" w:cs="Cambria"/>
                <w:b/>
                <w:bCs/>
                <w:szCs w:val="21"/>
                <w:lang w:val="en-US" w:eastAsia="zh-CN"/>
              </w:rPr>
              <w:t>;B</w:t>
            </w:r>
            <w:r>
              <w:rPr>
                <w:rFonts w:hint="eastAsia" w:ascii="仿宋" w:hAnsi="仿宋" w:eastAsia="仿宋" w:cs="Cambria"/>
                <w:b/>
                <w:bCs/>
                <w:szCs w:val="21"/>
              </w:rPr>
              <w:t>份额超额管理费计提基准为</w:t>
            </w:r>
            <w:r>
              <w:rPr>
                <w:rFonts w:hint="eastAsia" w:ascii="仿宋" w:hAnsi="仿宋" w:eastAsia="仿宋" w:cs="Cambria"/>
                <w:b/>
                <w:bCs/>
                <w:szCs w:val="21"/>
                <w:lang w:val="en-US" w:eastAsia="zh-CN"/>
              </w:rPr>
              <w:t>2.95</w:t>
            </w:r>
            <w:r>
              <w:rPr>
                <w:rFonts w:ascii="仿宋" w:hAnsi="仿宋" w:eastAsia="仿宋" w:cs="Cambria"/>
                <w:b/>
                <w:bCs/>
                <w:szCs w:val="21"/>
              </w:rPr>
              <w:t>%</w:t>
            </w:r>
            <w:r>
              <w:rPr>
                <w:rFonts w:hint="eastAsia" w:ascii="仿宋" w:hAnsi="仿宋" w:eastAsia="仿宋" w:cs="Cambria"/>
                <w:b/>
                <w:bCs/>
                <w:szCs w:val="21"/>
              </w:rPr>
              <w:t>（年化）</w:t>
            </w:r>
            <w:r>
              <w:rPr>
                <w:rFonts w:hint="eastAsia" w:ascii="仿宋" w:hAnsi="仿宋" w:eastAsia="仿宋" w:cs="Cambria"/>
                <w:b/>
                <w:bCs/>
                <w:szCs w:val="21"/>
                <w:lang w:val="en-US" w:eastAsia="zh-CN"/>
              </w:rPr>
              <w:t>;R</w:t>
            </w:r>
            <w:r>
              <w:rPr>
                <w:rFonts w:hint="eastAsia" w:ascii="仿宋" w:hAnsi="仿宋" w:eastAsia="仿宋" w:cs="Cambria"/>
                <w:b/>
                <w:bCs/>
                <w:szCs w:val="21"/>
              </w:rPr>
              <w:t>份额超额管理费计提基准为</w:t>
            </w:r>
            <w:r>
              <w:rPr>
                <w:rFonts w:hint="eastAsia" w:ascii="仿宋" w:hAnsi="仿宋" w:eastAsia="仿宋" w:cs="Cambria"/>
                <w:b/>
                <w:bCs/>
                <w:szCs w:val="21"/>
                <w:lang w:val="en-US" w:eastAsia="zh-CN"/>
              </w:rPr>
              <w:t>2.75</w:t>
            </w:r>
            <w:r>
              <w:rPr>
                <w:rFonts w:ascii="仿宋" w:hAnsi="仿宋" w:eastAsia="仿宋" w:cs="Cambria"/>
                <w:b/>
                <w:bCs/>
                <w:szCs w:val="21"/>
              </w:rPr>
              <w:t>%</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20" w:firstLineChars="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、同业存单等固定收益类资产。</w:t>
      </w: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kern w:val="0"/>
          <w:sz w:val="24"/>
        </w:rPr>
        <w:t xml:space="preserve">   </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5C1E64"/>
    <w:rsid w:val="04950991"/>
    <w:rsid w:val="054A4FBF"/>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7B5CF3"/>
    <w:rsid w:val="11921C3C"/>
    <w:rsid w:val="119A5652"/>
    <w:rsid w:val="11BA7B51"/>
    <w:rsid w:val="11DC66A3"/>
    <w:rsid w:val="120F1E2C"/>
    <w:rsid w:val="12540566"/>
    <w:rsid w:val="12946645"/>
    <w:rsid w:val="12A0201F"/>
    <w:rsid w:val="12D3200B"/>
    <w:rsid w:val="13495D69"/>
    <w:rsid w:val="13611C3A"/>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4427B5"/>
    <w:rsid w:val="19610BFF"/>
    <w:rsid w:val="19953307"/>
    <w:rsid w:val="19A07D04"/>
    <w:rsid w:val="19EC565F"/>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7929AE"/>
    <w:rsid w:val="1FD45CE1"/>
    <w:rsid w:val="1FF41399"/>
    <w:rsid w:val="201E5567"/>
    <w:rsid w:val="21433609"/>
    <w:rsid w:val="214D162F"/>
    <w:rsid w:val="21980691"/>
    <w:rsid w:val="21FB0642"/>
    <w:rsid w:val="22042471"/>
    <w:rsid w:val="22171129"/>
    <w:rsid w:val="222D0D62"/>
    <w:rsid w:val="22551E62"/>
    <w:rsid w:val="227D729C"/>
    <w:rsid w:val="2350568B"/>
    <w:rsid w:val="237F35E5"/>
    <w:rsid w:val="23A50D24"/>
    <w:rsid w:val="23E44373"/>
    <w:rsid w:val="241110D5"/>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002F07"/>
    <w:rsid w:val="2A103412"/>
    <w:rsid w:val="2A1E1418"/>
    <w:rsid w:val="2A770C99"/>
    <w:rsid w:val="2A9A5574"/>
    <w:rsid w:val="2B2942A8"/>
    <w:rsid w:val="2B704201"/>
    <w:rsid w:val="2BBB2833"/>
    <w:rsid w:val="2BC42334"/>
    <w:rsid w:val="2C1011CD"/>
    <w:rsid w:val="2C40390A"/>
    <w:rsid w:val="2C4C703B"/>
    <w:rsid w:val="2C994559"/>
    <w:rsid w:val="2D241337"/>
    <w:rsid w:val="2D753D30"/>
    <w:rsid w:val="2DC02129"/>
    <w:rsid w:val="2E010168"/>
    <w:rsid w:val="2E6A7D66"/>
    <w:rsid w:val="2EA605F1"/>
    <w:rsid w:val="2EA972CC"/>
    <w:rsid w:val="2EC31B75"/>
    <w:rsid w:val="2EF83F09"/>
    <w:rsid w:val="2FE72027"/>
    <w:rsid w:val="306A1371"/>
    <w:rsid w:val="309C1F21"/>
    <w:rsid w:val="30B67831"/>
    <w:rsid w:val="3127549C"/>
    <w:rsid w:val="31533557"/>
    <w:rsid w:val="31B41A9A"/>
    <w:rsid w:val="31C74937"/>
    <w:rsid w:val="31F02E84"/>
    <w:rsid w:val="32062205"/>
    <w:rsid w:val="322068C9"/>
    <w:rsid w:val="326170B4"/>
    <w:rsid w:val="328F3B54"/>
    <w:rsid w:val="329A11A0"/>
    <w:rsid w:val="32FF7EB7"/>
    <w:rsid w:val="33424079"/>
    <w:rsid w:val="336359DD"/>
    <w:rsid w:val="34126396"/>
    <w:rsid w:val="345E593B"/>
    <w:rsid w:val="34605A84"/>
    <w:rsid w:val="346C230B"/>
    <w:rsid w:val="35034F52"/>
    <w:rsid w:val="352C602C"/>
    <w:rsid w:val="35B16527"/>
    <w:rsid w:val="363C1BD7"/>
    <w:rsid w:val="36774E48"/>
    <w:rsid w:val="36B76A85"/>
    <w:rsid w:val="36B82ADE"/>
    <w:rsid w:val="37174190"/>
    <w:rsid w:val="376879F0"/>
    <w:rsid w:val="378F057D"/>
    <w:rsid w:val="37EC4B4C"/>
    <w:rsid w:val="383529C2"/>
    <w:rsid w:val="387B665C"/>
    <w:rsid w:val="39676CBC"/>
    <w:rsid w:val="39690814"/>
    <w:rsid w:val="3982157B"/>
    <w:rsid w:val="39B76C90"/>
    <w:rsid w:val="39C37A55"/>
    <w:rsid w:val="39C53B44"/>
    <w:rsid w:val="39EF39C3"/>
    <w:rsid w:val="3A021304"/>
    <w:rsid w:val="3A23092B"/>
    <w:rsid w:val="3A35598B"/>
    <w:rsid w:val="3A595F4B"/>
    <w:rsid w:val="3A9D0C11"/>
    <w:rsid w:val="3B4C73CF"/>
    <w:rsid w:val="3BC55932"/>
    <w:rsid w:val="3C534D08"/>
    <w:rsid w:val="3C7826C2"/>
    <w:rsid w:val="3C8F2051"/>
    <w:rsid w:val="3CD87A38"/>
    <w:rsid w:val="3D83215E"/>
    <w:rsid w:val="3DF76443"/>
    <w:rsid w:val="3DFF3A1A"/>
    <w:rsid w:val="3E166344"/>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EE6E5E"/>
    <w:rsid w:val="42F60353"/>
    <w:rsid w:val="438556A7"/>
    <w:rsid w:val="43A6228A"/>
    <w:rsid w:val="43D63BB7"/>
    <w:rsid w:val="445A3B32"/>
    <w:rsid w:val="44814819"/>
    <w:rsid w:val="449B7167"/>
    <w:rsid w:val="44CC2C77"/>
    <w:rsid w:val="4524487F"/>
    <w:rsid w:val="45CC078F"/>
    <w:rsid w:val="45FA1697"/>
    <w:rsid w:val="462907D8"/>
    <w:rsid w:val="466B6F06"/>
    <w:rsid w:val="46860155"/>
    <w:rsid w:val="46E93EA5"/>
    <w:rsid w:val="476049FD"/>
    <w:rsid w:val="47802A85"/>
    <w:rsid w:val="47E65D23"/>
    <w:rsid w:val="47F6480D"/>
    <w:rsid w:val="4801691C"/>
    <w:rsid w:val="482B788B"/>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726F49"/>
    <w:rsid w:val="4FB2334F"/>
    <w:rsid w:val="4FDD6C50"/>
    <w:rsid w:val="500C5A60"/>
    <w:rsid w:val="50461117"/>
    <w:rsid w:val="509A5F14"/>
    <w:rsid w:val="514B566F"/>
    <w:rsid w:val="515442E6"/>
    <w:rsid w:val="51954E8A"/>
    <w:rsid w:val="51981955"/>
    <w:rsid w:val="519B5496"/>
    <w:rsid w:val="52667895"/>
    <w:rsid w:val="52B20439"/>
    <w:rsid w:val="53140A76"/>
    <w:rsid w:val="5337488A"/>
    <w:rsid w:val="53735224"/>
    <w:rsid w:val="537D24F6"/>
    <w:rsid w:val="53AD73D7"/>
    <w:rsid w:val="543C05E0"/>
    <w:rsid w:val="547A1279"/>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7D41D62"/>
    <w:rsid w:val="584667E1"/>
    <w:rsid w:val="5884596F"/>
    <w:rsid w:val="589C1605"/>
    <w:rsid w:val="58E1781D"/>
    <w:rsid w:val="59471C07"/>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C30298"/>
    <w:rsid w:val="60D76AF0"/>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194891"/>
    <w:rsid w:val="65C63D9B"/>
    <w:rsid w:val="66103AAA"/>
    <w:rsid w:val="667640C4"/>
    <w:rsid w:val="66DC24A5"/>
    <w:rsid w:val="66DF3B52"/>
    <w:rsid w:val="672963E0"/>
    <w:rsid w:val="675A4556"/>
    <w:rsid w:val="675C47D1"/>
    <w:rsid w:val="675E5725"/>
    <w:rsid w:val="679271B5"/>
    <w:rsid w:val="67AE1BA6"/>
    <w:rsid w:val="68191A65"/>
    <w:rsid w:val="68C76D6E"/>
    <w:rsid w:val="68F60924"/>
    <w:rsid w:val="6943423A"/>
    <w:rsid w:val="69572330"/>
    <w:rsid w:val="698C4C9E"/>
    <w:rsid w:val="69E719A0"/>
    <w:rsid w:val="6A557981"/>
    <w:rsid w:val="6A5B0FA5"/>
    <w:rsid w:val="6A983C35"/>
    <w:rsid w:val="6AAC3F8C"/>
    <w:rsid w:val="6AFD414A"/>
    <w:rsid w:val="6B00180F"/>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754280"/>
    <w:rsid w:val="6EBB30B7"/>
    <w:rsid w:val="6F0D185D"/>
    <w:rsid w:val="6F786BDA"/>
    <w:rsid w:val="6FA9351C"/>
    <w:rsid w:val="70786034"/>
    <w:rsid w:val="70851CBD"/>
    <w:rsid w:val="709573C6"/>
    <w:rsid w:val="709E2354"/>
    <w:rsid w:val="70E70772"/>
    <w:rsid w:val="71900429"/>
    <w:rsid w:val="719027A5"/>
    <w:rsid w:val="71930C34"/>
    <w:rsid w:val="71C9496E"/>
    <w:rsid w:val="71EE76F7"/>
    <w:rsid w:val="725F0CAE"/>
    <w:rsid w:val="72981180"/>
    <w:rsid w:val="729C09F9"/>
    <w:rsid w:val="72B3756B"/>
    <w:rsid w:val="73001A15"/>
    <w:rsid w:val="73155C46"/>
    <w:rsid w:val="7366194C"/>
    <w:rsid w:val="74062834"/>
    <w:rsid w:val="740D552E"/>
    <w:rsid w:val="74136087"/>
    <w:rsid w:val="7443680B"/>
    <w:rsid w:val="749360C5"/>
    <w:rsid w:val="74A805D6"/>
    <w:rsid w:val="74A870B6"/>
    <w:rsid w:val="74E70150"/>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Style w:val="12"/>
      <w:tblLayout w:type="fixed"/>
      <w:tblCellMar>
        <w:top w:w="0" w:type="dxa"/>
        <w:left w:w="108" w:type="dxa"/>
        <w:bottom w:w="0" w:type="dxa"/>
        <w:right w:w="108" w:type="dxa"/>
      </w:tblCellMar>
    </w:tblPr>
    <w:tcPr>
      <w:textDirection w:val="lrTb"/>
    </w:tcPr>
  </w:style>
  <w:style w:type="paragraph" w:styleId="2">
    <w:name w:val="annotation subject"/>
    <w:basedOn w:val="3"/>
    <w:next w:val="3"/>
    <w:link w:val="15"/>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FollowedHyperlink"/>
    <w:basedOn w:val="8"/>
    <w:uiPriority w:val="0"/>
    <w:rPr>
      <w:color w:val="000000"/>
      <w:u w:val="none"/>
    </w:rPr>
  </w:style>
  <w:style w:type="character" w:styleId="10">
    <w:name w:val="Hyperlink"/>
    <w:basedOn w:val="8"/>
    <w:uiPriority w:val="0"/>
    <w:rPr>
      <w:color w:val="000000"/>
      <w:u w:val="none"/>
    </w:rPr>
  </w:style>
  <w:style w:type="character" w:styleId="11">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4">
    <w:name w:val=""/>
    <w:basedOn w:val="1"/>
    <w:next w:val="1"/>
    <w:uiPriority w:val="0"/>
    <w:pPr>
      <w:pBdr>
        <w:top w:val="single" w:color="auto" w:sz="6" w:space="1"/>
      </w:pBdr>
      <w:jc w:val="center"/>
    </w:pPr>
    <w:rPr>
      <w:rFonts w:ascii="Arial" w:eastAsia="宋体"/>
      <w:vanish/>
      <w:sz w:val="16"/>
    </w:rPr>
  </w:style>
  <w:style w:type="character" w:customStyle="1" w:styleId="15">
    <w:name w:val="批注主题 Char"/>
    <w:link w:val="2"/>
    <w:qFormat/>
    <w:uiPriority w:val="0"/>
    <w:rPr>
      <w:b/>
      <w:bCs/>
      <w:kern w:val="2"/>
      <w:sz w:val="21"/>
      <w:szCs w:val="24"/>
    </w:rPr>
  </w:style>
  <w:style w:type="character" w:customStyle="1" w:styleId="16">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14585</Words>
  <Characters>15005</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RORO</cp:lastModifiedBy>
  <cp:lastPrinted>2023-03-20T06:17:00Z</cp:lastPrinted>
  <dcterms:modified xsi:type="dcterms:W3CDTF">2023-07-06T03:27:40Z</dcterms:modified>
  <dc:title>华夏理财固定收益纯债型封闭式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