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bookmarkStart w:id="7" w:name="_GoBack"/>
      <w:bookmarkEnd w:id="7"/>
      <w:r>
        <w:rPr>
          <w:rFonts w:hint="eastAsia" w:eastAsia="黑体"/>
          <w:bCs/>
          <w:sz w:val="36"/>
          <w:szCs w:val="36"/>
        </w:rPr>
        <w:t>华夏理财悦安封闭式理财产品</w:t>
      </w:r>
      <w:r>
        <w:rPr>
          <w:rFonts w:hint="eastAsia" w:eastAsia="黑体"/>
          <w:bCs/>
          <w:sz w:val="36"/>
          <w:szCs w:val="36"/>
          <w:lang w:val="en-US" w:eastAsia="zh-CN"/>
        </w:rPr>
        <w:t>20</w:t>
      </w:r>
      <w:r>
        <w:rPr>
          <w:rFonts w:hint="eastAsia" w:eastAsia="黑体"/>
          <w:bCs/>
          <w:sz w:val="36"/>
          <w:szCs w:val="36"/>
        </w:rPr>
        <w:t>号说明书</w:t>
      </w:r>
    </w:p>
    <w:p>
      <w:pPr>
        <w:pStyle w:val="4"/>
        <w:widowControl/>
        <w:spacing w:line="240" w:lineRule="auto"/>
        <w:ind w:firstLine="0"/>
        <w:jc w:val="center"/>
        <w:rPr>
          <w:rFonts w:eastAsia="黑体"/>
          <w:bCs/>
          <w:sz w:val="36"/>
          <w:szCs w:val="36"/>
        </w:rPr>
      </w:pPr>
    </w:p>
    <w:tbl>
      <w:tblPr>
        <w:tblStyle w:val="12"/>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3"/>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华夏理财悦安封闭式理财产品</w:t>
            </w:r>
            <w:r>
              <w:rPr>
                <w:rFonts w:hint="eastAsia" w:ascii="仿宋" w:hAnsi="仿宋" w:eastAsia="仿宋"/>
                <w:b/>
                <w:bCs/>
                <w:szCs w:val="21"/>
                <w:lang w:val="en-US" w:eastAsia="zh-CN"/>
              </w:rPr>
              <w:t>20</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简称：“华夏理财悦安封闭式</w:t>
            </w:r>
            <w:r>
              <w:rPr>
                <w:rFonts w:hint="eastAsia" w:ascii="仿宋" w:hAnsi="仿宋" w:eastAsia="仿宋"/>
                <w:b/>
                <w:bCs/>
                <w:szCs w:val="21"/>
                <w:lang w:val="en-US" w:eastAsia="zh-CN"/>
              </w:rPr>
              <w:t>20</w:t>
            </w:r>
            <w:r>
              <w:rPr>
                <w:rFonts w:hint="eastAsia" w:ascii="仿宋" w:hAnsi="仿宋" w:eastAsia="仿宋"/>
                <w:b/>
                <w:bCs/>
                <w:szCs w:val="21"/>
              </w:rPr>
              <w:t>号</w:t>
            </w:r>
            <w:r>
              <w:rPr>
                <w:rFonts w:hint="eastAsia" w:ascii="仿宋" w:hAnsi="仿宋" w:eastAsia="仿宋"/>
                <w:b/>
                <w:bCs/>
                <w:szCs w:val="21"/>
                <w:lang w:val="en-US" w:eastAsia="zh-CN"/>
              </w:rPr>
              <w:t>102</w:t>
            </w:r>
            <w:r>
              <w:rPr>
                <w:rFonts w:hint="eastAsia" w:ascii="仿宋" w:hAnsi="仿宋" w:eastAsia="仿宋"/>
                <w:b/>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23111</w:t>
            </w:r>
            <w:r>
              <w:rPr>
                <w:rFonts w:hint="eastAsia" w:ascii="仿宋" w:hAnsi="仿宋" w:eastAsia="仿宋"/>
                <w:bCs/>
                <w:szCs w:val="21"/>
              </w:rPr>
              <w:t>6</w:t>
            </w:r>
            <w:r>
              <w:rPr>
                <w:rFonts w:hint="eastAsia" w:ascii="仿宋" w:hAnsi="仿宋" w:eastAsia="仿宋"/>
                <w:bCs/>
                <w:szCs w:val="21"/>
                <w:lang w:val="en-US" w:eastAsia="zh-CN"/>
              </w:rPr>
              <w:t>20（招商银行销售代码：HX010221）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w:t>
            </w:r>
            <w:r>
              <w:rPr>
                <w:rFonts w:hint="eastAsia" w:ascii="仿宋" w:hAnsi="仿宋" w:eastAsia="仿宋"/>
                <w:bCs/>
                <w:szCs w:val="21"/>
                <w:lang w:val="en-US" w:eastAsia="zh-CN"/>
              </w:rPr>
              <w:t>224</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PR1级（低风险）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rPr>
              <w:t>：</w:t>
            </w:r>
            <w:r>
              <w:rPr>
                <w:rFonts w:hint="eastAsia" w:ascii="仿宋" w:hAnsi="仿宋" w:eastAsia="仿宋"/>
                <w:bCs/>
                <w:szCs w:val="21"/>
                <w:u w:val="single"/>
              </w:rPr>
              <w:t>CR1（谨慎型）、CR2（稳健型）、CR3（平衡型）、CR4（进取型）、CR5（激进型）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w:t>
            </w:r>
            <w:r>
              <w:rPr>
                <w:rFonts w:hint="eastAsia" w:ascii="仿宋" w:hAnsi="仿宋" w:eastAsia="仿宋" w:cs="Cambria"/>
                <w:bCs/>
                <w:szCs w:val="21"/>
                <w:lang w:val="en-US" w:eastAsia="zh-CN"/>
              </w:rPr>
              <w:t>7</w:t>
            </w:r>
            <w:r>
              <w:rPr>
                <w:rFonts w:ascii="仿宋" w:hAnsi="仿宋" w:eastAsia="仿宋" w:cs="Cambria"/>
                <w:bCs/>
                <w:szCs w:val="21"/>
              </w:rPr>
              <w:t>0%-</w:t>
            </w:r>
            <w:r>
              <w:rPr>
                <w:rFonts w:hint="eastAsia" w:ascii="仿宋" w:hAnsi="仿宋" w:eastAsia="仿宋" w:cs="Cambria"/>
                <w:bCs/>
                <w:szCs w:val="21"/>
                <w:lang w:val="en-US" w:eastAsia="zh-CN"/>
              </w:rPr>
              <w:t>2</w:t>
            </w:r>
            <w:r>
              <w:rPr>
                <w:rFonts w:ascii="仿宋" w:hAnsi="仿宋" w:eastAsia="仿宋" w:cs="Cambria"/>
                <w:bCs/>
                <w:szCs w:val="21"/>
              </w:rPr>
              <w:t>.</w:t>
            </w:r>
            <w:r>
              <w:rPr>
                <w:rFonts w:hint="eastAsia" w:ascii="仿宋" w:hAnsi="仿宋" w:eastAsia="仿宋" w:cs="Cambria"/>
                <w:bCs/>
                <w:szCs w:val="21"/>
                <w:lang w:val="en-US" w:eastAsia="zh-CN"/>
              </w:rPr>
              <w:t>90</w:t>
            </w:r>
            <w:r>
              <w:rPr>
                <w:rFonts w:ascii="仿宋" w:hAnsi="仿宋" w:eastAsia="仿宋" w:cs="Cambria"/>
                <w:bCs/>
                <w:szCs w:val="21"/>
              </w:rPr>
              <w:t>%</w:t>
            </w:r>
            <w:r>
              <w:rPr>
                <w:rFonts w:hint="eastAsia" w:ascii="仿宋" w:hAnsi="仿宋" w:eastAsia="仿宋" w:cs="Cambria"/>
                <w:bCs/>
                <w:szCs w:val="21"/>
              </w:rPr>
              <w:t>（年化）。以产品主要投资于存款类资产为例，参考当前资产收益水平，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7</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13</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102</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24</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2</w:t>
            </w:r>
            <w:r>
              <w:rPr>
                <w:rFonts w:hint="eastAsia" w:ascii="仿宋" w:hAnsi="仿宋" w:eastAsia="仿宋"/>
                <w:bCs/>
                <w:szCs w:val="21"/>
              </w:rPr>
              <w:t>0亿元，</w:t>
            </w:r>
            <w:r>
              <w:rPr>
                <w:rFonts w:ascii="仿宋" w:hAnsi="仿宋" w:eastAsia="仿宋"/>
                <w:bCs/>
                <w:szCs w:val="21"/>
              </w:rPr>
              <w:t>发行规模下限为</w:t>
            </w:r>
            <w:r>
              <w:rPr>
                <w:rFonts w:hint="eastAsia" w:ascii="仿宋" w:hAnsi="仿宋" w:eastAsia="仿宋"/>
                <w:bCs/>
                <w:szCs w:val="21"/>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uto"/>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/当年天数。</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销售手续费率为</w:t>
            </w:r>
            <w:r>
              <w:rPr>
                <w:rFonts w:ascii="仿宋" w:hAnsi="仿宋" w:eastAsia="仿宋"/>
                <w:b/>
                <w:bCs/>
                <w:szCs w:val="21"/>
              </w:rPr>
              <w:t>0.1</w:t>
            </w:r>
            <w:r>
              <w:rPr>
                <w:rFonts w:hint="eastAsia" w:ascii="仿宋" w:hAnsi="仿宋" w:eastAsia="仿宋"/>
                <w:b/>
                <w:bCs/>
                <w:szCs w:val="21"/>
                <w:lang w:val="en-US" w:eastAsia="zh-CN"/>
              </w:rPr>
              <w:t>5</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w:t>
            </w:r>
            <w:r>
              <w:rPr>
                <w:rFonts w:hint="eastAsia" w:ascii="仿宋" w:hAnsi="仿宋" w:eastAsia="仿宋"/>
                <w:b/>
                <w:bCs/>
                <w:szCs w:val="21"/>
                <w:lang w:val="en-US" w:eastAsia="zh-CN"/>
              </w:rPr>
              <w:t>0.15%</w:t>
            </w:r>
            <w:r>
              <w:rPr>
                <w:rFonts w:hint="eastAsia" w:ascii="仿宋" w:hAnsi="仿宋" w:eastAsia="仿宋"/>
                <w:b/>
                <w:bCs/>
                <w:szCs w:val="21"/>
              </w:rPr>
              <w:t>】/当年天数。F为各份额销售手续费；E为计算基数。</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0.05%</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0.05%</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超额管理费计提基准为</w:t>
            </w:r>
            <w:r>
              <w:rPr>
                <w:rFonts w:hint="eastAsia" w:ascii="仿宋" w:hAnsi="仿宋" w:eastAsia="仿宋" w:cs="Cambria"/>
                <w:b/>
                <w:bCs/>
                <w:szCs w:val="21"/>
                <w:lang w:val="en-US" w:eastAsia="zh-CN"/>
              </w:rPr>
              <w:t>2.90</w:t>
            </w:r>
            <w:r>
              <w:rPr>
                <w:rFonts w:ascii="仿宋" w:hAnsi="仿宋" w:eastAsia="仿宋" w:cs="Cambria"/>
                <w:b/>
                <w:bCs/>
                <w:szCs w:val="21"/>
              </w:rPr>
              <w:t>%</w:t>
            </w:r>
            <w:r>
              <w:rPr>
                <w:rFonts w:hint="eastAsia" w:ascii="仿宋" w:hAnsi="仿宋" w:eastAsia="仿宋" w:cs="Cambria"/>
                <w:b/>
                <w:bCs/>
                <w:szCs w:val="21"/>
              </w:rPr>
              <w:t>（年化）。</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本产品超额管理费的计算公式：</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其中：</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年化收益率=（计提日累计单位净值-1.0000）÷1.0000×365÷当期持有天数。</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3"/>
        <w:snapToGrid w:val="0"/>
        <w:spacing w:after="156" w:afterLines="50" w:line="400" w:lineRule="exact"/>
        <w:ind w:firstLine="482" w:firstLineChars="200"/>
        <w:jc w:val="both"/>
        <w:rPr>
          <w:rFonts w:ascii="Times New Roman" w:eastAsia="黑体" w:cs="Times New Roman"/>
          <w:b/>
          <w:color w:val="auto"/>
        </w:rPr>
      </w:pPr>
    </w:p>
    <w:p>
      <w:pPr>
        <w:pStyle w:val="13"/>
        <w:keepNext/>
        <w:snapToGrid w:val="0"/>
        <w:spacing w:after="156" w:afterLines="50" w:line="400" w:lineRule="exact"/>
        <w:ind w:firstLine="482" w:firstLineChars="200"/>
        <w:jc w:val="both"/>
        <w:outlineLvl w:val="0"/>
        <w:rPr>
          <w:rFonts w:hint="eastAsia" w:ascii="仿宋" w:hAnsi="仿宋" w:eastAsia="仿宋" w:cs="宋体"/>
          <w:b w:val="0"/>
          <w:color w:val="000000"/>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20" w:firstLineChars="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本理财产品计划100%投资于银行</w:t>
      </w:r>
      <w:r>
        <w:rPr>
          <w:rFonts w:ascii="仿宋" w:hAnsi="仿宋" w:eastAsia="仿宋" w:cs="宋体"/>
          <w:color w:val="000000"/>
          <w:kern w:val="0"/>
          <w:sz w:val="24"/>
        </w:rPr>
        <w:t>存款</w:t>
      </w:r>
      <w:r>
        <w:rPr>
          <w:rFonts w:hint="eastAsia" w:ascii="仿宋" w:hAnsi="仿宋" w:eastAsia="仿宋" w:cs="宋体"/>
          <w:color w:val="000000"/>
          <w:kern w:val="0"/>
          <w:sz w:val="24"/>
        </w:rPr>
        <w:t>、同业存单等固定收益类资产。</w:t>
      </w:r>
      <w:r>
        <w:rPr>
          <w:rFonts w:hint="eastAsia" w:ascii="仿宋" w:hAnsi="仿宋" w:eastAsia="仿宋" w:cs="宋体"/>
          <w:kern w:val="0"/>
          <w:sz w:val="24"/>
        </w:rPr>
        <w:t>本理财产品可以按照监管部门相关规定开展回购</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逆回购</w:t>
      </w:r>
      <w:r>
        <w:rPr>
          <w:rFonts w:hint="eastAsia" w:ascii="仿宋" w:hAnsi="仿宋" w:eastAsia="仿宋" w:cs="宋体"/>
          <w:kern w:val="0"/>
          <w:sz w:val="24"/>
        </w:rPr>
        <w:t>业务。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3"/>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3"/>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1.0010</w:t>
      </w:r>
      <w:r>
        <w:rPr>
          <w:rFonts w:hint="eastAsia" w:ascii="仿宋" w:hAnsi="仿宋" w:eastAsia="仿宋" w:cs="仿宋"/>
          <w:sz w:val="24"/>
        </w:rPr>
        <w:t>，客户到期获得的金额为：</w:t>
      </w:r>
      <w:r>
        <w:rPr>
          <w:rFonts w:ascii="仿宋" w:hAnsi="仿宋" w:eastAsia="仿宋" w:cs="仿宋"/>
          <w:sz w:val="24"/>
        </w:rPr>
        <w:t>100,000*1.0010=100,100.00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本理财产品所投资的银行存款、货币市场工具等固定</w:t>
      </w:r>
      <w:r>
        <w:rPr>
          <w:rFonts w:ascii="仿宋" w:hAnsi="仿宋" w:eastAsia="仿宋" w:cs="仿宋"/>
        </w:rPr>
        <w:t>收益类</w:t>
      </w:r>
      <w:r>
        <w:rPr>
          <w:rFonts w:hint="eastAsia" w:ascii="仿宋" w:hAnsi="仿宋" w:eastAsia="仿宋" w:cs="仿宋"/>
        </w:rPr>
        <w:t>资产以及资产管理产品等资产。</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3"/>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3"/>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3"/>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widowControl/>
        <w:adjustRightInd w:val="0"/>
        <w:snapToGrid w:val="0"/>
        <w:spacing w:line="276" w:lineRule="auto"/>
        <w:ind w:firstLine="482" w:firstLineChars="200"/>
        <w:contextualSpacing/>
        <w:rPr>
          <w:rFonts w:ascii="Times New Roman" w:hAnsi="Times New Roman" w:eastAsia="黑体" w:cs="Times New Roman"/>
          <w:b/>
          <w:bCs/>
          <w:kern w:val="0"/>
          <w:sz w:val="24"/>
        </w:rPr>
      </w:pPr>
      <w:r>
        <w:rPr>
          <w:rFonts w:ascii="Times New Roman" w:hAnsi="Times New Roman" w:eastAsia="黑体" w:cs="Times New Roman"/>
          <w:b/>
          <w:bCs/>
          <w:kern w:val="0"/>
          <w:sz w:val="24"/>
        </w:rPr>
        <w:t>在本</w:t>
      </w:r>
      <w:r>
        <w:rPr>
          <w:rFonts w:hint="default" w:ascii="Times New Roman" w:hAnsi="Times New Roman" w:eastAsia="黑体" w:cs="Times New Roman"/>
          <w:b/>
          <w:bCs/>
          <w:kern w:val="0"/>
          <w:sz w:val="24"/>
        </w:rPr>
        <w:t>理财</w:t>
      </w:r>
      <w:r>
        <w:rPr>
          <w:rFonts w:ascii="Times New Roman" w:hAnsi="Times New Roman" w:eastAsia="黑体" w:cs="Times New Roman"/>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default" w:ascii="Times New Roman" w:hAnsi="Times New Roman" w:eastAsia="黑体" w:cs="Times New Roman"/>
          <w:b/>
          <w:bCs/>
          <w:kern w:val="0"/>
          <w:sz w:val="24"/>
        </w:rPr>
        <w:t>华夏理财有限责任公司官方网站（www.hxwm.com.cn）、</w:t>
      </w:r>
      <w:r>
        <w:rPr>
          <w:rFonts w:ascii="Times New Roman" w:hAnsi="Times New Roman" w:eastAsia="黑体" w:cs="Times New Roman"/>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kern w:val="0"/>
          <w:sz w:val="24"/>
        </w:rPr>
        <w:t xml:space="preserve">   </w:t>
      </w:r>
      <w:r>
        <w:rPr>
          <w:rFonts w:hint="eastAsia" w:ascii="仿宋" w:hAnsi="仿宋" w:eastAsia="仿宋" w:cs="宋体"/>
          <w:color w:val="000000"/>
          <w:kern w:val="0"/>
          <w:sz w:val="24"/>
          <w:lang w:val="en-US" w:eastAsia="zh-CN"/>
        </w:rPr>
        <w:t xml:space="preserve"> </w:t>
      </w: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TFjNGM4MTU2NGYwYzU4Yzk0YTM2ZWYxMjcxYjBmZTAifQ=="/>
  </w:docVars>
  <w:rsids>
    <w:rsidRoot w:val="003D0255"/>
    <w:rsid w:val="00001C1B"/>
    <w:rsid w:val="00010FE2"/>
    <w:rsid w:val="00013C4E"/>
    <w:rsid w:val="000161B5"/>
    <w:rsid w:val="00021827"/>
    <w:rsid w:val="00025F33"/>
    <w:rsid w:val="00033110"/>
    <w:rsid w:val="000337FD"/>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1AD5"/>
    <w:rsid w:val="0019200F"/>
    <w:rsid w:val="001D2415"/>
    <w:rsid w:val="001E0732"/>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A3C84"/>
    <w:rsid w:val="002B2BDD"/>
    <w:rsid w:val="002B5A7F"/>
    <w:rsid w:val="002F6B80"/>
    <w:rsid w:val="00305047"/>
    <w:rsid w:val="00316AFC"/>
    <w:rsid w:val="003243A1"/>
    <w:rsid w:val="00332318"/>
    <w:rsid w:val="00333AEC"/>
    <w:rsid w:val="0033431D"/>
    <w:rsid w:val="00344E4C"/>
    <w:rsid w:val="00345CAB"/>
    <w:rsid w:val="003536CA"/>
    <w:rsid w:val="00370E7B"/>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23E78"/>
    <w:rsid w:val="00443D10"/>
    <w:rsid w:val="004530CC"/>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25851"/>
    <w:rsid w:val="0053489D"/>
    <w:rsid w:val="00541B21"/>
    <w:rsid w:val="00546540"/>
    <w:rsid w:val="005622E8"/>
    <w:rsid w:val="00567419"/>
    <w:rsid w:val="0058195A"/>
    <w:rsid w:val="00583E9D"/>
    <w:rsid w:val="00587F99"/>
    <w:rsid w:val="005902F0"/>
    <w:rsid w:val="005A1AD3"/>
    <w:rsid w:val="005B0C42"/>
    <w:rsid w:val="005B5A4F"/>
    <w:rsid w:val="005B7E09"/>
    <w:rsid w:val="005D1B39"/>
    <w:rsid w:val="005D5825"/>
    <w:rsid w:val="005E4F8D"/>
    <w:rsid w:val="005F69E2"/>
    <w:rsid w:val="006030F8"/>
    <w:rsid w:val="00603823"/>
    <w:rsid w:val="00623292"/>
    <w:rsid w:val="00627FD4"/>
    <w:rsid w:val="006309B4"/>
    <w:rsid w:val="0064430D"/>
    <w:rsid w:val="006609EB"/>
    <w:rsid w:val="00661DAE"/>
    <w:rsid w:val="00664F8D"/>
    <w:rsid w:val="00665902"/>
    <w:rsid w:val="00665BDD"/>
    <w:rsid w:val="006714E1"/>
    <w:rsid w:val="00681C15"/>
    <w:rsid w:val="00686350"/>
    <w:rsid w:val="00697279"/>
    <w:rsid w:val="006A3BD2"/>
    <w:rsid w:val="006B14EB"/>
    <w:rsid w:val="006B3B6A"/>
    <w:rsid w:val="006B7A12"/>
    <w:rsid w:val="006C3E53"/>
    <w:rsid w:val="006D0017"/>
    <w:rsid w:val="006D1929"/>
    <w:rsid w:val="006D5CC0"/>
    <w:rsid w:val="006D61F9"/>
    <w:rsid w:val="006E465C"/>
    <w:rsid w:val="006E5108"/>
    <w:rsid w:val="006F108E"/>
    <w:rsid w:val="0070057F"/>
    <w:rsid w:val="0070639F"/>
    <w:rsid w:val="00712D65"/>
    <w:rsid w:val="00714FA0"/>
    <w:rsid w:val="007529F2"/>
    <w:rsid w:val="0075453D"/>
    <w:rsid w:val="00755C63"/>
    <w:rsid w:val="00757C4D"/>
    <w:rsid w:val="007660D1"/>
    <w:rsid w:val="0077151B"/>
    <w:rsid w:val="0078428F"/>
    <w:rsid w:val="00792A0A"/>
    <w:rsid w:val="00794BCC"/>
    <w:rsid w:val="007A782E"/>
    <w:rsid w:val="007A7DDD"/>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079B5"/>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1640A"/>
    <w:rsid w:val="00A23D14"/>
    <w:rsid w:val="00A40B5C"/>
    <w:rsid w:val="00A428E9"/>
    <w:rsid w:val="00A55BA0"/>
    <w:rsid w:val="00A762A9"/>
    <w:rsid w:val="00A93551"/>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47353"/>
    <w:rsid w:val="00B5117E"/>
    <w:rsid w:val="00B64A10"/>
    <w:rsid w:val="00B7068C"/>
    <w:rsid w:val="00B835AA"/>
    <w:rsid w:val="00B86087"/>
    <w:rsid w:val="00B90CDB"/>
    <w:rsid w:val="00B960A6"/>
    <w:rsid w:val="00B97A5C"/>
    <w:rsid w:val="00BE486A"/>
    <w:rsid w:val="00BE5DF1"/>
    <w:rsid w:val="00BF042F"/>
    <w:rsid w:val="00C00CA6"/>
    <w:rsid w:val="00C20594"/>
    <w:rsid w:val="00C2501F"/>
    <w:rsid w:val="00C26621"/>
    <w:rsid w:val="00C34C70"/>
    <w:rsid w:val="00C45DCF"/>
    <w:rsid w:val="00C472F0"/>
    <w:rsid w:val="00C51BDC"/>
    <w:rsid w:val="00C7590C"/>
    <w:rsid w:val="00CA6243"/>
    <w:rsid w:val="00CB07A0"/>
    <w:rsid w:val="00CB300C"/>
    <w:rsid w:val="00CC6613"/>
    <w:rsid w:val="00CD1AC8"/>
    <w:rsid w:val="00D03E60"/>
    <w:rsid w:val="00D069E2"/>
    <w:rsid w:val="00D06EC1"/>
    <w:rsid w:val="00D07C3B"/>
    <w:rsid w:val="00D20E48"/>
    <w:rsid w:val="00D5099C"/>
    <w:rsid w:val="00D54E89"/>
    <w:rsid w:val="00D62515"/>
    <w:rsid w:val="00D62EAE"/>
    <w:rsid w:val="00D633D2"/>
    <w:rsid w:val="00D7194A"/>
    <w:rsid w:val="00D74E35"/>
    <w:rsid w:val="00D7638E"/>
    <w:rsid w:val="00D81EE7"/>
    <w:rsid w:val="00D842DC"/>
    <w:rsid w:val="00D92953"/>
    <w:rsid w:val="00D92F2F"/>
    <w:rsid w:val="00D96806"/>
    <w:rsid w:val="00DA1051"/>
    <w:rsid w:val="00DB3201"/>
    <w:rsid w:val="00DB5CD9"/>
    <w:rsid w:val="00DB6A3F"/>
    <w:rsid w:val="00DC5F87"/>
    <w:rsid w:val="00DE1803"/>
    <w:rsid w:val="00DE7DB8"/>
    <w:rsid w:val="00DF01F0"/>
    <w:rsid w:val="00E01C5E"/>
    <w:rsid w:val="00E02F1C"/>
    <w:rsid w:val="00E064E3"/>
    <w:rsid w:val="00E06630"/>
    <w:rsid w:val="00E227E6"/>
    <w:rsid w:val="00E254D4"/>
    <w:rsid w:val="00E32C0D"/>
    <w:rsid w:val="00E53D13"/>
    <w:rsid w:val="00E62046"/>
    <w:rsid w:val="00E65F0B"/>
    <w:rsid w:val="00E8067C"/>
    <w:rsid w:val="00E8204B"/>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45E28"/>
    <w:rsid w:val="00F512E9"/>
    <w:rsid w:val="00F54606"/>
    <w:rsid w:val="00F67A6A"/>
    <w:rsid w:val="00F67A9C"/>
    <w:rsid w:val="00F67EC0"/>
    <w:rsid w:val="00F72DB1"/>
    <w:rsid w:val="00F77DC9"/>
    <w:rsid w:val="00F82368"/>
    <w:rsid w:val="00FA70D5"/>
    <w:rsid w:val="00FB10EC"/>
    <w:rsid w:val="00FC0983"/>
    <w:rsid w:val="00FC21F8"/>
    <w:rsid w:val="00FC6689"/>
    <w:rsid w:val="00FC72F2"/>
    <w:rsid w:val="00FF1A4F"/>
    <w:rsid w:val="00FF5911"/>
    <w:rsid w:val="015E11C2"/>
    <w:rsid w:val="020F48EF"/>
    <w:rsid w:val="02417756"/>
    <w:rsid w:val="02E40AD0"/>
    <w:rsid w:val="02F3137F"/>
    <w:rsid w:val="033A4D39"/>
    <w:rsid w:val="034644C7"/>
    <w:rsid w:val="04196F12"/>
    <w:rsid w:val="04435A9E"/>
    <w:rsid w:val="045C1E64"/>
    <w:rsid w:val="045F4ACA"/>
    <w:rsid w:val="04950991"/>
    <w:rsid w:val="054A4FBF"/>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7B5CF3"/>
    <w:rsid w:val="11921C3C"/>
    <w:rsid w:val="119A5652"/>
    <w:rsid w:val="11BA7B51"/>
    <w:rsid w:val="11DC66A3"/>
    <w:rsid w:val="120F1E2C"/>
    <w:rsid w:val="12540566"/>
    <w:rsid w:val="12946645"/>
    <w:rsid w:val="12A0201F"/>
    <w:rsid w:val="12D3200B"/>
    <w:rsid w:val="13495D69"/>
    <w:rsid w:val="134F66BB"/>
    <w:rsid w:val="13B7767A"/>
    <w:rsid w:val="13B9670D"/>
    <w:rsid w:val="13DE4767"/>
    <w:rsid w:val="14484DCB"/>
    <w:rsid w:val="14852776"/>
    <w:rsid w:val="15140BCE"/>
    <w:rsid w:val="15337B56"/>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E3163D"/>
    <w:rsid w:val="17F8769D"/>
    <w:rsid w:val="18041AB4"/>
    <w:rsid w:val="1812072F"/>
    <w:rsid w:val="189F7450"/>
    <w:rsid w:val="190F268E"/>
    <w:rsid w:val="19287585"/>
    <w:rsid w:val="194427B5"/>
    <w:rsid w:val="19610BFF"/>
    <w:rsid w:val="19953307"/>
    <w:rsid w:val="19A07D04"/>
    <w:rsid w:val="19EC565F"/>
    <w:rsid w:val="1A2C6A6A"/>
    <w:rsid w:val="1AB13D5A"/>
    <w:rsid w:val="1B2C6F2C"/>
    <w:rsid w:val="1B4951D2"/>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7929AE"/>
    <w:rsid w:val="1FD45CE1"/>
    <w:rsid w:val="1FF41399"/>
    <w:rsid w:val="201E5567"/>
    <w:rsid w:val="21433609"/>
    <w:rsid w:val="214D162F"/>
    <w:rsid w:val="21980691"/>
    <w:rsid w:val="22042471"/>
    <w:rsid w:val="22171129"/>
    <w:rsid w:val="222D0D62"/>
    <w:rsid w:val="22551E62"/>
    <w:rsid w:val="227D729C"/>
    <w:rsid w:val="2350568B"/>
    <w:rsid w:val="237F35E5"/>
    <w:rsid w:val="23A50D24"/>
    <w:rsid w:val="23E44373"/>
    <w:rsid w:val="241110D5"/>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5421D"/>
    <w:rsid w:val="2A770C99"/>
    <w:rsid w:val="2A9A5574"/>
    <w:rsid w:val="2B2942A8"/>
    <w:rsid w:val="2B704201"/>
    <w:rsid w:val="2BBB2833"/>
    <w:rsid w:val="2BC42334"/>
    <w:rsid w:val="2C1011CD"/>
    <w:rsid w:val="2C40390A"/>
    <w:rsid w:val="2C4C703B"/>
    <w:rsid w:val="2C994559"/>
    <w:rsid w:val="2D241337"/>
    <w:rsid w:val="2D753D30"/>
    <w:rsid w:val="2DC02129"/>
    <w:rsid w:val="2E010168"/>
    <w:rsid w:val="2E6A7D66"/>
    <w:rsid w:val="2EA605F1"/>
    <w:rsid w:val="2EA972CC"/>
    <w:rsid w:val="2EC31B75"/>
    <w:rsid w:val="2EF83F09"/>
    <w:rsid w:val="2FE72027"/>
    <w:rsid w:val="2FF46FBA"/>
    <w:rsid w:val="306A1371"/>
    <w:rsid w:val="30B67831"/>
    <w:rsid w:val="3127549C"/>
    <w:rsid w:val="31533557"/>
    <w:rsid w:val="31B41A9A"/>
    <w:rsid w:val="31C74937"/>
    <w:rsid w:val="31F02E84"/>
    <w:rsid w:val="32062205"/>
    <w:rsid w:val="322068C9"/>
    <w:rsid w:val="326170B4"/>
    <w:rsid w:val="328F3B54"/>
    <w:rsid w:val="329A11A0"/>
    <w:rsid w:val="32FF7EB7"/>
    <w:rsid w:val="33381316"/>
    <w:rsid w:val="33424079"/>
    <w:rsid w:val="336359DD"/>
    <w:rsid w:val="34126396"/>
    <w:rsid w:val="345E593B"/>
    <w:rsid w:val="34605A84"/>
    <w:rsid w:val="346C230B"/>
    <w:rsid w:val="35034F52"/>
    <w:rsid w:val="352C602C"/>
    <w:rsid w:val="35B16527"/>
    <w:rsid w:val="363C1BD7"/>
    <w:rsid w:val="36774E48"/>
    <w:rsid w:val="36B76A85"/>
    <w:rsid w:val="36B82ADE"/>
    <w:rsid w:val="37174190"/>
    <w:rsid w:val="376879F0"/>
    <w:rsid w:val="378F057D"/>
    <w:rsid w:val="37EC4B4C"/>
    <w:rsid w:val="383529C2"/>
    <w:rsid w:val="387B665C"/>
    <w:rsid w:val="39676CBC"/>
    <w:rsid w:val="39690814"/>
    <w:rsid w:val="39B76C90"/>
    <w:rsid w:val="39C37A55"/>
    <w:rsid w:val="39C53B44"/>
    <w:rsid w:val="39EF39C3"/>
    <w:rsid w:val="3A021304"/>
    <w:rsid w:val="3A23092B"/>
    <w:rsid w:val="3A35598B"/>
    <w:rsid w:val="3A595F4B"/>
    <w:rsid w:val="3A9D0C11"/>
    <w:rsid w:val="3B4C73CF"/>
    <w:rsid w:val="3BC55932"/>
    <w:rsid w:val="3C534D08"/>
    <w:rsid w:val="3C7826C2"/>
    <w:rsid w:val="3C8F2051"/>
    <w:rsid w:val="3CD87A38"/>
    <w:rsid w:val="3D83215E"/>
    <w:rsid w:val="3DF76443"/>
    <w:rsid w:val="3DFF3A1A"/>
    <w:rsid w:val="3E166344"/>
    <w:rsid w:val="3EA946F7"/>
    <w:rsid w:val="3EAB715E"/>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EE6E5E"/>
    <w:rsid w:val="42F60353"/>
    <w:rsid w:val="438556A7"/>
    <w:rsid w:val="43A6228A"/>
    <w:rsid w:val="43D63BB7"/>
    <w:rsid w:val="445A3B32"/>
    <w:rsid w:val="44814819"/>
    <w:rsid w:val="449B7167"/>
    <w:rsid w:val="44CC2C77"/>
    <w:rsid w:val="451851EA"/>
    <w:rsid w:val="4524487F"/>
    <w:rsid w:val="45CC078F"/>
    <w:rsid w:val="45FA1697"/>
    <w:rsid w:val="462907D8"/>
    <w:rsid w:val="466B6F06"/>
    <w:rsid w:val="46860155"/>
    <w:rsid w:val="46E93EA5"/>
    <w:rsid w:val="476049FD"/>
    <w:rsid w:val="47802A85"/>
    <w:rsid w:val="47E65D23"/>
    <w:rsid w:val="47F6480D"/>
    <w:rsid w:val="4801691C"/>
    <w:rsid w:val="482B788B"/>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1C3F8C"/>
    <w:rsid w:val="4C263A21"/>
    <w:rsid w:val="4C973694"/>
    <w:rsid w:val="4CCE54E6"/>
    <w:rsid w:val="4D5D4C67"/>
    <w:rsid w:val="4EC3046A"/>
    <w:rsid w:val="4ECD4D2C"/>
    <w:rsid w:val="4EDD4EDE"/>
    <w:rsid w:val="4EE45C33"/>
    <w:rsid w:val="4EED4C04"/>
    <w:rsid w:val="4F323CFA"/>
    <w:rsid w:val="4F726F49"/>
    <w:rsid w:val="4FB2334F"/>
    <w:rsid w:val="4FDD6C50"/>
    <w:rsid w:val="500C5A60"/>
    <w:rsid w:val="50461117"/>
    <w:rsid w:val="509A5F14"/>
    <w:rsid w:val="514B566F"/>
    <w:rsid w:val="515442E6"/>
    <w:rsid w:val="51954E8A"/>
    <w:rsid w:val="519B5496"/>
    <w:rsid w:val="52667895"/>
    <w:rsid w:val="52B20439"/>
    <w:rsid w:val="53140A76"/>
    <w:rsid w:val="5337488A"/>
    <w:rsid w:val="53735224"/>
    <w:rsid w:val="537D24F6"/>
    <w:rsid w:val="53AD73D7"/>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7D41D62"/>
    <w:rsid w:val="584667E1"/>
    <w:rsid w:val="5884596F"/>
    <w:rsid w:val="589C1605"/>
    <w:rsid w:val="58E1781D"/>
    <w:rsid w:val="59471C07"/>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C30298"/>
    <w:rsid w:val="60D76AF0"/>
    <w:rsid w:val="60E7450D"/>
    <w:rsid w:val="6166406C"/>
    <w:rsid w:val="618F3AF2"/>
    <w:rsid w:val="61DA68DC"/>
    <w:rsid w:val="622708C6"/>
    <w:rsid w:val="62454B61"/>
    <w:rsid w:val="62460A47"/>
    <w:rsid w:val="63554C8E"/>
    <w:rsid w:val="63890B77"/>
    <w:rsid w:val="63970830"/>
    <w:rsid w:val="639D1EC4"/>
    <w:rsid w:val="63A13700"/>
    <w:rsid w:val="63DA03E2"/>
    <w:rsid w:val="64541B77"/>
    <w:rsid w:val="64667487"/>
    <w:rsid w:val="64E9282A"/>
    <w:rsid w:val="65194891"/>
    <w:rsid w:val="65C63D9B"/>
    <w:rsid w:val="66103AAA"/>
    <w:rsid w:val="667640C4"/>
    <w:rsid w:val="66DC24A5"/>
    <w:rsid w:val="66DF3B52"/>
    <w:rsid w:val="672963E0"/>
    <w:rsid w:val="675A4556"/>
    <w:rsid w:val="675C47D1"/>
    <w:rsid w:val="675E5725"/>
    <w:rsid w:val="679271B5"/>
    <w:rsid w:val="67AE1BA6"/>
    <w:rsid w:val="68191A65"/>
    <w:rsid w:val="68C76D6E"/>
    <w:rsid w:val="68F60924"/>
    <w:rsid w:val="6943423A"/>
    <w:rsid w:val="69572330"/>
    <w:rsid w:val="698C4C9E"/>
    <w:rsid w:val="69E719A0"/>
    <w:rsid w:val="6A557981"/>
    <w:rsid w:val="6A5B0FA5"/>
    <w:rsid w:val="6A983C35"/>
    <w:rsid w:val="6AAC3F8C"/>
    <w:rsid w:val="6AFD414A"/>
    <w:rsid w:val="6B4C2F45"/>
    <w:rsid w:val="6B6E4269"/>
    <w:rsid w:val="6B961612"/>
    <w:rsid w:val="6B966680"/>
    <w:rsid w:val="6BEA36B3"/>
    <w:rsid w:val="6C161AD0"/>
    <w:rsid w:val="6D157AE9"/>
    <w:rsid w:val="6D275220"/>
    <w:rsid w:val="6D2E7D50"/>
    <w:rsid w:val="6DD90E21"/>
    <w:rsid w:val="6DE0162F"/>
    <w:rsid w:val="6DFA3383"/>
    <w:rsid w:val="6E1A49C5"/>
    <w:rsid w:val="6E254EA7"/>
    <w:rsid w:val="6E3C5181"/>
    <w:rsid w:val="6E4B2AEB"/>
    <w:rsid w:val="6E754280"/>
    <w:rsid w:val="6EBB30B7"/>
    <w:rsid w:val="6F0D185D"/>
    <w:rsid w:val="6F786BDA"/>
    <w:rsid w:val="6FA9351C"/>
    <w:rsid w:val="70786034"/>
    <w:rsid w:val="70851CBD"/>
    <w:rsid w:val="709573C6"/>
    <w:rsid w:val="709E2354"/>
    <w:rsid w:val="70E70772"/>
    <w:rsid w:val="71900429"/>
    <w:rsid w:val="719027A5"/>
    <w:rsid w:val="71930C34"/>
    <w:rsid w:val="71C07EAD"/>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70150"/>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0D59F8"/>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2">
    <w:name w:val="Normal Table"/>
    <w:unhideWhenUsed/>
    <w:uiPriority w:val="99"/>
    <w:tblPr>
      <w:tblStyle w:val="12"/>
      <w:tblLayout w:type="fixed"/>
      <w:tblCellMar>
        <w:top w:w="0" w:type="dxa"/>
        <w:left w:w="108" w:type="dxa"/>
        <w:bottom w:w="0" w:type="dxa"/>
        <w:right w:w="108" w:type="dxa"/>
      </w:tblCellMar>
    </w:tblPr>
    <w:tcPr>
      <w:textDirection w:val="lrTb"/>
    </w:tcPr>
  </w:style>
  <w:style w:type="paragraph" w:styleId="2">
    <w:name w:val="annotation subject"/>
    <w:basedOn w:val="3"/>
    <w:next w:val="3"/>
    <w:link w:val="15"/>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FollowedHyperlink"/>
    <w:basedOn w:val="8"/>
    <w:uiPriority w:val="0"/>
    <w:rPr>
      <w:color w:val="000000"/>
      <w:u w:val="none"/>
    </w:rPr>
  </w:style>
  <w:style w:type="character" w:styleId="10">
    <w:name w:val="Hyperlink"/>
    <w:basedOn w:val="8"/>
    <w:uiPriority w:val="0"/>
    <w:rPr>
      <w:color w:val="000000"/>
      <w:u w:val="none"/>
    </w:rPr>
  </w:style>
  <w:style w:type="character" w:styleId="11">
    <w:name w:val="annotation reference"/>
    <w:qFormat/>
    <w:uiPriority w:val="0"/>
    <w:rPr>
      <w:sz w:val="21"/>
      <w:szCs w:val="21"/>
    </w:r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4">
    <w:name w:val=""/>
    <w:basedOn w:val="1"/>
    <w:next w:val="1"/>
    <w:uiPriority w:val="0"/>
    <w:pPr>
      <w:pBdr>
        <w:top w:val="single" w:color="auto" w:sz="6" w:space="1"/>
      </w:pBdr>
      <w:jc w:val="center"/>
    </w:pPr>
    <w:rPr>
      <w:rFonts w:ascii="Arial" w:eastAsia="宋体"/>
      <w:vanish/>
      <w:sz w:val="16"/>
    </w:rPr>
  </w:style>
  <w:style w:type="character" w:customStyle="1" w:styleId="15">
    <w:name w:val="批注主题 Char"/>
    <w:link w:val="2"/>
    <w:qFormat/>
    <w:uiPriority w:val="0"/>
    <w:rPr>
      <w:b/>
      <w:bCs/>
      <w:kern w:val="2"/>
      <w:sz w:val="21"/>
      <w:szCs w:val="24"/>
    </w:rPr>
  </w:style>
  <w:style w:type="character" w:customStyle="1" w:styleId="16">
    <w:name w:val="批注文字 Char"/>
    <w:link w:val="3"/>
    <w:qFormat/>
    <w:uiPriority w:val="0"/>
    <w:rPr>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14592</Words>
  <Characters>15005</Characters>
  <Lines>114</Lines>
  <Paragraphs>32</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2023-04-26T06:48:00Z</dcterms:created>
  <dc:creator>ylh</dc:creator>
  <cp:keywords>稳健低波</cp:keywords>
  <cp:lastModifiedBy>RORO</cp:lastModifiedBy>
  <cp:lastPrinted>2023-03-20T06:17:00Z</cp:lastPrinted>
  <dcterms:modified xsi:type="dcterms:W3CDTF">2023-07-04T01:44:02Z</dcterms:modified>
  <dc:title>华夏理财固定收益纯债型封闭式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