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4"/>
        <w:widowControl/>
        <w:spacing w:line="240" w:lineRule="auto"/>
        <w:ind w:firstLine="0"/>
        <w:jc w:val="center"/>
        <w:rPr>
          <w:rFonts w:eastAsia="黑体"/>
          <w:bCs/>
          <w:sz w:val="36"/>
          <w:szCs w:val="36"/>
        </w:rPr>
      </w:pPr>
      <w:bookmarkStart w:id="6" w:name="_GoBack"/>
      <w:bookmarkEnd w:id="6"/>
      <w:r>
        <w:rPr>
          <w:rFonts w:hint="eastAsia" w:eastAsia="黑体"/>
          <w:bCs/>
          <w:sz w:val="36"/>
          <w:szCs w:val="36"/>
        </w:rPr>
        <w:t>华夏理财固定收益债权型封闭式理财产品10</w:t>
      </w:r>
      <w:r>
        <w:rPr>
          <w:rFonts w:hint="eastAsia" w:eastAsia="黑体"/>
          <w:bCs/>
          <w:sz w:val="36"/>
          <w:szCs w:val="36"/>
          <w:lang w:val="en-US" w:eastAsia="zh-CN"/>
        </w:rPr>
        <w:t>7</w:t>
      </w:r>
      <w:r>
        <w:rPr>
          <w:rFonts w:hint="eastAsia" w:eastAsia="黑体"/>
          <w:bCs/>
          <w:sz w:val="36"/>
          <w:szCs w:val="36"/>
        </w:rPr>
        <w:t>号</w:t>
      </w:r>
    </w:p>
    <w:p>
      <w:pPr>
        <w:pStyle w:val="4"/>
        <w:widowControl/>
        <w:spacing w:line="240" w:lineRule="auto"/>
        <w:ind w:firstLine="0"/>
        <w:jc w:val="center"/>
        <w:rPr>
          <w:rFonts w:eastAsia="黑体"/>
          <w:bCs/>
          <w:sz w:val="36"/>
          <w:szCs w:val="36"/>
        </w:rPr>
      </w:pPr>
      <w:r>
        <w:rPr>
          <w:rFonts w:hint="eastAsia" w:eastAsia="黑体"/>
          <w:bCs/>
          <w:sz w:val="36"/>
          <w:szCs w:val="36"/>
        </w:rPr>
        <w:t>说明书</w:t>
      </w:r>
    </w:p>
    <w:tbl>
      <w:tblPr>
        <w:tblStyle w:val="13"/>
        <w:tblW w:w="8569"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6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140" w:hRule="atLeast"/>
          <w:jc w:val="center"/>
        </w:trPr>
        <w:tc>
          <w:tcPr>
            <w:tcW w:w="8569"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投资者不能申购、赎回本理财产品。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请详细阅读本产品说明书第八部分风险揭示内容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w:t>
            </w:r>
            <w:r>
              <w:rPr>
                <w:rFonts w:ascii="黑体" w:hAnsi="黑体" w:eastAsia="黑体"/>
                <w:b/>
                <w:sz w:val="28"/>
                <w:szCs w:val="28"/>
                <w:u w:val="single"/>
              </w:rPr>
              <w:t>华夏银行</w:t>
            </w:r>
            <w:r>
              <w:rPr>
                <w:rFonts w:hint="eastAsia" w:ascii="黑体" w:hAnsi="黑体" w:eastAsia="黑体"/>
                <w:b/>
                <w:sz w:val="28"/>
                <w:szCs w:val="28"/>
                <w:u w:val="single"/>
              </w:rPr>
              <w:t>官方</w:t>
            </w:r>
            <w:r>
              <w:rPr>
                <w:rFonts w:ascii="黑体" w:hAnsi="黑体" w:eastAsia="黑体"/>
                <w:b/>
                <w:sz w:val="28"/>
                <w:szCs w:val="28"/>
                <w:u w:val="single"/>
              </w:rPr>
              <w:t>网站</w:t>
            </w:r>
            <w:r>
              <w:rPr>
                <w:rFonts w:hint="eastAsia" w:ascii="黑体" w:hAnsi="黑体" w:eastAsia="黑体"/>
                <w:b/>
                <w:sz w:val="28"/>
                <w:szCs w:val="28"/>
                <w:u w:val="single"/>
              </w:rPr>
              <w:t>、代理销售机构（如有）信息披露渠道等进行公告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w:t>
            </w:r>
            <w:bookmarkStart w:id="0" w:name="_Hlk76301410"/>
            <w:r>
              <w:rPr>
                <w:rFonts w:hint="eastAsia" w:ascii="黑体" w:hAnsi="黑体" w:eastAsia="黑体"/>
                <w:b/>
                <w:sz w:val="28"/>
                <w:szCs w:val="28"/>
                <w:u w:val="single"/>
              </w:rPr>
              <w:t>华夏银行客户服务热线95577或其他代理销售机构客户服务热线</w:t>
            </w:r>
            <w:bookmarkEnd w:id="0"/>
            <w:r>
              <w:rPr>
                <w:rFonts w:hint="eastAsia" w:ascii="黑体" w:hAnsi="黑体" w:eastAsia="黑体"/>
                <w:b/>
                <w:sz w:val="28"/>
                <w:szCs w:val="28"/>
                <w:u w:val="single"/>
              </w:rPr>
              <w:t>。</w:t>
            </w:r>
          </w:p>
        </w:tc>
      </w:tr>
    </w:tbl>
    <w:p>
      <w:pPr>
        <w:pStyle w:val="14"/>
        <w:snapToGrid w:val="0"/>
        <w:spacing w:after="156" w:afterLines="50" w:line="400" w:lineRule="exact"/>
        <w:jc w:val="both"/>
        <w:rPr>
          <w:rFonts w:ascii="Times New Roman" w:eastAsia="黑体" w:cs="Times New Roman"/>
          <w:b/>
          <w:color w:val="auto"/>
        </w:rPr>
      </w:pPr>
      <w:r>
        <w:rPr>
          <w:rFonts w:hint="eastAsia" w:ascii="Times New Roman" w:eastAsia="黑体" w:cs="Times New Roman"/>
          <w:b/>
          <w:color w:val="auto"/>
        </w:rPr>
        <w:t xml:space="preserve">    </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3"/>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
                <w:bCs/>
                <w:szCs w:val="21"/>
              </w:rPr>
            </w:pPr>
            <w:r>
              <w:rPr>
                <w:rFonts w:hint="eastAsia" w:ascii="仿宋" w:hAnsi="仿宋" w:eastAsia="仿宋"/>
                <w:b/>
                <w:bCs/>
                <w:szCs w:val="21"/>
              </w:rPr>
              <w:t>华夏理财固定收益债权型封闭式理财产品10</w:t>
            </w:r>
            <w:r>
              <w:rPr>
                <w:rFonts w:hint="eastAsia" w:ascii="仿宋" w:hAnsi="仿宋" w:eastAsia="仿宋"/>
                <w:b/>
                <w:bCs/>
                <w:szCs w:val="21"/>
                <w:lang w:val="en-US" w:eastAsia="zh-CN"/>
              </w:rPr>
              <w:t>7</w:t>
            </w:r>
            <w:r>
              <w:rPr>
                <w:rFonts w:hint="eastAsia" w:ascii="仿宋" w:hAnsi="仿宋" w:eastAsia="仿宋"/>
                <w:b/>
                <w:bCs/>
                <w:szCs w:val="21"/>
              </w:rPr>
              <w:t>号</w:t>
            </w:r>
          </w:p>
          <w:p>
            <w:pPr>
              <w:adjustRightInd w:val="0"/>
              <w:snapToGrid w:val="0"/>
              <w:spacing w:line="300" w:lineRule="exact"/>
              <w:jc w:val="center"/>
              <w:rPr>
                <w:rFonts w:hint="eastAsia" w:ascii="仿宋" w:hAnsi="仿宋" w:eastAsia="仿宋"/>
                <w:b/>
                <w:bCs/>
                <w:szCs w:val="21"/>
              </w:rPr>
            </w:pPr>
            <w:r>
              <w:rPr>
                <w:rFonts w:hint="eastAsia" w:ascii="仿宋" w:hAnsi="仿宋" w:eastAsia="仿宋"/>
                <w:b/>
                <w:bCs/>
                <w:szCs w:val="21"/>
              </w:rPr>
              <w:t>简称：“华夏理财固收债权封闭式10</w:t>
            </w:r>
            <w:r>
              <w:rPr>
                <w:rFonts w:hint="eastAsia" w:ascii="仿宋" w:hAnsi="仿宋" w:eastAsia="仿宋"/>
                <w:b/>
                <w:bCs/>
                <w:szCs w:val="21"/>
                <w:lang w:val="en-US" w:eastAsia="zh-CN"/>
              </w:rPr>
              <w:t>7</w:t>
            </w:r>
            <w:r>
              <w:rPr>
                <w:rFonts w:hint="eastAsia" w:ascii="仿宋" w:hAnsi="仿宋" w:eastAsia="仿宋"/>
                <w:b/>
                <w:bCs/>
                <w:szCs w:val="21"/>
              </w:rPr>
              <w:t>号</w:t>
            </w:r>
            <w:r>
              <w:rPr>
                <w:rFonts w:hint="eastAsia" w:ascii="仿宋" w:hAnsi="仿宋" w:eastAsia="仿宋"/>
                <w:b/>
                <w:bCs/>
                <w:szCs w:val="21"/>
                <w:lang w:val="en-US" w:eastAsia="zh-CN"/>
              </w:rPr>
              <w:t>398</w:t>
            </w:r>
            <w:r>
              <w:rPr>
                <w:rFonts w:hint="eastAsia" w:ascii="仿宋" w:hAnsi="仿宋" w:eastAsia="仿宋"/>
                <w:b/>
                <w:bCs/>
                <w:szCs w:val="21"/>
              </w:rPr>
              <w:t>天</w:t>
            </w:r>
            <w:r>
              <w:rPr>
                <w:rFonts w:hint="eastAsia" w:ascii="仿宋" w:hAnsi="仿宋" w:eastAsia="仿宋"/>
                <w:b/>
                <w:bCs/>
                <w:szCs w:val="21"/>
                <w:lang w:val="en-US" w:eastAsia="zh-CN"/>
              </w:rPr>
              <w:t>成都专属</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2312110</w:t>
            </w:r>
            <w:r>
              <w:rPr>
                <w:rFonts w:hint="eastAsia" w:ascii="仿宋" w:hAnsi="仿宋" w:eastAsia="仿宋"/>
                <w:bCs/>
                <w:szCs w:val="21"/>
                <w:lang w:val="en-US" w:eastAsia="zh-CN"/>
              </w:rPr>
              <w:t>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300" w:lineRule="exact"/>
              <w:jc w:val="cente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rPr>
                <w:rFonts w:ascii="仿宋" w:hAnsi="仿宋" w:eastAsia="仿宋"/>
                <w:bCs/>
                <w:szCs w:val="21"/>
              </w:rPr>
            </w:pPr>
            <w:r>
              <w:rPr>
                <w:rFonts w:ascii="仿宋" w:hAnsi="仿宋" w:eastAsia="仿宋"/>
                <w:bCs/>
                <w:szCs w:val="21"/>
              </w:rPr>
              <w:t>Z70039230001</w:t>
            </w:r>
            <w:r>
              <w:rPr>
                <w:rFonts w:hint="eastAsia" w:ascii="仿宋" w:hAnsi="仿宋" w:eastAsia="仿宋"/>
                <w:bCs/>
                <w:szCs w:val="21"/>
                <w:lang w:val="en-US" w:eastAsia="zh-CN"/>
              </w:rPr>
              <w:t>40</w:t>
            </w:r>
          </w:p>
          <w:p>
            <w:pPr>
              <w:keepNext/>
              <w:adjustRightInd w:val="0"/>
              <w:snapToGrid w:val="0"/>
              <w:spacing w:line="300" w:lineRule="exact"/>
              <w:jc w:val="cente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ascii="仿宋" w:hAnsi="仿宋" w:eastAsia="仿宋"/>
                <w:bCs/>
                <w:szCs w:val="21"/>
                <w:u w:val="single"/>
              </w:rPr>
              <w:t xml:space="preserve"> </w:t>
            </w:r>
            <w:r>
              <w:rPr>
                <w:rFonts w:hint="eastAsia" w:ascii="仿宋" w:hAnsi="仿宋" w:eastAsia="仿宋"/>
                <w:bCs/>
                <w:szCs w:val="21"/>
                <w:u w:val="single"/>
              </w:rPr>
              <w:t>PR2级（中低风险）</w:t>
            </w:r>
            <w:r>
              <w:rPr>
                <w:rFonts w:ascii="仿宋" w:hAnsi="仿宋" w:eastAsia="仿宋"/>
                <w:bCs/>
                <w:szCs w:val="21"/>
                <w:u w:val="single"/>
              </w:rPr>
              <w:t xml:space="preserve"> </w:t>
            </w:r>
            <w:r>
              <w:rPr>
                <w:rFonts w:ascii="仿宋" w:hAnsi="仿宋" w:eastAsia="仿宋"/>
                <w:bCs/>
                <w:szCs w:val="21"/>
              </w:rPr>
              <w:t>理财产品。</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本理财产品通过代理销售机构（以下简称“代销机构”）渠道销售的，理财产品评级应当以代销机构最终披露的评级结果为准。</w:t>
            </w:r>
            <w:r>
              <w:rPr>
                <w:rFonts w:hint="eastAsia" w:ascii="仿宋" w:hAnsi="仿宋" w:eastAsia="仿宋"/>
                <w:szCs w:val="21"/>
              </w:rPr>
              <w:t>代销机构如与华夏理财产品风险评级结果不一致，应当采用对应较高风险等级的评级结果</w:t>
            </w:r>
            <w:r>
              <w:rPr>
                <w:rFonts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ascii="仿宋" w:hAnsi="仿宋" w:eastAsia="仿宋"/>
                <w:bCs/>
                <w:szCs w:val="21"/>
                <w:u w:val="single"/>
              </w:rPr>
              <w:t xml:space="preserve"> </w:t>
            </w:r>
            <w:r>
              <w:rPr>
                <w:rFonts w:hint="eastAsia" w:ascii="仿宋" w:hAnsi="仿宋" w:eastAsia="仿宋"/>
                <w:bCs/>
                <w:szCs w:val="21"/>
                <w:u w:val="single"/>
              </w:rPr>
              <w:t>CR2（稳健型）、CR3（平衡型）、CR4（进取型）、CR5（激进型）</w:t>
            </w:r>
            <w:r>
              <w:rPr>
                <w:rFonts w:ascii="仿宋" w:hAnsi="仿宋" w:eastAsia="仿宋"/>
                <w:bCs/>
                <w:szCs w:val="21"/>
                <w:u w:val="single"/>
              </w:rPr>
              <w:t xml:space="preserve"> </w:t>
            </w:r>
            <w:r>
              <w:rPr>
                <w:rFonts w:hint="eastAsia" w:ascii="仿宋" w:hAnsi="仿宋" w:eastAsia="仿宋"/>
                <w:bCs/>
                <w:szCs w:val="21"/>
              </w:rPr>
              <w:t>的个人投资者。客户风险承受能力评级类型分为：CR1（谨慎型）、CR2（稳健型）、CR3（平衡型）、CR4（进取型）、CR5（激进型）</w:t>
            </w:r>
            <w:r>
              <w:rPr>
                <w:rFonts w:ascii="仿宋" w:hAnsi="仿宋" w:eastAsia="仿宋"/>
                <w:bCs/>
                <w:szCs w:val="21"/>
              </w:rPr>
              <w:t>。</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通过代销机构购买的，适合投资者及投资者风险承受能力评估结果以代销机构规定为准。</w:t>
            </w:r>
          </w:p>
          <w:p>
            <w:pPr>
              <w:adjustRightInd w:val="0"/>
              <w:snapToGrid w:val="0"/>
              <w:spacing w:line="300" w:lineRule="exact"/>
              <w:ind w:firstLine="422" w:firstLineChars="200"/>
            </w:pPr>
            <w:r>
              <w:rPr>
                <w:rFonts w:hint="eastAsia" w:ascii="仿宋" w:hAnsi="仿宋" w:eastAsia="仿宋"/>
                <w:b/>
                <w:bCs/>
                <w:szCs w:val="21"/>
              </w:rPr>
              <w:t>华夏理财/代销机构根据</w:t>
            </w:r>
            <w:r>
              <w:rPr>
                <w:rFonts w:hint="eastAsia" w:ascii="仿宋" w:hAnsi="仿宋" w:eastAsia="仿宋"/>
                <w:b/>
                <w:bCs/>
                <w:color w:val="000000"/>
                <w:szCs w:val="21"/>
              </w:rPr>
              <w:t>非机构</w:t>
            </w:r>
            <w:r>
              <w:rPr>
                <w:rFonts w:hint="eastAsia" w:ascii="仿宋" w:hAnsi="仿宋" w:eastAsia="仿宋"/>
                <w:b/>
                <w:bCs/>
                <w:szCs w:val="21"/>
              </w:rPr>
              <w:t>投资者自身提供的信息评估</w:t>
            </w:r>
            <w:r>
              <w:rPr>
                <w:rFonts w:hint="eastAsia" w:ascii="仿宋" w:hAnsi="仿宋" w:eastAsia="仿宋"/>
                <w:b/>
                <w:bCs/>
                <w:color w:val="000000"/>
                <w:szCs w:val="21"/>
              </w:rPr>
              <w:t>非机构</w:t>
            </w:r>
            <w:r>
              <w:rPr>
                <w:rFonts w:hint="eastAsia" w:ascii="仿宋" w:hAnsi="仿宋" w:eastAsia="仿宋"/>
                <w:b/>
                <w:bCs/>
                <w:szCs w:val="21"/>
              </w:rPr>
              <w:t>投资者风险承受能力，因</w:t>
            </w:r>
            <w:r>
              <w:rPr>
                <w:rFonts w:hint="eastAsia" w:ascii="仿宋" w:hAnsi="仿宋" w:eastAsia="仿宋"/>
                <w:b/>
                <w:bCs/>
                <w:color w:val="000000"/>
                <w:szCs w:val="21"/>
              </w:rPr>
              <w:t>非机构</w:t>
            </w:r>
            <w:r>
              <w:rPr>
                <w:rFonts w:hint="eastAsia" w:ascii="仿宋" w:hAnsi="仿宋" w:eastAsia="仿宋"/>
                <w:b/>
                <w:bCs/>
                <w:szCs w:val="21"/>
              </w:rPr>
              <w:t>投资者提供信息不准确或不完整，导致其购买与自己风险承受能力不匹配的理财产品的</w:t>
            </w:r>
            <w:r>
              <w:rPr>
                <w:rFonts w:ascii="仿宋" w:hAnsi="仿宋" w:eastAsia="仿宋"/>
                <w:b/>
                <w:bCs/>
                <w:szCs w:val="21"/>
              </w:rPr>
              <w:t>责任和风险由</w:t>
            </w:r>
            <w:r>
              <w:rPr>
                <w:rFonts w:hint="eastAsia" w:ascii="仿宋" w:hAnsi="仿宋" w:eastAsia="仿宋"/>
                <w:b/>
                <w:bCs/>
                <w:szCs w:val="21"/>
              </w:rPr>
              <w:t>投资者</w:t>
            </w:r>
            <w:r>
              <w:rPr>
                <w:rFonts w:ascii="仿宋" w:hAnsi="仿宋" w:eastAsia="仿宋"/>
                <w:b/>
                <w:bCs/>
                <w:szCs w:val="21"/>
              </w:rPr>
              <w:t>承担</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Cambria"/>
                <w:bCs/>
                <w:szCs w:val="21"/>
              </w:rPr>
            </w:pPr>
            <w:r>
              <w:rPr>
                <w:rFonts w:hint="eastAsia" w:ascii="仿宋" w:hAnsi="仿宋" w:eastAsia="仿宋"/>
                <w:bCs/>
                <w:szCs w:val="21"/>
              </w:rPr>
              <w:t>业绩比较</w:t>
            </w:r>
            <w:r>
              <w:rPr>
                <w:rFonts w:ascii="仿宋" w:hAnsi="仿宋" w:eastAsia="仿宋"/>
                <w:bCs/>
                <w:szCs w:val="21"/>
              </w:rPr>
              <w:t>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cs="Cambria"/>
                <w:bCs/>
                <w:szCs w:val="21"/>
              </w:rPr>
            </w:pPr>
            <w:r>
              <w:rPr>
                <w:rFonts w:hint="eastAsia" w:ascii="仿宋" w:hAnsi="仿宋" w:eastAsia="仿宋" w:cs="Cambria"/>
                <w:bCs/>
                <w:szCs w:val="21"/>
              </w:rPr>
              <w:t>业绩比较基准为</w:t>
            </w:r>
            <w:r>
              <w:rPr>
                <w:rFonts w:hint="eastAsia" w:ascii="仿宋" w:hAnsi="仿宋" w:eastAsia="仿宋" w:cs="Cambria"/>
                <w:bCs/>
                <w:szCs w:val="21"/>
                <w:lang w:val="en-US" w:eastAsia="zh-CN"/>
              </w:rPr>
              <w:t>4</w:t>
            </w:r>
            <w:r>
              <w:rPr>
                <w:rFonts w:hint="eastAsia" w:ascii="仿宋" w:hAnsi="仿宋" w:eastAsia="仿宋" w:cs="Cambria"/>
                <w:bCs/>
                <w:szCs w:val="21"/>
              </w:rPr>
              <w:t>.</w:t>
            </w:r>
            <w:r>
              <w:rPr>
                <w:rFonts w:hint="eastAsia" w:ascii="仿宋" w:hAnsi="仿宋" w:eastAsia="仿宋" w:cs="Cambria"/>
                <w:bCs/>
                <w:szCs w:val="21"/>
                <w:lang w:val="en-US" w:eastAsia="zh-CN"/>
              </w:rPr>
              <w:t>2</w:t>
            </w:r>
            <w:r>
              <w:rPr>
                <w:rFonts w:hint="eastAsia" w:ascii="仿宋" w:hAnsi="仿宋" w:eastAsia="仿宋" w:cs="Cambria"/>
                <w:bCs/>
                <w:szCs w:val="21"/>
              </w:rPr>
              <w:t>0%（年化）。以产品投资债券类资产仓位60%-100%，非标债权类资产仓位0-45%，组合杠杆率100%-120%为例，参考符合久期要求的目标债券到期收益率、非标债权类资产目标收益率，结合产品久期控制投资策略并扣除各项费用后，综合测算得出上述业绩比较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cs="Cambria"/>
                <w:bCs/>
                <w:szCs w:val="21"/>
              </w:rPr>
            </w:pPr>
            <w:r>
              <w:rPr>
                <w:rFonts w:hint="eastAsia" w:ascii="仿宋" w:hAnsi="仿宋" w:eastAsia="仿宋" w:cs="Cambria"/>
                <w:bCs/>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w:t>
            </w:r>
            <w:r>
              <w:rPr>
                <w:rFonts w:hint="eastAsia" w:ascii="仿宋" w:hAnsi="仿宋" w:eastAsia="仿宋"/>
                <w:bCs/>
                <w:szCs w:val="21"/>
              </w:rPr>
              <w:t>业绩比较基准</w:t>
            </w:r>
            <w:r>
              <w:rPr>
                <w:rFonts w:hint="eastAsia" w:ascii="仿宋" w:hAnsi="仿宋" w:eastAsia="仿宋"/>
                <w:bCs/>
                <w:color w:val="000000"/>
                <w:szCs w:val="21"/>
              </w:rPr>
              <w:t>，并至少于新业绩比较</w:t>
            </w:r>
            <w:r>
              <w:rPr>
                <w:rFonts w:hint="eastAsia" w:ascii="仿宋" w:hAnsi="仿宋" w:eastAsia="仿宋" w:cs="仿宋"/>
                <w:bCs/>
                <w:szCs w:val="21"/>
              </w:rPr>
              <w:t>基准</w:t>
            </w:r>
            <w:r>
              <w:rPr>
                <w:rFonts w:hint="eastAsia" w:ascii="仿宋" w:hAnsi="仿宋" w:eastAsia="仿宋"/>
                <w:bCs/>
                <w:szCs w:val="21"/>
              </w:rPr>
              <w:t>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w:t>
            </w:r>
            <w:r>
              <w:rPr>
                <w:rFonts w:hint="eastAsia" w:ascii="仿宋" w:hAnsi="仿宋" w:eastAsia="仿宋"/>
                <w:b/>
                <w:szCs w:val="21"/>
              </w:rPr>
              <w:t>业绩比较</w:t>
            </w:r>
            <w:r>
              <w:rPr>
                <w:rFonts w:hint="eastAsia" w:ascii="仿宋" w:hAnsi="仿宋" w:eastAsia="仿宋" w:cs="仿宋"/>
                <w:b/>
                <w:szCs w:val="21"/>
              </w:rPr>
              <w:t>基准</w:t>
            </w:r>
            <w:r>
              <w:rPr>
                <w:rFonts w:hint="eastAsia" w:ascii="仿宋" w:hAnsi="仿宋" w:eastAsia="仿宋"/>
                <w:b/>
                <w:bCs/>
                <w:szCs w:val="21"/>
              </w:rPr>
              <w:t>不构成华夏理财/代销机构对本理财产品的任何收益承诺。</w:t>
            </w:r>
          </w:p>
          <w:p>
            <w:pPr>
              <w:adjustRightInd w:val="0"/>
              <w:snapToGrid w:val="0"/>
              <w:spacing w:line="300" w:lineRule="exact"/>
              <w:ind w:firstLine="422" w:firstLineChars="200"/>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jc w:val="center"/>
            </w:pPr>
            <w:bookmarkStart w:id="1" w:name="OLE_LINK2" w:colFirst="1" w:colLast="1"/>
            <w:bookmarkStart w:id="2" w:name="OLE_LINK3" w:colFirst="1" w:colLast="1"/>
            <w:bookmarkStart w:id="3" w:name="_Hlk290294163"/>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300" w:lineRule="exact"/>
              <w:ind w:firstLine="420" w:firstLineChars="200"/>
            </w:pPr>
            <w:r>
              <w:rPr>
                <w:rFonts w:hint="eastAsia" w:ascii="仿宋" w:hAnsi="仿宋" w:eastAsia="仿宋"/>
                <w:bCs/>
                <w:szCs w:val="21"/>
              </w:rPr>
              <w:t>2023年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25</w:t>
            </w:r>
            <w:r>
              <w:rPr>
                <w:rFonts w:hint="eastAsia" w:ascii="仿宋" w:hAnsi="仿宋" w:eastAsia="仿宋"/>
                <w:bCs/>
                <w:szCs w:val="21"/>
              </w:rPr>
              <w:t>日</w:t>
            </w:r>
            <w:r>
              <w:rPr>
                <w:rFonts w:ascii="仿宋" w:hAnsi="仿宋" w:eastAsia="仿宋"/>
                <w:bCs/>
                <w:szCs w:val="21"/>
              </w:rPr>
              <w:t>－</w:t>
            </w:r>
            <w:r>
              <w:rPr>
                <w:rFonts w:hint="eastAsia" w:ascii="仿宋" w:hAnsi="仿宋" w:eastAsia="仿宋"/>
                <w:bCs/>
                <w:szCs w:val="21"/>
              </w:rPr>
              <w:t>2023年</w:t>
            </w:r>
            <w:r>
              <w:rPr>
                <w:rFonts w:hint="eastAsia" w:ascii="仿宋" w:hAnsi="仿宋" w:eastAsia="仿宋"/>
                <w:bCs/>
                <w:szCs w:val="21"/>
                <w:lang w:val="en-US" w:eastAsia="zh-CN"/>
              </w:rPr>
              <w:t>5</w:t>
            </w:r>
            <w:r>
              <w:rPr>
                <w:rFonts w:hint="eastAsia" w:ascii="仿宋" w:hAnsi="仿宋" w:eastAsia="仿宋"/>
                <w:bCs/>
                <w:szCs w:val="21"/>
              </w:rPr>
              <w:t>月</w:t>
            </w:r>
            <w:r>
              <w:rPr>
                <w:rFonts w:hint="eastAsia" w:ascii="仿宋" w:hAnsi="仿宋" w:eastAsia="仿宋"/>
                <w:bCs/>
                <w:szCs w:val="21"/>
                <w:lang w:val="en-US" w:eastAsia="zh-CN"/>
              </w:rPr>
              <w:t>31</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（根据市场情况，华夏理财有权提前结束认购或调整相关日期，募集期最后一日认购截止时点如与华夏理财不一致则以各代销机构规定为准，其中华夏银行/华夏理财17:30（含）后不可认购。</w:t>
            </w:r>
            <w:r>
              <w:rPr>
                <w:rFonts w:ascii="仿宋" w:hAnsi="仿宋" w:eastAsia="仿宋"/>
                <w:bCs/>
                <w:szCs w:val="21"/>
              </w:rPr>
              <w:t>）</w:t>
            </w:r>
          </w:p>
        </w:tc>
      </w:tr>
      <w:bookmarkEnd w:id="1"/>
      <w:bookmarkEnd w:id="2"/>
      <w:bookmarkEnd w:id="3"/>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2023年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lang w:val="en-US" w:eastAsia="zh-CN"/>
              </w:rPr>
              <w:t>398</w:t>
            </w:r>
            <w:r>
              <w:rPr>
                <w:rFonts w:hint="eastAsia" w:ascii="仿宋" w:hAnsi="仿宋" w:eastAsia="仿宋"/>
                <w:bCs/>
                <w:szCs w:val="21"/>
              </w:rPr>
              <w:t>天</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2024年</w:t>
            </w:r>
            <w:r>
              <w:rPr>
                <w:rFonts w:hint="eastAsia" w:ascii="仿宋" w:hAnsi="仿宋" w:eastAsia="仿宋"/>
                <w:bCs/>
                <w:szCs w:val="21"/>
                <w:lang w:val="en-US" w:eastAsia="zh-CN"/>
              </w:rPr>
              <w:t>7</w:t>
            </w:r>
            <w:r>
              <w:rPr>
                <w:rFonts w:hint="eastAsia" w:ascii="仿宋" w:hAnsi="仿宋" w:eastAsia="仿宋"/>
                <w:bCs/>
                <w:szCs w:val="21"/>
              </w:rPr>
              <w:t>月</w:t>
            </w:r>
            <w:r>
              <w:rPr>
                <w:rFonts w:hint="eastAsia" w:ascii="仿宋" w:hAnsi="仿宋" w:eastAsia="仿宋"/>
                <w:bCs/>
                <w:szCs w:val="21"/>
                <w:lang w:val="en-US" w:eastAsia="zh-CN"/>
              </w:rPr>
              <w:t>3</w:t>
            </w:r>
            <w:r>
              <w:rPr>
                <w:rFonts w:hint="eastAsia" w:ascii="仿宋" w:hAnsi="仿宋" w:eastAsia="仿宋"/>
                <w:bCs/>
                <w:szCs w:val="21"/>
              </w:rPr>
              <w:t>日理财产品正常到期，到期日如为非工作日，则顺延至下一工作日。如理财产品因故提前或延迟到期的，则终止日以华夏理财发布的公告为准。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产品成立日至到期/终止日</w:t>
            </w:r>
            <w:r>
              <w:rPr>
                <w:rFonts w:ascii="仿宋" w:hAnsi="仿宋" w:eastAsia="仿宋"/>
                <w:bCs/>
                <w:szCs w:val="21"/>
              </w:rPr>
              <w:t>为产品的封闭期</w:t>
            </w:r>
            <w:r>
              <w:rPr>
                <w:rFonts w:hint="eastAsia" w:ascii="仿宋" w:hAnsi="仿宋" w:eastAsia="仿宋"/>
                <w:bCs/>
                <w:szCs w:val="21"/>
              </w:rPr>
              <w:t>。</w:t>
            </w:r>
          </w:p>
          <w:p>
            <w:pPr>
              <w:adjustRightInd w:val="0"/>
              <w:snapToGrid w:val="0"/>
              <w:spacing w:line="300" w:lineRule="exact"/>
              <w:ind w:firstLine="422" w:firstLineChars="200"/>
            </w:pPr>
            <w:r>
              <w:rPr>
                <w:rFonts w:hint="eastAsia" w:ascii="仿宋" w:hAnsi="仿宋" w:eastAsia="仿宋"/>
                <w:b/>
                <w:bCs/>
                <w:color w:val="000000"/>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到期/终止理财本金</w:t>
            </w:r>
            <w:r>
              <w:rPr>
                <w:rFonts w:ascii="仿宋" w:hAnsi="仿宋" w:eastAsia="仿宋"/>
                <w:bCs/>
                <w:szCs w:val="21"/>
              </w:rPr>
              <w:t>及</w:t>
            </w:r>
            <w:r>
              <w:rPr>
                <w:rFonts w:hint="eastAsia" w:ascii="仿宋" w:hAnsi="仿宋" w:eastAsia="仿宋"/>
                <w:bCs/>
                <w:szCs w:val="21"/>
              </w:rPr>
              <w:t>收益</w:t>
            </w: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根据实际投资结果向华夏理财客户及代销机构一次性划付理财本金及收益（如有），代销机构客户理财的本金及收益（如有）的具体到账账户、到账日及到账时间以代销机构划付规定为准。</w:t>
            </w:r>
          </w:p>
          <w:p>
            <w:pPr>
              <w:adjustRightInd w:val="0"/>
              <w:snapToGrid w:val="0"/>
              <w:spacing w:line="300" w:lineRule="exact"/>
              <w:ind w:firstLine="420" w:firstLineChars="200"/>
            </w:pPr>
            <w:r>
              <w:rPr>
                <w:rFonts w:hint="eastAsia" w:ascii="仿宋" w:hAnsi="仿宋" w:eastAsia="仿宋"/>
                <w:bCs/>
                <w:szCs w:val="21"/>
              </w:rPr>
              <w:t>客户到期/终止每笔本金及收益金额=每笔认购份额*到期/终止日的份额净值，金额计算保留到小数点后</w:t>
            </w:r>
            <w:r>
              <w:rPr>
                <w:rFonts w:ascii="仿宋" w:hAnsi="仿宋" w:eastAsia="仿宋"/>
                <w:bCs/>
                <w:szCs w:val="21"/>
              </w:rPr>
              <w:t xml:space="preserve"> 2 </w:t>
            </w:r>
            <w:r>
              <w:rPr>
                <w:rFonts w:hint="eastAsia" w:ascii="仿宋" w:hAnsi="仿宋" w:eastAsia="仿宋"/>
                <w:bCs/>
                <w:szCs w:val="21"/>
              </w:rPr>
              <w:t>位，小数点后第</w:t>
            </w:r>
            <w:r>
              <w:rPr>
                <w:rFonts w:ascii="仿宋" w:hAnsi="仿宋" w:eastAsia="仿宋"/>
                <w:bCs/>
                <w:szCs w:val="21"/>
              </w:rPr>
              <w:t xml:space="preserve"> 3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color w:val="000000"/>
                <w:szCs w:val="21"/>
              </w:rPr>
              <w:t>面向全国发行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本产品</w:t>
            </w:r>
            <w:r>
              <w:rPr>
                <w:rFonts w:ascii="仿宋" w:hAnsi="仿宋" w:eastAsia="仿宋"/>
                <w:bCs/>
                <w:szCs w:val="21"/>
              </w:rPr>
              <w:t>计划发行规模上限为</w:t>
            </w:r>
            <w:r>
              <w:rPr>
                <w:rFonts w:hint="eastAsia" w:ascii="仿宋" w:hAnsi="仿宋" w:eastAsia="仿宋"/>
                <w:bCs/>
                <w:szCs w:val="21"/>
                <w:lang w:val="en-US" w:eastAsia="zh-CN"/>
              </w:rPr>
              <w:t>5</w:t>
            </w:r>
            <w:r>
              <w:rPr>
                <w:rFonts w:hint="eastAsia" w:ascii="仿宋" w:hAnsi="仿宋" w:eastAsia="仿宋"/>
                <w:bCs/>
                <w:szCs w:val="21"/>
              </w:rPr>
              <w:t>亿元，</w:t>
            </w:r>
            <w:r>
              <w:rPr>
                <w:rFonts w:ascii="仿宋" w:hAnsi="仿宋" w:eastAsia="仿宋"/>
                <w:bCs/>
                <w:szCs w:val="21"/>
              </w:rPr>
              <w:t>发行规模下限为</w:t>
            </w:r>
            <w:r>
              <w:rPr>
                <w:rFonts w:hint="eastAsia" w:ascii="仿宋" w:hAnsi="仿宋" w:eastAsia="仿宋"/>
                <w:bCs/>
                <w:szCs w:val="21"/>
                <w:lang w:val="en-US" w:eastAsia="zh-CN"/>
              </w:rPr>
              <w:t>5</w:t>
            </w:r>
            <w:r>
              <w:rPr>
                <w:rFonts w:ascii="仿宋" w:hAnsi="仿宋" w:eastAsia="仿宋"/>
                <w:bCs/>
                <w:szCs w:val="21"/>
              </w:rPr>
              <w:t>,000</w:t>
            </w:r>
            <w:r>
              <w:rPr>
                <w:rFonts w:hint="eastAsia" w:ascii="仿宋" w:hAnsi="仿宋" w:eastAsia="仿宋"/>
                <w:bCs/>
                <w:szCs w:val="21"/>
              </w:rPr>
              <w:t>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300" w:lineRule="exact"/>
              <w:ind w:firstLine="420" w:firstLineChars="200"/>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w:t>
            </w:r>
            <w:r>
              <w:rPr>
                <w:rFonts w:hint="eastAsia" w:ascii="仿宋" w:hAnsi="仿宋" w:eastAsia="仿宋"/>
                <w:bCs/>
                <w:szCs w:val="21"/>
              </w:rPr>
              <w:t>退</w:t>
            </w:r>
            <w:r>
              <w:rPr>
                <w:rFonts w:ascii="仿宋" w:hAnsi="仿宋" w:eastAsia="仿宋"/>
                <w:bCs/>
                <w:szCs w:val="21"/>
              </w:rPr>
              <w:t>回</w:t>
            </w:r>
            <w:r>
              <w:rPr>
                <w:rFonts w:hint="eastAsia" w:ascii="仿宋" w:hAnsi="仿宋" w:eastAsia="仿宋"/>
                <w:bCs/>
                <w:szCs w:val="21"/>
              </w:rPr>
              <w:t>华夏银行/华夏理财客户的理财签约</w:t>
            </w:r>
            <w:r>
              <w:rPr>
                <w:rFonts w:ascii="仿宋" w:hAnsi="仿宋" w:eastAsia="仿宋"/>
                <w:bCs/>
                <w:szCs w:val="21"/>
              </w:rPr>
              <w:t>账户</w:t>
            </w:r>
            <w:r>
              <w:rPr>
                <w:rFonts w:hint="eastAsia" w:ascii="仿宋" w:hAnsi="仿宋" w:eastAsia="仿宋"/>
                <w:bCs/>
                <w:szCs w:val="21"/>
              </w:rPr>
              <w:t>（</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hint="eastAsia" w:ascii="仿宋" w:hAnsi="仿宋" w:eastAsia="仿宋"/>
                <w:bCs/>
                <w:szCs w:val="21"/>
              </w:rPr>
            </w:pPr>
            <w:r>
              <w:rPr>
                <w:rFonts w:ascii="仿宋" w:hAnsi="仿宋" w:eastAsia="仿宋"/>
                <w:bCs/>
                <w:szCs w:val="21"/>
              </w:rPr>
              <w:t>起点金额</w:t>
            </w: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rPr>
                <w:rFonts w:ascii="仿宋" w:hAnsi="仿宋" w:eastAsia="仿宋"/>
              </w:rPr>
            </w:pPr>
            <w:r>
              <w:rPr>
                <w:rFonts w:hint="eastAsia" w:ascii="仿宋" w:hAnsi="仿宋" w:eastAsia="仿宋"/>
              </w:rPr>
              <w:t xml:space="preserve">    如代销机构规定与本规则不一致的，则以各代销机构规定为准，但不得低于本起点金额。</w:t>
            </w:r>
          </w:p>
          <w:p>
            <w:pPr>
              <w:adjustRightInd w:val="0"/>
              <w:snapToGrid w:val="0"/>
              <w:spacing w:line="240" w:lineRule="atLeast"/>
              <w:ind w:firstLine="420" w:firstLineChars="200"/>
            </w:pPr>
            <w:r>
              <w:rPr>
                <w:rFonts w:hint="eastAsia" w:ascii="仿宋" w:hAnsi="仿宋" w:eastAsia="仿宋"/>
                <w:bCs/>
                <w:szCs w:val="21"/>
              </w:rPr>
              <w:t>具体详见“五、认购”。</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认购</w:t>
            </w:r>
            <w:r>
              <w:rPr>
                <w:rFonts w:hint="eastAsia" w:ascii="仿宋" w:hAnsi="仿宋" w:eastAsia="仿宋"/>
                <w:bCs/>
                <w:szCs w:val="21"/>
              </w:rPr>
              <w:t>最高金额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rPr>
            </w:pPr>
            <w:r>
              <w:rPr>
                <w:rFonts w:hint="eastAsia" w:ascii="仿宋" w:hAnsi="仿宋" w:eastAsia="仿宋"/>
              </w:rPr>
              <w:t>最高持有限额要求：本理财产品单一投资者持有本产品份额数不得超过产品份额总数的50%。</w:t>
            </w:r>
          </w:p>
          <w:p>
            <w:pPr>
              <w:adjustRightInd w:val="0"/>
              <w:snapToGrid w:val="0"/>
              <w:spacing w:line="240" w:lineRule="atLeast"/>
              <w:ind w:firstLine="420" w:firstLineChars="200"/>
            </w:pPr>
            <w:r>
              <w:rPr>
                <w:rFonts w:hint="eastAsia" w:ascii="仿宋" w:hAnsi="仿宋" w:eastAsia="仿宋"/>
              </w:rPr>
              <w:t>如代销机构规定与本规则不一致的，则以各代销机构规定为准，但不得</w:t>
            </w:r>
            <w:r>
              <w:rPr>
                <w:rFonts w:hint="eastAsia" w:ascii="仿宋" w:hAnsi="仿宋" w:eastAsia="仿宋"/>
                <w:bCs/>
                <w:szCs w:val="21"/>
              </w:rPr>
              <w:t>高于最高金额</w:t>
            </w:r>
            <w:r>
              <w:rPr>
                <w:rFonts w:hint="eastAsia" w:ascii="仿宋" w:hAnsi="仿宋" w:eastAsia="仿宋"/>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追加</w:t>
            </w:r>
            <w:r>
              <w:rPr>
                <w:rFonts w:hint="eastAsia" w:ascii="仿宋" w:hAnsi="仿宋" w:eastAsia="仿宋"/>
                <w:bCs/>
                <w:szCs w:val="21"/>
              </w:rPr>
              <w:t>认</w:t>
            </w:r>
            <w:r>
              <w:rPr>
                <w:rFonts w:ascii="仿宋" w:hAnsi="仿宋" w:eastAsia="仿宋"/>
                <w:bCs/>
                <w:szCs w:val="21"/>
              </w:rPr>
              <w:t>购</w:t>
            </w:r>
            <w:r>
              <w:rPr>
                <w:rFonts w:hint="eastAsia" w:ascii="仿宋" w:hAnsi="仿宋" w:eastAsia="仿宋"/>
                <w:bCs/>
                <w:szCs w:val="21"/>
              </w:rPr>
              <w:t xml:space="preserve">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jc w:val="center"/>
            </w:pPr>
            <w:r>
              <w:rPr>
                <w:rFonts w:hint="eastAsia" w:ascii="仿宋" w:hAnsi="仿宋" w:eastAsia="仿宋"/>
                <w:bCs/>
                <w:szCs w:val="21"/>
              </w:rPr>
              <w:t>认购申请拒绝</w:t>
            </w:r>
          </w:p>
        </w:tc>
        <w:tc>
          <w:tcPr>
            <w:tcW w:w="7404" w:type="dxa"/>
            <w:tcBorders>
              <w:top w:val="single" w:color="auto" w:sz="4" w:space="0"/>
              <w:left w:val="single" w:color="auto" w:sz="4" w:space="0"/>
              <w:bottom w:val="single" w:color="auto" w:sz="4" w:space="0"/>
              <w:right w:val="single" w:color="auto" w:sz="4" w:space="0"/>
            </w:tcBorders>
            <w:vAlign w:val="center"/>
          </w:tcPr>
          <w:p>
            <w:pPr>
              <w:keepNext/>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hint="eastAsia" w:ascii="仿宋" w:hAnsi="仿宋" w:eastAsia="仿宋"/>
                <w:bCs/>
                <w:szCs w:val="21"/>
              </w:rPr>
              <w:t>本理财产品可根据市场情况设置或调整产品规模上限，若本理财产品募集金额达到理财产品规模上限：</w:t>
            </w:r>
          </w:p>
          <w:p>
            <w:pPr>
              <w:keepNext/>
              <w:tabs>
                <w:tab w:val="left" w:pos="720"/>
              </w:tabs>
              <w:adjustRightInd w:val="0"/>
              <w:snapToGrid w:val="0"/>
              <w:spacing w:line="300" w:lineRule="exact"/>
              <w:ind w:firstLine="422" w:firstLineChars="200"/>
              <w:rPr>
                <w:rFonts w:ascii="仿宋" w:hAnsi="仿宋" w:eastAsia="仿宋"/>
                <w:b/>
                <w:szCs w:val="21"/>
              </w:rPr>
            </w:pPr>
            <w:r>
              <w:rPr>
                <w:rFonts w:hint="eastAsia" w:ascii="仿宋" w:hAnsi="仿宋" w:eastAsia="仿宋"/>
                <w:b/>
                <w:bCs/>
                <w:szCs w:val="21"/>
              </w:rPr>
              <w:t>华夏理财有权在成立日采取比例确认等方式对认购申请给予部分确认。</w:t>
            </w:r>
            <w:r>
              <w:rPr>
                <w:rFonts w:hint="eastAsia" w:ascii="仿宋" w:hAnsi="仿宋" w:eastAsia="仿宋"/>
                <w:b/>
                <w:szCs w:val="21"/>
              </w:rPr>
              <w:t>华夏理财认为接受大额认购申请可能会影响或损害理财产品投资者权益时，有权拒绝或暂停该认购申请。</w:t>
            </w:r>
          </w:p>
          <w:p>
            <w:pPr>
              <w:keepNext/>
              <w:tabs>
                <w:tab w:val="left" w:pos="720"/>
              </w:tabs>
              <w:autoSpaceDE w:val="0"/>
              <w:autoSpaceDN w:val="0"/>
              <w:adjustRightInd w:val="0"/>
              <w:snapToGrid w:val="0"/>
              <w:spacing w:line="240" w:lineRule="atLeast"/>
              <w:ind w:right="18" w:firstLine="420" w:firstLineChars="200"/>
            </w:pPr>
            <w:r>
              <w:rPr>
                <w:rFonts w:hint="eastAsia" w:ascii="仿宋" w:hAnsi="仿宋" w:eastAsia="仿宋"/>
                <w:bCs/>
                <w:szCs w:val="21"/>
              </w:rPr>
              <w:t>若因超过产品规模上限,华夏理财拒绝或部分接受投资者的认购</w:t>
            </w:r>
            <w:r>
              <w:rPr>
                <w:rFonts w:ascii="仿宋" w:hAnsi="仿宋" w:eastAsia="仿宋"/>
                <w:bCs/>
                <w:szCs w:val="21"/>
              </w:rPr>
              <w:t>申请时，</w:t>
            </w:r>
            <w:r>
              <w:rPr>
                <w:rFonts w:hint="eastAsia" w:ascii="仿宋" w:hAnsi="仿宋" w:eastAsia="仿宋"/>
                <w:bCs/>
                <w:szCs w:val="21"/>
              </w:rPr>
              <w:t>华夏理财将于 3 个</w:t>
            </w:r>
            <w:r>
              <w:rPr>
                <w:rFonts w:ascii="仿宋" w:hAnsi="仿宋" w:eastAsia="仿宋"/>
                <w:bCs/>
                <w:szCs w:val="21"/>
              </w:rPr>
              <w:t>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披露</w:t>
            </w:r>
            <w:r>
              <w:rPr>
                <w:rFonts w:hint="eastAsia" w:ascii="仿宋" w:hAnsi="仿宋" w:eastAsia="仿宋"/>
                <w:bCs/>
                <w:szCs w:val="21"/>
              </w:rPr>
              <w:t>相应</w:t>
            </w:r>
            <w:r>
              <w:rPr>
                <w:rFonts w:ascii="仿宋" w:hAnsi="仿宋" w:eastAsia="仿宋"/>
                <w:bCs/>
                <w:szCs w:val="21"/>
              </w:rPr>
              <w:t>信息</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认购撤销规定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）通过华夏理财自有销售渠道认购的，投资者撤销的本金在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募集期最后一日17:30（含）之后</w:t>
            </w:r>
            <w:r>
              <w:rPr>
                <w:rFonts w:hint="eastAsia" w:ascii="仿宋" w:hAnsi="仿宋" w:eastAsia="仿宋"/>
                <w:bCs/>
                <w:szCs w:val="21"/>
              </w:rPr>
              <w:t>不能进行撤销。</w:t>
            </w:r>
          </w:p>
          <w:p>
            <w:pPr>
              <w:adjustRightInd w:val="0"/>
              <w:snapToGrid w:val="0"/>
              <w:spacing w:line="300" w:lineRule="exact"/>
              <w:ind w:firstLine="420" w:firstLineChars="200"/>
            </w:pPr>
            <w:r>
              <w:rPr>
                <w:rFonts w:hint="eastAsia" w:ascii="仿宋" w:hAnsi="仿宋" w:eastAsia="仿宋"/>
                <w:bCs/>
                <w:szCs w:val="21"/>
              </w:rPr>
              <w:t>通过代销机构认购的，撤销规定以代销机构规定为准。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认购费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b/>
              </w:rPr>
            </w:pPr>
            <w:r>
              <w:rPr>
                <w:rFonts w:hint="eastAsia" w:ascii="仿宋" w:hAnsi="仿宋" w:eastAsia="仿宋"/>
                <w:b/>
                <w:bCs w:val="0"/>
                <w:szCs w:val="21"/>
              </w:rPr>
              <w:t>本理财产品不收取认购费。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rPr>
                <w:b w:val="0"/>
                <w:bCs/>
              </w:rPr>
            </w:pPr>
            <w:r>
              <w:rPr>
                <w:rFonts w:hint="eastAsia" w:ascii="仿宋" w:hAnsi="仿宋" w:eastAsia="仿宋"/>
                <w:b w:val="0"/>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0.03%/年，以前一日资产净值为基数，每日计提。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uto"/>
              <w:ind w:firstLine="420"/>
              <w:jc w:val="left"/>
              <w:rPr>
                <w:b/>
              </w:rPr>
            </w:pPr>
            <w:r>
              <w:rPr>
                <w:rFonts w:hint="eastAsia" w:ascii="仿宋" w:hAnsi="仿宋" w:eastAsia="仿宋"/>
                <w:b/>
                <w:bCs w:val="0"/>
                <w:szCs w:val="21"/>
              </w:rPr>
              <w:t>F=E×【0.03%】</w:t>
            </w:r>
            <w:r>
              <w:rPr>
                <w:rFonts w:hint="eastAsia" w:ascii="仿宋" w:hAnsi="仿宋" w:eastAsia="仿宋"/>
                <w:b/>
                <w:szCs w:val="21"/>
              </w:rPr>
              <w:t>/当年天数。</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rFonts w:hint="eastAsia" w:ascii="仿宋" w:hAnsi="仿宋" w:eastAsia="仿宋"/>
                <w:b/>
                <w:szCs w:val="21"/>
              </w:rPr>
            </w:pPr>
            <w:r>
              <w:rPr>
                <w:rFonts w:hint="eastAsia" w:ascii="仿宋" w:hAnsi="仿宋" w:eastAsia="仿宋"/>
                <w:b/>
                <w:szCs w:val="21"/>
              </w:rPr>
              <w:t>销售</w:t>
            </w:r>
            <w:r>
              <w:rPr>
                <w:rFonts w:ascii="仿宋" w:hAnsi="仿宋" w:eastAsia="仿宋"/>
                <w:b/>
                <w:szCs w:val="21"/>
              </w:rPr>
              <w:t>手续费率</w:t>
            </w:r>
            <w:r>
              <w:rPr>
                <w:rFonts w:hint="eastAsia" w:ascii="仿宋" w:hAnsi="仿宋" w:eastAsia="仿宋"/>
                <w:b/>
                <w:szCs w:val="21"/>
              </w:rPr>
              <w:t>为</w:t>
            </w:r>
            <w:r>
              <w:rPr>
                <w:rFonts w:ascii="仿宋" w:hAnsi="仿宋" w:eastAsia="仿宋"/>
                <w:b/>
                <w:szCs w:val="21"/>
              </w:rPr>
              <w:t>0.</w:t>
            </w:r>
            <w:r>
              <w:rPr>
                <w:rFonts w:hint="eastAsia" w:ascii="仿宋" w:hAnsi="仿宋" w:eastAsia="仿宋"/>
                <w:b/>
                <w:szCs w:val="21"/>
                <w:lang w:val="en-US" w:eastAsia="zh-CN"/>
              </w:rPr>
              <w:t>1</w:t>
            </w:r>
            <w:r>
              <w:rPr>
                <w:rFonts w:ascii="仿宋" w:hAnsi="仿宋" w:eastAsia="仿宋"/>
                <w:b/>
                <w:szCs w:val="21"/>
              </w:rPr>
              <w:t>0%</w:t>
            </w:r>
            <w:r>
              <w:rPr>
                <w:rFonts w:hint="eastAsia" w:ascii="仿宋" w:hAnsi="仿宋" w:eastAsia="仿宋"/>
                <w:b/>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jc w:val="left"/>
              <w:rPr>
                <w:b/>
              </w:rPr>
            </w:pPr>
            <w:r>
              <w:rPr>
                <w:rFonts w:hint="eastAsia" w:ascii="仿宋" w:hAnsi="仿宋" w:eastAsia="仿宋"/>
                <w:b/>
                <w:szCs w:val="21"/>
              </w:rPr>
              <w:t>F=E×【</w:t>
            </w:r>
            <w:r>
              <w:rPr>
                <w:rFonts w:hint="eastAsia" w:ascii="仿宋" w:hAnsi="仿宋" w:eastAsia="仿宋"/>
                <w:b/>
                <w:szCs w:val="21"/>
                <w:lang w:val="en-US" w:eastAsia="zh-CN"/>
              </w:rPr>
              <w:t>0.10%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。F为各份额销售</w:t>
            </w:r>
            <w:r>
              <w:rPr>
                <w:rFonts w:ascii="仿宋" w:hAnsi="仿宋" w:eastAsia="仿宋"/>
                <w:b/>
                <w:szCs w:val="21"/>
              </w:rPr>
              <w:t>手续费</w:t>
            </w:r>
            <w:r>
              <w:rPr>
                <w:rFonts w:hint="eastAsia" w:ascii="仿宋" w:hAnsi="仿宋" w:eastAsia="仿宋"/>
                <w:b/>
                <w:szCs w:val="21"/>
              </w:rPr>
              <w:t>；E为计算</w:t>
            </w:r>
            <w:r>
              <w:rPr>
                <w:rFonts w:ascii="仿宋" w:hAnsi="仿宋" w:eastAsia="仿宋"/>
                <w:b/>
                <w:szCs w:val="21"/>
              </w:rPr>
              <w:t>基数</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0.</w:t>
            </w:r>
            <w:r>
              <w:rPr>
                <w:rFonts w:hint="eastAsia" w:ascii="仿宋" w:hAnsi="仿宋" w:eastAsia="仿宋"/>
                <w:b/>
                <w:bCs w:val="0"/>
                <w:szCs w:val="21"/>
                <w:lang w:val="en-US" w:eastAsia="zh-CN"/>
              </w:rPr>
              <w:t>1</w:t>
            </w:r>
            <w:r>
              <w:rPr>
                <w:rFonts w:ascii="仿宋" w:hAnsi="仿宋" w:eastAsia="仿宋"/>
                <w:b/>
                <w:bCs w:val="0"/>
                <w:szCs w:val="21"/>
              </w:rPr>
              <w:t>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300" w:lineRule="exact"/>
              <w:ind w:firstLine="420"/>
              <w:rPr>
                <w:b/>
              </w:rPr>
            </w:pPr>
            <w:r>
              <w:rPr>
                <w:rFonts w:hint="eastAsia" w:ascii="仿宋" w:hAnsi="仿宋" w:eastAsia="仿宋"/>
                <w:b/>
                <w:bCs w:val="0"/>
                <w:szCs w:val="21"/>
              </w:rPr>
              <w:t>F=E×【</w:t>
            </w:r>
            <w:r>
              <w:rPr>
                <w:rFonts w:ascii="仿宋" w:hAnsi="仿宋" w:eastAsia="仿宋"/>
                <w:b/>
                <w:bCs w:val="0"/>
                <w:szCs w:val="21"/>
              </w:rPr>
              <w:t>0.</w:t>
            </w:r>
            <w:r>
              <w:rPr>
                <w:rFonts w:hint="eastAsia" w:ascii="仿宋" w:hAnsi="仿宋" w:eastAsia="仿宋"/>
                <w:b/>
                <w:bCs w:val="0"/>
                <w:szCs w:val="21"/>
                <w:lang w:val="en-US" w:eastAsia="zh-CN"/>
              </w:rPr>
              <w:t>1</w:t>
            </w:r>
            <w:r>
              <w:rPr>
                <w:rFonts w:ascii="仿宋" w:hAnsi="仿宋" w:eastAsia="仿宋"/>
                <w:b/>
                <w:bCs w:val="0"/>
                <w:szCs w:val="21"/>
              </w:rPr>
              <w:t>0%</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超额</w:t>
            </w:r>
            <w:r>
              <w:rPr>
                <w:rFonts w:ascii="仿宋" w:hAnsi="仿宋" w:eastAsia="仿宋"/>
                <w:b w:val="0"/>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扣除各项费用（包括销售手续费、托管费、固定管理费及其他费用等）后，年化收益率低于或等于超额管理费计提基准，则管理人不收取超额管理费；超过超额管理费计提基准的部分，50%归投资人所有，其余作为管理人的超额管理费。</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lang w:val="en-US" w:eastAsia="zh-CN"/>
              </w:rPr>
              <w:t>本产品</w:t>
            </w:r>
            <w:r>
              <w:rPr>
                <w:rFonts w:hint="eastAsia" w:ascii="仿宋" w:hAnsi="仿宋" w:eastAsia="仿宋" w:cs="Cambria"/>
                <w:b/>
                <w:szCs w:val="21"/>
              </w:rPr>
              <w:t>超额管理费计提基准为</w:t>
            </w:r>
            <w:r>
              <w:rPr>
                <w:rFonts w:ascii="仿宋" w:hAnsi="仿宋" w:eastAsia="仿宋"/>
                <w:b/>
                <w:szCs w:val="21"/>
              </w:rPr>
              <w:t>4.</w:t>
            </w:r>
            <w:r>
              <w:rPr>
                <w:rFonts w:hint="eastAsia" w:ascii="仿宋" w:hAnsi="仿宋" w:eastAsia="仿宋"/>
                <w:b/>
                <w:szCs w:val="21"/>
                <w:lang w:val="en-US" w:eastAsia="zh-CN"/>
              </w:rPr>
              <w:t>20</w:t>
            </w:r>
            <w:r>
              <w:rPr>
                <w:rFonts w:ascii="仿宋" w:hAnsi="仿宋" w:eastAsia="仿宋"/>
                <w:b/>
                <w:szCs w:val="21"/>
              </w:rPr>
              <w:t>%</w:t>
            </w:r>
            <w:r>
              <w:rPr>
                <w:rFonts w:hint="eastAsia" w:ascii="仿宋" w:hAnsi="仿宋" w:eastAsia="仿宋" w:cs="Cambria"/>
                <w:b/>
                <w:szCs w:val="21"/>
              </w:rPr>
              <w:t>（年化）。</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本产品超额管理费的计算公式：</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超额管理费=（年化收益率-超额管理费计提基准）×当期持有天数÷365×50%×产品份额×1.0000</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其中：</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年化收益率=（计提日累计单位净值-1.0000）÷1.0000×365÷当期持有天数。</w:t>
            </w:r>
          </w:p>
          <w:p>
            <w:pPr>
              <w:adjustRightInd w:val="0"/>
              <w:snapToGrid w:val="0"/>
              <w:spacing w:line="300" w:lineRule="exact"/>
              <w:ind w:firstLine="420"/>
              <w:rPr>
                <w:rFonts w:ascii="仿宋" w:hAnsi="仿宋" w:eastAsia="仿宋" w:cs="Cambria"/>
                <w:b/>
                <w:szCs w:val="21"/>
              </w:rPr>
            </w:pPr>
            <w:r>
              <w:rPr>
                <w:rFonts w:hint="eastAsia" w:ascii="仿宋" w:hAnsi="仿宋" w:eastAsia="仿宋" w:cs="Cambria"/>
                <w:b/>
                <w:szCs w:val="21"/>
              </w:rPr>
              <w:t>“产品份额”为产品份额，若有红利再投时，将剔除红利再投产生份额的影响。</w:t>
            </w:r>
          </w:p>
          <w:p>
            <w:pPr>
              <w:adjustRightInd w:val="0"/>
              <w:snapToGrid w:val="0"/>
              <w:spacing w:line="300" w:lineRule="exact"/>
              <w:ind w:firstLine="420"/>
              <w:rPr>
                <w:rFonts w:ascii="仿宋" w:hAnsi="仿宋" w:eastAsia="仿宋"/>
                <w:b/>
                <w:bCs w:val="0"/>
                <w:szCs w:val="21"/>
              </w:rPr>
            </w:pPr>
            <w:r>
              <w:rPr>
                <w:rFonts w:hint="eastAsia" w:ascii="仿宋" w:hAnsi="仿宋" w:eastAsia="仿宋" w:cs="Cambria"/>
                <w:b/>
                <w:szCs w:val="21"/>
              </w:rPr>
              <w:t>投资周期内每个估值日计提超额管理费，仅作为暂估数据，用于本产品会计核算和估值日估值。仅到期/终止日为本产品超额管理费实际计提和收取日。</w:t>
            </w:r>
          </w:p>
          <w:p>
            <w:pPr>
              <w:adjustRightInd w:val="0"/>
              <w:snapToGrid w:val="0"/>
              <w:spacing w:line="300" w:lineRule="exact"/>
              <w:ind w:firstLine="420"/>
              <w:rPr>
                <w:b/>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及产品运作情况调整上述规则，并至少于生效前3个工作日通过本产品说明书约定的信息披露渠道进行公告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b w:val="0"/>
                <w:bCs/>
              </w:rPr>
            </w:pPr>
            <w:r>
              <w:rPr>
                <w:rFonts w:hint="eastAsia" w:ascii="仿宋" w:hAnsi="仿宋" w:eastAsia="仿宋"/>
                <w:b w:val="0"/>
                <w:bCs/>
                <w:szCs w:val="21"/>
              </w:rPr>
              <w:t>其他</w:t>
            </w:r>
            <w:r>
              <w:rPr>
                <w:rFonts w:ascii="仿宋" w:hAnsi="仿宋" w:eastAsia="仿宋"/>
                <w:b w:val="0"/>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jc w:val="left"/>
              <w:rPr>
                <w:b/>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jc w:val="left"/>
            </w:pPr>
            <w:r>
              <w:rPr>
                <w:rFonts w:hint="eastAsia" w:ascii="仿宋" w:hAnsi="仿宋" w:eastAsia="仿宋"/>
                <w:bCs/>
                <w:szCs w:val="21"/>
              </w:rPr>
              <w:t>份额净值为提取管理费、托管费、销售手续费等相关费用后的理财产品份额净值，投资者按该份额净值进行到期/终止时的分配。份额净值的计算保留到小数点后</w:t>
            </w:r>
            <w:r>
              <w:rPr>
                <w:rFonts w:ascii="仿宋" w:hAnsi="仿宋" w:eastAsia="仿宋"/>
                <w:bCs/>
                <w:szCs w:val="21"/>
              </w:rPr>
              <w:t xml:space="preserve"> 4 </w:t>
            </w:r>
            <w:r>
              <w:rPr>
                <w:rFonts w:hint="eastAsia" w:ascii="仿宋" w:hAnsi="仿宋" w:eastAsia="仿宋"/>
                <w:bCs/>
                <w:szCs w:val="21"/>
              </w:rPr>
              <w:t>位，小数点后第</w:t>
            </w:r>
            <w:r>
              <w:rPr>
                <w:rFonts w:ascii="仿宋" w:hAnsi="仿宋" w:eastAsia="仿宋"/>
                <w:bCs/>
                <w:szCs w:val="21"/>
              </w:rPr>
              <w:t xml:space="preserve"> 5 </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ambria"/>
                <w:bCs/>
                <w:szCs w:val="21"/>
              </w:rPr>
              <w:t>每周五后的第3个工作日</w:t>
            </w:r>
            <w:r>
              <w:rPr>
                <w:rFonts w:hint="eastAsia" w:ascii="仿宋" w:hAnsi="仿宋" w:eastAsia="仿宋"/>
                <w:bCs/>
                <w:szCs w:val="21"/>
              </w:rPr>
              <w:t>为份额净值公告日，公告</w:t>
            </w:r>
            <w:r>
              <w:rPr>
                <w:rFonts w:hint="eastAsia" w:ascii="仿宋" w:hAnsi="仿宋" w:eastAsia="仿宋" w:cs="Cambria"/>
                <w:bCs/>
                <w:szCs w:val="21"/>
              </w:rPr>
              <w:t>每周五</w:t>
            </w:r>
            <w:r>
              <w:rPr>
                <w:rFonts w:hint="eastAsia" w:ascii="仿宋" w:hAnsi="仿宋" w:eastAsia="仿宋"/>
                <w:bCs/>
                <w:szCs w:val="21"/>
              </w:rPr>
              <w:t>份额净值（</w:t>
            </w:r>
            <w:r>
              <w:rPr>
                <w:rFonts w:hint="eastAsia" w:ascii="仿宋" w:hAnsi="仿宋" w:eastAsia="仿宋" w:cs="Cambria"/>
                <w:bCs/>
                <w:szCs w:val="21"/>
              </w:rPr>
              <w:t>如周五为非工作日，则公告周五上1个工作日的份额净值；如当周没有第3个工作日，</w:t>
            </w:r>
            <w:r>
              <w:rPr>
                <w:rFonts w:ascii="仿宋" w:hAnsi="仿宋" w:eastAsia="仿宋" w:cs="Cambria"/>
                <w:bCs/>
                <w:szCs w:val="21"/>
              </w:rPr>
              <w:t>则顺延至下</w:t>
            </w:r>
            <w:r>
              <w:rPr>
                <w:rFonts w:hint="eastAsia" w:ascii="仿宋" w:hAnsi="仿宋" w:eastAsia="仿宋" w:cs="Cambria"/>
                <w:bCs/>
                <w:szCs w:val="21"/>
              </w:rPr>
              <w:t>1</w:t>
            </w:r>
            <w:r>
              <w:rPr>
                <w:rFonts w:ascii="仿宋" w:hAnsi="仿宋" w:eastAsia="仿宋" w:cs="Cambria"/>
                <w:bCs/>
                <w:szCs w:val="21"/>
              </w:rPr>
              <w:t>个工作日</w:t>
            </w:r>
            <w:r>
              <w:rPr>
                <w:rFonts w:ascii="仿宋" w:hAnsi="仿宋" w:eastAsia="仿宋"/>
                <w:bCs/>
                <w:szCs w:val="21"/>
              </w:rPr>
              <w:t>）</w:t>
            </w:r>
            <w:r>
              <w:rPr>
                <w:rFonts w:hint="eastAsia" w:ascii="仿宋" w:hAnsi="仿宋" w:eastAsia="仿宋"/>
                <w:bCs/>
                <w:szCs w:val="21"/>
              </w:rPr>
              <w:t>。</w:t>
            </w:r>
          </w:p>
          <w:p>
            <w:pPr>
              <w:adjustRightInd w:val="0"/>
              <w:snapToGrid w:val="0"/>
              <w:spacing w:line="240" w:lineRule="atLeast"/>
              <w:ind w:firstLine="420" w:firstLineChars="200"/>
              <w:jc w:val="left"/>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hint="eastAsia" w:ascii="仿宋" w:hAnsi="仿宋" w:eastAsia="仿宋" w:cs="Cambria"/>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1"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jc w:val="cente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uto"/>
              <w:ind w:firstLine="420" w:firstLineChars="200"/>
              <w:jc w:val="left"/>
            </w:pPr>
            <w:r>
              <w:rPr>
                <w:rFonts w:hint="eastAsia" w:ascii="仿宋" w:hAnsi="仿宋" w:eastAsia="仿宋"/>
                <w:bCs/>
                <w:szCs w:val="21"/>
              </w:rPr>
              <w:t>本理财产品</w:t>
            </w:r>
            <w:r>
              <w:rPr>
                <w:rFonts w:ascii="仿宋" w:hAnsi="仿宋" w:eastAsia="仿宋"/>
                <w:bCs/>
                <w:szCs w:val="21"/>
              </w:rPr>
              <w:t>不分红</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300" w:lineRule="exact"/>
              <w:ind w:right="-44" w:firstLine="420" w:firstLineChars="200"/>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一、</w:t>
            </w:r>
            <w:r>
              <w:rPr>
                <w:rFonts w:ascii="仿宋" w:hAnsi="仿宋" w:eastAsia="仿宋"/>
                <w:b/>
                <w:szCs w:val="21"/>
              </w:rPr>
              <w:t>投资者提前终止权</w:t>
            </w:r>
          </w:p>
          <w:p>
            <w:pPr>
              <w:autoSpaceDE w:val="0"/>
              <w:autoSpaceDN w:val="0"/>
              <w:adjustRightInd w:val="0"/>
              <w:snapToGrid w:val="0"/>
              <w:spacing w:line="300" w:lineRule="exact"/>
              <w:ind w:firstLine="422" w:firstLineChars="200"/>
              <w:jc w:val="left"/>
              <w:rPr>
                <w:rFonts w:ascii="仿宋" w:hAnsi="仿宋" w:eastAsia="仿宋"/>
                <w:bCs/>
                <w:szCs w:val="21"/>
              </w:rPr>
            </w:pPr>
            <w:r>
              <w:rPr>
                <w:rFonts w:hint="eastAsia" w:ascii="仿宋" w:hAnsi="仿宋" w:eastAsia="仿宋"/>
                <w:b/>
                <w:szCs w:val="21"/>
              </w:rPr>
              <w:t>华夏理财调整</w:t>
            </w:r>
            <w:r>
              <w:rPr>
                <w:rFonts w:ascii="仿宋" w:hAnsi="仿宋" w:eastAsia="仿宋"/>
                <w:b/>
                <w:szCs w:val="21"/>
              </w:rPr>
              <w:t>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。除本产品说明书第十部分“特别提示”所列情形外，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300" w:lineRule="exac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300" w:lineRule="exac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①</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③</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300" w:lineRule="exac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300" w:lineRule="exact"/>
              <w:ind w:firstLine="420" w:firstLineChars="200"/>
              <w:jc w:val="left"/>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本产品说明书约定的信息披露渠道公告相关信息。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300" w:lineRule="exact"/>
              <w:ind w:firstLine="420" w:firstLineChars="200"/>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pPr>
            <w:r>
              <w:rPr>
                <w:rFonts w:ascii="仿宋" w:hAnsi="仿宋" w:eastAsia="仿宋" w:cs="宋体"/>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300" w:lineRule="exac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300" w:lineRule="exact"/>
              <w:ind w:firstLine="420" w:firstLineChars="200"/>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理财产品到期/终止日（不含）至资金到账日（不含）之间，投资者资金不计存款利息及理财收益。</w:t>
            </w:r>
          </w:p>
        </w:tc>
      </w:tr>
    </w:tbl>
    <w:p>
      <w:pPr>
        <w:pStyle w:val="14"/>
        <w:snapToGrid w:val="0"/>
        <w:spacing w:after="156" w:afterLines="50" w:line="400" w:lineRule="exact"/>
        <w:ind w:firstLine="482" w:firstLineChars="200"/>
        <w:jc w:val="both"/>
        <w:rPr>
          <w:rFonts w:ascii="Times New Roman" w:eastAsia="黑体" w:cs="Times New Roman"/>
          <w:b/>
          <w:color w:val="auto"/>
        </w:rPr>
      </w:pPr>
    </w:p>
    <w:p>
      <w:pPr>
        <w:pStyle w:val="14"/>
        <w:keepNext/>
        <w:numPr>
          <w:ilvl w:val="0"/>
          <w:numId w:val="1"/>
        </w:numPr>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ascii="Times New Roman" w:eastAsia="黑体" w:cs="Times New Roman"/>
          <w:b/>
          <w:color w:val="auto"/>
        </w:rPr>
        <w:t>投资</w:t>
      </w:r>
      <w:r>
        <w:rPr>
          <w:rFonts w:hint="eastAsia" w:ascii="Times New Roman" w:eastAsia="黑体" w:cs="Times New Roman"/>
          <w:b/>
          <w:color w:val="auto"/>
        </w:rPr>
        <w:t>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w:t>
      </w:r>
      <w:r>
        <w:rPr>
          <w:rFonts w:hint="eastAsia" w:ascii="仿宋" w:hAnsi="仿宋" w:eastAsia="仿宋" w:cs="宋体"/>
          <w:color w:val="000000"/>
          <w:kern w:val="0"/>
          <w:sz w:val="24"/>
          <w:lang w:val="en-US" w:eastAsia="zh-CN"/>
        </w:rPr>
        <w:t>100%</w:t>
      </w:r>
      <w:r>
        <w:rPr>
          <w:rFonts w:hint="eastAsia" w:ascii="仿宋" w:hAnsi="仿宋" w:eastAsia="仿宋" w:cs="宋体"/>
          <w:color w:val="000000"/>
          <w:kern w:val="0"/>
          <w:sz w:val="24"/>
        </w:rPr>
        <w:t>投资于货币市场工具、标准化债权类资产、非标准化债权类资产等固定收益类资产。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货币市场工具包括但不限于银行存款、大额存单、同业存单（CD）、短期融资券、超短期融资券、剩余期限在397天以内（含397天）的债券、期限在一年以内（含一年）的债券回购、期限在一年以内（含一年）的中央银行票据以及中国人民银行、中国银保监会认可的其他具有良好流动性的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标准化债权类资产包括但不限于国债、中央银行票据、地方政府债券、政府支持机构债券、金融债券、非金融企业债务融资工具、公司债券、企业债券、国际机构债券、同业存单、信贷资产支持证券、资产支持票据、证券交易所挂牌交易的资产支持证券、货币市场基金、债券型公募证券投资基金，以及《标准化债权类资产认定规则》认定的标准化债权类资产等。</w:t>
      </w:r>
    </w:p>
    <w:p>
      <w:pPr>
        <w:widowControl/>
        <w:adjustRightInd w:val="0"/>
        <w:snapToGrid w:val="0"/>
        <w:spacing w:line="276" w:lineRule="auto"/>
        <w:ind w:firstLine="420"/>
        <w:contextualSpacing/>
        <w:rPr>
          <w:rFonts w:ascii="仿宋" w:hAnsi="仿宋" w:eastAsia="仿宋" w:cs="宋体"/>
          <w:color w:val="000000"/>
          <w:kern w:val="0"/>
          <w:sz w:val="24"/>
        </w:rPr>
      </w:pPr>
      <w:r>
        <w:rPr>
          <w:rFonts w:hint="eastAsia" w:ascii="仿宋" w:hAnsi="仿宋" w:eastAsia="仿宋" w:cs="宋体"/>
          <w:color w:val="000000"/>
          <w:kern w:val="0"/>
          <w:sz w:val="24"/>
        </w:rPr>
        <w:t>非标准化债权类资产包括《标准化债权类资产认定规则》认定的非标准化债权类资产。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20"/>
        <w:contextualSpacing/>
        <w:rPr>
          <w:rFonts w:ascii="仿宋" w:hAnsi="仿宋" w:eastAsia="仿宋" w:cs="宋体"/>
          <w:kern w:val="0"/>
          <w:sz w:val="24"/>
        </w:rPr>
      </w:pPr>
      <w:r>
        <w:rPr>
          <w:rFonts w:hint="eastAsia" w:ascii="仿宋" w:hAnsi="仿宋" w:eastAsia="仿宋" w:cs="宋体"/>
          <w:kern w:val="0"/>
          <w:sz w:val="24"/>
        </w:rPr>
        <w:t>本理财产品可以按照监管部门相关规定开展回购业务。</w:t>
      </w: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本理财产品如投资不存在活跃交易市场且需要采用估值技术确定公允价值的资产，则对</w:t>
      </w:r>
      <w:r>
        <w:rPr>
          <w:rFonts w:ascii="仿宋" w:hAnsi="仿宋" w:eastAsia="仿宋" w:cs="宋体"/>
          <w:b/>
          <w:bCs/>
          <w:color w:val="000000"/>
          <w:kern w:val="0"/>
          <w:sz w:val="24"/>
        </w:rPr>
        <w:t>上述资产的投资</w:t>
      </w:r>
      <w:r>
        <w:rPr>
          <w:rFonts w:hint="eastAsia" w:ascii="仿宋" w:hAnsi="仿宋" w:eastAsia="仿宋" w:cs="宋体"/>
          <w:b/>
          <w:bCs/>
          <w:color w:val="000000"/>
          <w:kern w:val="0"/>
          <w:sz w:val="24"/>
        </w:rPr>
        <w:t>比例将不超过本产品净资产的50%。非因管理人主观因素导致突破前款约定的比例限制的，</w:t>
      </w:r>
      <w:r>
        <w:rPr>
          <w:rFonts w:ascii="仿宋" w:hAnsi="仿宋" w:eastAsia="仿宋" w:cs="宋体"/>
          <w:b/>
          <w:bCs/>
          <w:color w:val="000000"/>
          <w:kern w:val="0"/>
          <w:sz w:val="24"/>
        </w:rPr>
        <w:t>在上述因素</w:t>
      </w:r>
      <w:r>
        <w:rPr>
          <w:rFonts w:hint="eastAsia" w:ascii="仿宋" w:hAnsi="仿宋" w:eastAsia="仿宋" w:cs="宋体"/>
          <w:b/>
          <w:bCs/>
          <w:color w:val="000000"/>
          <w:kern w:val="0"/>
          <w:sz w:val="24"/>
        </w:rPr>
        <w:t>的</w:t>
      </w:r>
      <w:r>
        <w:rPr>
          <w:rFonts w:ascii="仿宋" w:hAnsi="仿宋" w:eastAsia="仿宋" w:cs="宋体"/>
          <w:b/>
          <w:bCs/>
          <w:color w:val="000000"/>
          <w:kern w:val="0"/>
          <w:sz w:val="24"/>
        </w:rPr>
        <w:t>影响消除前</w:t>
      </w:r>
      <w:r>
        <w:rPr>
          <w:rFonts w:hint="eastAsia" w:ascii="仿宋" w:hAnsi="仿宋" w:eastAsia="仿宋" w:cs="宋体"/>
          <w:b/>
          <w:bCs/>
          <w:color w:val="000000"/>
          <w:kern w:val="0"/>
          <w:sz w:val="24"/>
        </w:rPr>
        <w:t>本产品将不再新增投资上述资产。</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管理人应当自本理财产品成立日起</w:t>
      </w:r>
      <w:r>
        <w:rPr>
          <w:rFonts w:ascii="仿宋" w:hAnsi="仿宋" w:eastAsia="仿宋" w:cs="宋体"/>
          <w:b/>
          <w:bCs/>
          <w:color w:val="000000"/>
          <w:kern w:val="0"/>
          <w:sz w:val="24"/>
        </w:rPr>
        <w:t>3</w:t>
      </w:r>
      <w:r>
        <w:rPr>
          <w:rFonts w:hint="eastAsia" w:ascii="仿宋" w:hAnsi="仿宋" w:eastAsia="仿宋" w:cs="宋体"/>
          <w:b/>
          <w:bCs/>
          <w:kern w:val="0"/>
          <w:sz w:val="24"/>
        </w:rPr>
        <w:t>个月</w:t>
      </w:r>
      <w:r>
        <w:rPr>
          <w:rFonts w:hint="eastAsia" w:ascii="仿宋" w:hAnsi="仿宋" w:eastAsia="仿宋" w:cs="宋体"/>
          <w:b/>
          <w:bCs/>
          <w:color w:val="000000"/>
          <w:kern w:val="0"/>
          <w:sz w:val="24"/>
        </w:rPr>
        <w:t>内使本产品的投资比例符合上述约定。</w:t>
      </w:r>
    </w:p>
    <w:p>
      <w:pPr>
        <w:widowControl/>
        <w:adjustRightInd w:val="0"/>
        <w:snapToGrid w:val="0"/>
        <w:spacing w:line="276" w:lineRule="auto"/>
        <w:ind w:firstLine="482" w:firstLineChars="200"/>
        <w:contextualSpacing/>
        <w:rPr>
          <w:rFonts w:ascii="仿宋" w:hAnsi="仿宋" w:eastAsia="仿宋" w:cs="宋体"/>
          <w:b/>
          <w:bCs/>
          <w:kern w:val="0"/>
          <w:sz w:val="24"/>
        </w:rPr>
      </w:pPr>
    </w:p>
    <w:p>
      <w:pPr>
        <w:widowControl/>
        <w:adjustRightInd w:val="0"/>
        <w:snapToGri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如资产类别及投资比例发生调整，管理人将于调整事项生效前</w:t>
      </w:r>
      <w:r>
        <w:rPr>
          <w:rFonts w:ascii="仿宋" w:hAnsi="仿宋" w:eastAsia="仿宋" w:cs="宋体"/>
          <w:b/>
          <w:bCs/>
          <w:kern w:val="0"/>
          <w:sz w:val="24"/>
        </w:rPr>
        <w:t>3</w:t>
      </w:r>
      <w:r>
        <w:rPr>
          <w:rFonts w:hint="eastAsia" w:ascii="仿宋" w:hAnsi="仿宋" w:eastAsia="仿宋" w:cs="宋体"/>
          <w:b/>
          <w:bCs/>
          <w:kern w:val="0"/>
          <w:sz w:val="24"/>
        </w:rPr>
        <w:t>个工作日通过本产品说明书约定的信息披露渠道予以公告。</w:t>
      </w:r>
      <w:r>
        <w:rPr>
          <w:rFonts w:hint="eastAsia" w:ascii="仿宋" w:hAnsi="仿宋" w:eastAsia="仿宋" w:cs="宋体"/>
          <w:kern w:val="0"/>
          <w:sz w:val="24"/>
        </w:rPr>
        <w:t>若本理财产品的投资人不接受上述调整，则应在公告规定时间内提前赎回本理财产品；</w:t>
      </w:r>
      <w:r>
        <w:rPr>
          <w:rFonts w:hint="eastAsia" w:ascii="仿宋" w:hAnsi="仿宋" w:eastAsia="仿宋" w:cs="宋体"/>
          <w:b/>
          <w:bCs/>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非因管理人主观因素导致本理财产品</w:t>
      </w:r>
      <w:r>
        <w:rPr>
          <w:rFonts w:hint="eastAsia" w:ascii="仿宋" w:hAnsi="仿宋" w:eastAsia="仿宋" w:cs="宋体"/>
          <w:color w:val="000000"/>
          <w:kern w:val="0"/>
          <w:sz w:val="24"/>
        </w:rPr>
        <w:t>突破上述投资比例限制的</w:t>
      </w:r>
      <w:r>
        <w:rPr>
          <w:rFonts w:hint="eastAsia" w:ascii="仿宋" w:hAnsi="仿宋" w:eastAsia="仿宋" w:cs="宋体"/>
          <w:kern w:val="0"/>
          <w:sz w:val="24"/>
        </w:rPr>
        <w:t>，管理人应当在所投资的</w:t>
      </w:r>
      <w:r>
        <w:rPr>
          <w:rFonts w:hint="eastAsia" w:ascii="仿宋" w:hAnsi="仿宋" w:eastAsia="仿宋"/>
          <w:sz w:val="24"/>
        </w:rPr>
        <w:t>流动性受限资产可出售、可转让或者恢复交易的15</w:t>
      </w:r>
      <w:r>
        <w:rPr>
          <w:rFonts w:hint="eastAsia" w:ascii="仿宋" w:hAnsi="仿宋" w:eastAsia="仿宋" w:cs="宋体"/>
          <w:kern w:val="0"/>
          <w:sz w:val="24"/>
        </w:rPr>
        <w:t>个工作日内</w:t>
      </w:r>
      <w:r>
        <w:rPr>
          <w:rFonts w:hint="eastAsia" w:ascii="仿宋" w:hAnsi="仿宋" w:eastAsia="仿宋" w:cs="宋体"/>
          <w:color w:val="000000"/>
          <w:kern w:val="0"/>
          <w:sz w:val="24"/>
        </w:rPr>
        <w:t>将本理财产品所投资资产调整至上述投资比例范围内，监管规定的特殊情形除外</w:t>
      </w:r>
      <w:r>
        <w:rPr>
          <w:rFonts w:hint="eastAsia" w:ascii="仿宋" w:hAnsi="仿宋" w:eastAsia="仿宋" w:cs="宋体"/>
          <w:kern w:val="0"/>
          <w:sz w:val="24"/>
        </w:rPr>
        <w:t>。</w:t>
      </w:r>
      <w:r>
        <w:rPr>
          <w:rFonts w:hint="eastAsia" w:ascii="仿宋" w:hAnsi="仿宋" w:eastAsia="仿宋" w:cs="宋体"/>
          <w:color w:val="000000"/>
          <w:kern w:val="0"/>
          <w:sz w:val="24"/>
        </w:rPr>
        <w:t>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4"/>
        <w:snapToGrid w:val="0"/>
        <w:spacing w:before="156" w:beforeLines="50" w:after="156" w:afterLines="50" w:line="400" w:lineRule="exact"/>
        <w:ind w:firstLine="482" w:firstLineChars="200"/>
        <w:jc w:val="both"/>
        <w:outlineLvl w:val="0"/>
        <w:rPr>
          <w:rFonts w:ascii="仿宋" w:hAnsi="仿宋" w:eastAsia="仿宋"/>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（一）</w:t>
      </w:r>
      <w:r>
        <w:rPr>
          <w:rFonts w:ascii="仿宋" w:hAnsi="仿宋" w:eastAsia="仿宋" w:cs="宋体"/>
          <w:kern w:val="0"/>
          <w:sz w:val="24"/>
        </w:rPr>
        <w:t>本</w:t>
      </w:r>
      <w:r>
        <w:rPr>
          <w:rFonts w:hint="eastAsia" w:ascii="仿宋" w:hAnsi="仿宋" w:eastAsia="仿宋" w:cs="宋体"/>
          <w:kern w:val="0"/>
          <w:sz w:val="24"/>
        </w:rPr>
        <w:t>理财</w:t>
      </w:r>
      <w:r>
        <w:rPr>
          <w:rFonts w:ascii="仿宋" w:hAnsi="仿宋" w:eastAsia="仿宋" w:cs="宋体"/>
          <w:kern w:val="0"/>
          <w:sz w:val="24"/>
        </w:rPr>
        <w:t>产品管理人为华夏理财有限责任公司。</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（二）</w:t>
      </w:r>
      <w:r>
        <w:rPr>
          <w:rFonts w:ascii="仿宋" w:hAnsi="仿宋" w:eastAsia="仿宋" w:cs="宋体"/>
          <w:kern w:val="0"/>
          <w:sz w:val="24"/>
        </w:rPr>
        <w:t>本理财产品</w:t>
      </w:r>
      <w:r>
        <w:rPr>
          <w:rFonts w:hint="eastAsia" w:ascii="仿宋" w:hAnsi="仿宋" w:eastAsia="仿宋" w:cs="宋体"/>
          <w:kern w:val="0"/>
          <w:sz w:val="24"/>
        </w:rPr>
        <w:t>托管人为</w:t>
      </w:r>
      <w:r>
        <w:rPr>
          <w:rFonts w:hint="eastAsia" w:ascii="仿宋" w:hAnsi="仿宋" w:eastAsia="仿宋" w:cs="宋体"/>
          <w:color w:val="000000"/>
          <w:kern w:val="0"/>
          <w:sz w:val="24"/>
        </w:rPr>
        <w:t>华夏银行股份有限公司</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w:t>
      </w:r>
      <w:r>
        <w:rPr>
          <w:rFonts w:hint="eastAsia" w:ascii="仿宋" w:hAnsi="仿宋" w:eastAsia="仿宋" w:cs="宋体"/>
          <w:color w:val="000000"/>
          <w:kern w:val="0"/>
          <w:sz w:val="24"/>
        </w:rPr>
        <w:t>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w:t>
      </w:r>
      <w:r>
        <w:rPr>
          <w:rFonts w:hint="eastAsia" w:ascii="仿宋" w:hAnsi="仿宋" w:eastAsia="仿宋" w:cs="宋体"/>
          <w:kern w:val="0"/>
          <w:sz w:val="24"/>
        </w:rPr>
        <w:t>．</w:t>
      </w:r>
      <w:r>
        <w:rPr>
          <w:rFonts w:hint="eastAsia" w:ascii="仿宋" w:hAnsi="仿宋" w:eastAsia="仿宋" w:cs="宋体"/>
          <w:color w:val="000000"/>
          <w:kern w:val="0"/>
          <w:sz w:val="24"/>
        </w:rPr>
        <w:t>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（3）按照托管协议约定和管理人的投资指令，及时办理清算、交割事宜；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（9）银行业监督管理机构规定的其他职责。</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＝理财产品</w:t>
      </w:r>
      <w:r>
        <w:rPr>
          <w:rFonts w:hint="eastAsia" w:ascii="仿宋" w:hAnsi="仿宋" w:eastAsia="仿宋" w:cs="宋体"/>
          <w:kern w:val="0"/>
          <w:sz w:val="24"/>
        </w:rPr>
        <w:t>资产</w:t>
      </w:r>
      <w:r>
        <w:rPr>
          <w:rFonts w:ascii="仿宋" w:hAnsi="仿宋" w:eastAsia="仿宋" w:cs="宋体"/>
          <w:kern w:val="0"/>
          <w:sz w:val="24"/>
        </w:rPr>
        <w:t>净值/理财产品份额</w:t>
      </w:r>
      <w:r>
        <w:rPr>
          <w:rFonts w:hint="eastAsia" w:ascii="仿宋" w:hAnsi="仿宋" w:eastAsia="仿宋" w:cs="宋体"/>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kern w:val="0"/>
          <w:sz w:val="24"/>
        </w:rPr>
        <w:t>理财产品</w:t>
      </w:r>
      <w:r>
        <w:rPr>
          <w:rFonts w:hint="eastAsia" w:ascii="仿宋" w:hAnsi="仿宋" w:eastAsia="仿宋" w:cs="宋体"/>
          <w:kern w:val="0"/>
          <w:sz w:val="24"/>
        </w:rPr>
        <w:t>份额净值</w:t>
      </w:r>
      <w:r>
        <w:rPr>
          <w:rFonts w:ascii="仿宋" w:hAnsi="仿宋" w:eastAsia="仿宋" w:cs="宋体"/>
          <w:kern w:val="0"/>
          <w:sz w:val="24"/>
        </w:rPr>
        <w:t>为提取相关费用后的</w:t>
      </w:r>
      <w:r>
        <w:rPr>
          <w:rFonts w:hint="eastAsia" w:ascii="仿宋" w:hAnsi="仿宋" w:eastAsia="仿宋" w:cs="宋体"/>
          <w:kern w:val="0"/>
          <w:sz w:val="24"/>
        </w:rPr>
        <w:t>份额净值</w:t>
      </w:r>
      <w:r>
        <w:rPr>
          <w:rFonts w:ascii="仿宋" w:hAnsi="仿宋" w:eastAsia="仿宋" w:cs="宋体"/>
          <w:kern w:val="0"/>
          <w:sz w:val="24"/>
        </w:rPr>
        <w:t>，投资者按</w:t>
      </w:r>
      <w:r>
        <w:rPr>
          <w:rFonts w:hint="eastAsia" w:ascii="仿宋" w:hAnsi="仿宋" w:eastAsia="仿宋" w:cs="宋体"/>
          <w:kern w:val="0"/>
          <w:sz w:val="24"/>
        </w:rPr>
        <w:t>到期日/终止日份额净值</w:t>
      </w:r>
      <w:r>
        <w:rPr>
          <w:rFonts w:ascii="仿宋" w:hAnsi="仿宋" w:eastAsia="仿宋" w:cs="宋体"/>
          <w:kern w:val="0"/>
          <w:sz w:val="24"/>
        </w:rPr>
        <w:t>进行</w:t>
      </w:r>
      <w:r>
        <w:rPr>
          <w:rFonts w:hint="eastAsia" w:ascii="仿宋" w:hAnsi="仿宋" w:eastAsia="仿宋" w:cs="宋体"/>
          <w:kern w:val="0"/>
          <w:sz w:val="24"/>
        </w:rPr>
        <w:t>到期</w:t>
      </w:r>
      <w:r>
        <w:rPr>
          <w:rFonts w:ascii="仿宋" w:hAnsi="仿宋" w:eastAsia="仿宋" w:cs="宋体"/>
          <w:kern w:val="0"/>
          <w:sz w:val="24"/>
        </w:rPr>
        <w:t>/终止</w:t>
      </w:r>
      <w:r>
        <w:rPr>
          <w:rFonts w:hint="eastAsia" w:ascii="仿宋" w:hAnsi="仿宋" w:eastAsia="仿宋" w:cs="宋体"/>
          <w:kern w:val="0"/>
          <w:sz w:val="24"/>
        </w:rPr>
        <w:t>后分配</w:t>
      </w:r>
      <w:r>
        <w:rPr>
          <w:rFonts w:ascii="仿宋" w:hAnsi="仿宋" w:eastAsia="仿宋" w:cs="宋体"/>
          <w:kern w:val="0"/>
          <w:sz w:val="24"/>
        </w:rPr>
        <w:t>。</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w:t>
      </w:r>
      <w:r>
        <w:rPr>
          <w:rFonts w:ascii="仿宋" w:hAnsi="仿宋" w:eastAsia="仿宋" w:cs="宋体"/>
          <w:kern w:val="0"/>
          <w:sz w:val="24"/>
        </w:rPr>
        <w:t>柜台及</w:t>
      </w:r>
      <w:r>
        <w:rPr>
          <w:rFonts w:hint="eastAsia" w:ascii="仿宋" w:hAnsi="仿宋" w:eastAsia="仿宋" w:cs="宋体"/>
          <w:kern w:val="0"/>
          <w:sz w:val="24"/>
        </w:rPr>
        <w:t>电子</w:t>
      </w:r>
      <w:r>
        <w:rPr>
          <w:rFonts w:ascii="仿宋" w:hAnsi="仿宋" w:eastAsia="仿宋" w:cs="宋体"/>
          <w:kern w:val="0"/>
          <w:sz w:val="24"/>
        </w:rPr>
        <w:t>渠道发起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w:t>
      </w:r>
      <w:r>
        <w:rPr>
          <w:rFonts w:ascii="仿宋" w:hAnsi="仿宋" w:eastAsia="仿宋"/>
          <w:sz w:val="24"/>
        </w:rPr>
        <w:t>渠道</w:t>
      </w:r>
      <w:r>
        <w:rPr>
          <w:rFonts w:ascii="仿宋" w:hAnsi="仿宋" w:eastAsia="仿宋" w:cs="宋体"/>
          <w:kern w:val="0"/>
          <w:sz w:val="24"/>
        </w:rPr>
        <w:t>发起</w:t>
      </w:r>
      <w:r>
        <w:rPr>
          <w:rFonts w:hint="eastAsia" w:ascii="仿宋" w:hAnsi="仿宋" w:eastAsia="仿宋" w:cs="宋体"/>
          <w:kern w:val="0"/>
          <w:sz w:val="24"/>
        </w:rPr>
        <w:t>认购</w:t>
      </w:r>
      <w:r>
        <w:rPr>
          <w:rFonts w:ascii="仿宋" w:hAnsi="仿宋" w:eastAsia="仿宋" w:cs="宋体"/>
          <w:kern w:val="0"/>
          <w:sz w:val="24"/>
        </w:rPr>
        <w:t>申请</w:t>
      </w:r>
      <w:r>
        <w:rPr>
          <w:rFonts w:hint="eastAsia" w:ascii="仿宋" w:hAnsi="仿宋" w:eastAsia="仿宋" w:cs="宋体"/>
          <w:kern w:val="0"/>
          <w:sz w:val="24"/>
        </w:rPr>
        <w:t>；通过代销机构购买的，认购渠道以代销机构规定为准</w:t>
      </w:r>
      <w:r>
        <w:rPr>
          <w:rFonts w:ascii="仿宋" w:hAnsi="仿宋" w:eastAsia="仿宋" w:cs="宋体"/>
          <w:kern w:val="0"/>
          <w:sz w:val="24"/>
        </w:rPr>
        <w:t>。</w:t>
      </w:r>
    </w:p>
    <w:p>
      <w:pPr>
        <w:widowControl/>
        <w:adjustRightInd w:val="0"/>
        <w:spacing w:line="276" w:lineRule="auto"/>
        <w:ind w:firstLine="482" w:firstLineChars="200"/>
        <w:contextualSpacing/>
        <w:rPr>
          <w:rFonts w:ascii="仿宋" w:hAnsi="仿宋" w:eastAsia="仿宋" w:cs="宋体"/>
          <w:b/>
          <w:bCs/>
          <w:kern w:val="0"/>
          <w:sz w:val="24"/>
        </w:rPr>
      </w:pPr>
      <w:r>
        <w:rPr>
          <w:rFonts w:hint="eastAsia" w:ascii="仿宋" w:hAnsi="仿宋" w:eastAsia="仿宋" w:cs="宋体"/>
          <w:b/>
          <w:bCs/>
          <w:kern w:val="0"/>
          <w:sz w:val="24"/>
        </w:rPr>
        <w:t>2．本理财产品单一投资者持有产品份额数不得超过产品份额总数的50%。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b/>
          <w:bCs/>
          <w:kern w:val="0"/>
          <w:sz w:val="24"/>
        </w:rPr>
      </w:pPr>
      <w:r>
        <w:rPr>
          <w:rFonts w:hint="eastAsia" w:ascii="仿宋" w:hAnsi="仿宋" w:eastAsia="仿宋" w:cs="宋体"/>
          <w:kern w:val="0"/>
          <w:sz w:val="24"/>
        </w:rPr>
        <w:t>3.</w:t>
      </w:r>
      <w:r>
        <w:rPr>
          <w:rFonts w:hint="eastAsia" w:ascii="仿宋" w:hAnsi="仿宋" w:eastAsia="仿宋" w:cs="宋体"/>
          <w:b/>
          <w:bCs/>
          <w:kern w:val="0"/>
          <w:sz w:val="24"/>
        </w:rPr>
        <w:t>拒绝或暂停</w:t>
      </w:r>
      <w:r>
        <w:rPr>
          <w:rFonts w:hint="eastAsia" w:ascii="仿宋" w:hAnsi="仿宋" w:eastAsia="仿宋" w:cs="宋体"/>
          <w:b/>
          <w:bCs/>
          <w:color w:val="000000"/>
          <w:kern w:val="0"/>
          <w:sz w:val="24"/>
        </w:rPr>
        <w:t>认</w:t>
      </w:r>
      <w:r>
        <w:rPr>
          <w:rFonts w:hint="eastAsia" w:ascii="仿宋" w:hAnsi="仿宋" w:eastAsia="仿宋" w:cs="宋体"/>
          <w:b/>
          <w:bCs/>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（2）接受某笔或某些认购申请可能对其他投资者利益构成重大不利影响。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hint="eastAsia" w:ascii="仿宋" w:hAnsi="仿宋" w:eastAsia="仿宋" w:cs="宋体"/>
          <w:color w:val="000000"/>
          <w:kern w:val="0"/>
          <w:sz w:val="24"/>
          <w:szCs w:val="20"/>
        </w:rPr>
        <w:t>超过本理财产品规模上限部分的认购申请。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5</w:t>
      </w:r>
      <w:r>
        <w:rPr>
          <w:rFonts w:hint="eastAsia" w:ascii="仿宋" w:hAnsi="仿宋" w:eastAsia="仿宋" w:cs="宋体"/>
          <w:color w:val="000000"/>
          <w:kern w:val="0"/>
          <w:sz w:val="24"/>
        </w:rPr>
        <w:t>）客户认购申请总金额超过设定的认购最高金额。</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6</w:t>
      </w:r>
      <w:r>
        <w:rPr>
          <w:rFonts w:hint="eastAsia" w:ascii="仿宋" w:hAnsi="仿宋" w:eastAsia="仿宋" w:cs="宋体"/>
          <w:color w:val="000000"/>
          <w:kern w:val="0"/>
          <w:sz w:val="24"/>
        </w:rPr>
        <w:t>）接受某笔或者某些认购申请有可能导致单一投资者持有份额的比例超过50%，或者出现变相规避50%集中度限制的情形。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w:t>
      </w:r>
      <w:r>
        <w:rPr>
          <w:rFonts w:ascii="仿宋" w:hAnsi="仿宋" w:eastAsia="仿宋" w:cs="宋体"/>
          <w:color w:val="000000"/>
          <w:kern w:val="0"/>
          <w:sz w:val="24"/>
        </w:rPr>
        <w:t>7</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4"/>
        <w:snapToGrid w:val="0"/>
        <w:spacing w:line="276" w:lineRule="auto"/>
        <w:ind w:firstLine="480" w:firstLineChars="200"/>
        <w:jc w:val="both"/>
        <w:rPr>
          <w:rFonts w:ascii="仿宋" w:hAnsi="仿宋" w:eastAsia="仿宋"/>
        </w:rPr>
      </w:pPr>
      <w:r>
        <w:rPr>
          <w:rFonts w:hint="eastAsia" w:ascii="仿宋" w:hAnsi="仿宋" w:eastAsia="仿宋"/>
        </w:rPr>
        <w:t>如果投资人的认购申请被全部或部分拒绝的，被拒绝的认购款项将退还给投资人。在暂停认购的情况消除时，</w:t>
      </w:r>
      <w:r>
        <w:rPr>
          <w:rFonts w:ascii="仿宋" w:hAnsi="仿宋" w:eastAsia="仿宋"/>
        </w:rPr>
        <w:t>管理人</w:t>
      </w:r>
      <w:r>
        <w:rPr>
          <w:rFonts w:hint="eastAsia" w:ascii="仿宋" w:hAnsi="仿宋" w:eastAsia="仿宋"/>
        </w:rPr>
        <w:t>将及时恢复办理业务。</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假设客户持有的产品份额为</w:t>
      </w:r>
      <w:r>
        <w:rPr>
          <w:rFonts w:ascii="仿宋" w:hAnsi="仿宋" w:eastAsia="仿宋" w:cs="仿宋"/>
          <w:sz w:val="24"/>
        </w:rPr>
        <w:t>100,000</w:t>
      </w:r>
      <w:r>
        <w:rPr>
          <w:rFonts w:hint="eastAsia" w:ascii="仿宋" w:hAnsi="仿宋" w:eastAsia="仿宋" w:cs="仿宋"/>
          <w:sz w:val="24"/>
        </w:rPr>
        <w:t>份：</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1</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管理人收取超额管理费，扣除超额管理费后的产品到期日份额净值为</w:t>
      </w:r>
      <w:r>
        <w:rPr>
          <w:rFonts w:ascii="仿宋" w:hAnsi="仿宋" w:eastAsia="仿宋" w:cs="仿宋"/>
          <w:sz w:val="24"/>
        </w:rPr>
        <w:t>1.0800</w:t>
      </w:r>
      <w:r>
        <w:rPr>
          <w:rFonts w:hint="eastAsia" w:ascii="仿宋" w:hAnsi="仿宋" w:eastAsia="仿宋" w:cs="仿宋"/>
          <w:sz w:val="24"/>
        </w:rPr>
        <w:t>，客户到期获得的金额为：</w:t>
      </w:r>
      <w:r>
        <w:rPr>
          <w:rFonts w:ascii="仿宋" w:hAnsi="仿宋" w:eastAsia="仿宋" w:cs="仿宋"/>
          <w:sz w:val="24"/>
        </w:rPr>
        <w:t>100,000*1.0800=108,000.00</w:t>
      </w:r>
      <w:r>
        <w:rPr>
          <w:rFonts w:hint="eastAsia" w:ascii="仿宋" w:hAnsi="仿宋" w:eastAsia="仿宋" w:cs="仿宋"/>
          <w:sz w:val="24"/>
        </w:rPr>
        <w:t>元。</w:t>
      </w:r>
    </w:p>
    <w:p>
      <w:pPr>
        <w:autoSpaceDE w:val="0"/>
        <w:autoSpaceDN w:val="0"/>
        <w:adjustRightInd w:val="0"/>
        <w:snapToGrid w:val="0"/>
        <w:spacing w:line="276" w:lineRule="auto"/>
        <w:ind w:firstLine="480" w:firstLineChars="200"/>
        <w:rPr>
          <w:rFonts w:ascii="仿宋" w:hAnsi="仿宋" w:eastAsia="仿宋"/>
          <w:sz w:val="24"/>
        </w:rPr>
      </w:pPr>
      <w:r>
        <w:rPr>
          <w:rFonts w:hint="eastAsia" w:ascii="仿宋" w:hAnsi="仿宋" w:eastAsia="仿宋" w:cs="仿宋"/>
          <w:sz w:val="24"/>
        </w:rPr>
        <w:t>例</w:t>
      </w:r>
      <w:r>
        <w:rPr>
          <w:rFonts w:ascii="仿宋" w:hAnsi="仿宋" w:eastAsia="仿宋" w:cs="仿宋"/>
          <w:sz w:val="24"/>
        </w:rPr>
        <w:t>2</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1.0200</w:t>
      </w:r>
      <w:r>
        <w:rPr>
          <w:rFonts w:hint="eastAsia" w:ascii="仿宋" w:hAnsi="仿宋" w:eastAsia="仿宋" w:cs="仿宋"/>
          <w:sz w:val="24"/>
        </w:rPr>
        <w:t>，客户到期获得的金额为：</w:t>
      </w:r>
      <w:r>
        <w:rPr>
          <w:rFonts w:ascii="仿宋" w:hAnsi="仿宋" w:eastAsia="仿宋" w:cs="仿宋"/>
          <w:sz w:val="24"/>
        </w:rPr>
        <w:t>100,000*1.0200=102,000.00</w:t>
      </w:r>
      <w:r>
        <w:rPr>
          <w:rFonts w:hint="eastAsia" w:ascii="仿宋" w:hAnsi="仿宋" w:eastAsia="仿宋" w:cs="仿宋"/>
          <w:sz w:val="24"/>
        </w:rPr>
        <w:t>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仿宋"/>
          <w:sz w:val="24"/>
        </w:rPr>
        <w:t>例</w:t>
      </w:r>
      <w:r>
        <w:rPr>
          <w:rFonts w:ascii="仿宋" w:hAnsi="仿宋" w:eastAsia="仿宋" w:cs="仿宋"/>
          <w:sz w:val="24"/>
        </w:rPr>
        <w:t>3</w:t>
      </w:r>
      <w:r>
        <w:rPr>
          <w:rFonts w:hint="eastAsia" w:ascii="仿宋" w:hAnsi="仿宋" w:eastAsia="仿宋" w:cs="仿宋"/>
          <w:sz w:val="24"/>
        </w:rPr>
        <w:t>：理财产品到期后，若</w:t>
      </w:r>
      <w:r>
        <w:rPr>
          <w:rFonts w:hint="eastAsia" w:ascii="仿宋" w:hAnsi="仿宋" w:eastAsia="仿宋"/>
          <w:sz w:val="24"/>
        </w:rPr>
        <w:t>根据前述超额管理费条款，</w:t>
      </w:r>
      <w:r>
        <w:rPr>
          <w:rFonts w:hint="eastAsia" w:ascii="仿宋" w:hAnsi="仿宋" w:eastAsia="仿宋" w:cs="仿宋"/>
          <w:sz w:val="24"/>
        </w:rPr>
        <w:t>管理人不收取超额管理费，产品到期日份额净值为</w:t>
      </w:r>
      <w:r>
        <w:rPr>
          <w:rFonts w:ascii="仿宋" w:hAnsi="仿宋" w:eastAsia="仿宋" w:cs="仿宋"/>
          <w:sz w:val="24"/>
        </w:rPr>
        <w:t>0.9980</w:t>
      </w:r>
      <w:r>
        <w:rPr>
          <w:rFonts w:hint="eastAsia" w:ascii="仿宋" w:hAnsi="仿宋" w:eastAsia="仿宋" w:cs="仿宋"/>
          <w:sz w:val="24"/>
        </w:rPr>
        <w:t>，客户到期获得的金额为：</w:t>
      </w:r>
      <w:r>
        <w:rPr>
          <w:rFonts w:ascii="仿宋" w:hAnsi="仿宋" w:eastAsia="仿宋" w:cs="仿宋"/>
          <w:sz w:val="24"/>
        </w:rPr>
        <w:t>100,000*0.9980=99,800.00</w:t>
      </w:r>
      <w:r>
        <w:rPr>
          <w:rFonts w:hint="eastAsia" w:ascii="仿宋" w:hAnsi="仿宋" w:eastAsia="仿宋" w:cs="仿宋"/>
          <w:sz w:val="24"/>
        </w:rPr>
        <w:t>元。</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最不利的投资情形：如果本理财产品投资组合内所配置资产发生损失，则理财产品到期/终止时投资者可能无法获得理财产品投资收益，甚至损失全部理财本金，投资者应在对此风险有充分认识基础上谨慎投资。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sz w:val="24"/>
        </w:rPr>
        <w:t>本产品说明书中的任何业绩比较基准、</w:t>
      </w:r>
      <w:r>
        <w:rPr>
          <w:rFonts w:eastAsia="黑体"/>
          <w:b/>
          <w:sz w:val="24"/>
        </w:rPr>
        <w:t>收益</w:t>
      </w:r>
      <w:r>
        <w:rPr>
          <w:rFonts w:hint="eastAsia" w:eastAsia="黑体"/>
          <w:b/>
          <w:sz w:val="24"/>
        </w:rPr>
        <w:t>示例或类似表述均不具有法律约束力，不代表投资者可能获得的实际收益，亦不构成华夏理财/代销机构对本理财产品的任何收益承诺。</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（一）估值对象</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s="仿宋"/>
        </w:rPr>
        <w:t>本理财产品所投资的银行存款、货币市场工具、债券等标准化债权类资产、非标准化债权类资产以及资产管理产品等资产。</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4"/>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（三）估值方法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 证券交易所上市的有价证券</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在交易所市场上市的含有转股权的债券（如可转换债券、可交换债券等）等，选取每日收盘价减去所含的应收利息得到的净价进行估值。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 处于未上市期间的有价证券应区分如下情况处理：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（1）送股、转增股、配股和公开增发的新股，按估值日在证券交易所挂牌的同一股票的市价（收盘价）估值；该日无交易的，以最近一日的市价（收盘价）估值；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（3）优先股采用估值技术确认公允价值，在估值技术难以可靠计量公允价值的情况下，采用管理人和托管人共同认可的第三方机构提供的估值，或双方共同认可的估值；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4. 同一债券同时在两个或两个以上市场交易的，按债券所处的市场分别估值。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 证券投资基金的估值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（1）场外申赎的开放式非货币基金以估值日可获取的基金管理人公布的最新基金份额净值估值；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（2）上市流通的证券投资基金（包括场内买入的ETF、封闭式基金、上市定期开放式基金）按估值日其所在证券交易所的收盘价估值；估值日无交易的，以最近一个交易日的收盘价估值；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（3）货币基金以估值日可获取的基金管理人公布的最新万份收益计提红利。</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8. 期货以估值日期货交易所的当日结算价估值，估值当日无结算价的，且最近交易日后经济环境未发生重大变化的，采用最近交易日结算价估值。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9. 汇率估值方法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10. 场内期权以估值日交易所的结算价估值，该日无交易的，以最近一日的结算价为准。</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11. 非标准化债权类资产采用估值技术确认公允价值或在相关法律法规以及监管部门允许的情况下采用摊余成本法估值。在估值技术难以可靠计量公允价值的情况下，采用管理人和托管人共同认可的估值。</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12.</w:t>
      </w:r>
      <w:r>
        <w:rPr>
          <w:rFonts w:ascii="仿宋" w:hAnsi="仿宋" w:eastAsia="仿宋"/>
          <w:color w:val="auto"/>
        </w:rPr>
        <w:t xml:space="preserve"> </w:t>
      </w:r>
      <w:r>
        <w:rPr>
          <w:rFonts w:hint="eastAsia" w:ascii="仿宋" w:hAnsi="仿宋" w:eastAsia="仿宋"/>
          <w:color w:val="auto"/>
        </w:rPr>
        <w:t>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13. 本系列产品所投资的资产管理产品以估值日公布的产品单位净值进行估值，估值日产品单位净值未公布的，以最近一个工作日产品单位净值计算。</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14. 相关法律法规以及监管部门有强制规定的，从其规定。如有新增事项或变更事项，依法按最新规定计算。没有相关规定的，由产品管理人与托管人协商确定计算方法。</w:t>
      </w:r>
    </w:p>
    <w:p>
      <w:pPr>
        <w:pStyle w:val="14"/>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4"/>
        <w:snapToGrid w:val="0"/>
        <w:spacing w:line="276" w:lineRule="auto"/>
        <w:ind w:firstLine="482" w:firstLineChars="200"/>
        <w:contextualSpacing/>
        <w:rPr>
          <w:rFonts w:ascii="仿宋" w:hAnsi="仿宋" w:eastAsia="仿宋"/>
          <w:color w:val="auto"/>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（四）暂停</w:t>
      </w:r>
      <w:r>
        <w:rPr>
          <w:rFonts w:ascii="仿宋" w:hAnsi="仿宋" w:eastAsia="仿宋"/>
        </w:rPr>
        <w:t>估值</w:t>
      </w:r>
    </w:p>
    <w:p>
      <w:pPr>
        <w:pStyle w:val="14"/>
        <w:snapToGrid w:val="0"/>
        <w:spacing w:line="276" w:lineRule="auto"/>
        <w:ind w:firstLine="482" w:firstLineChars="200"/>
        <w:contextualSpacing/>
        <w:rPr>
          <w:rFonts w:ascii="仿宋" w:hAnsi="仿宋" w:eastAsia="仿宋"/>
          <w:b/>
          <w:bCs/>
        </w:rPr>
      </w:pPr>
      <w:r>
        <w:rPr>
          <w:rFonts w:hint="eastAsia" w:ascii="仿宋" w:hAnsi="仿宋" w:eastAsia="仿宋"/>
          <w:b/>
          <w:bCs/>
        </w:rPr>
        <w:t>在发生下列情形之一的，</w:t>
      </w:r>
      <w:r>
        <w:rPr>
          <w:rFonts w:ascii="仿宋" w:hAnsi="仿宋" w:eastAsia="仿宋"/>
          <w:b/>
          <w:bCs/>
        </w:rPr>
        <w:t>管理人</w:t>
      </w:r>
      <w:r>
        <w:rPr>
          <w:rFonts w:hint="eastAsia" w:ascii="仿宋" w:hAnsi="仿宋" w:eastAsia="仿宋"/>
          <w:b/>
          <w:bCs/>
        </w:rPr>
        <w:t>可以暂停本理财产品</w:t>
      </w:r>
      <w:r>
        <w:rPr>
          <w:rFonts w:ascii="仿宋" w:hAnsi="仿宋" w:eastAsia="仿宋"/>
          <w:b/>
          <w:bCs/>
        </w:rPr>
        <w:t>估值</w:t>
      </w:r>
      <w:r>
        <w:rPr>
          <w:rFonts w:hint="eastAsia" w:ascii="仿宋" w:hAnsi="仿宋" w:eastAsia="仿宋"/>
          <w:b/>
          <w:bCs/>
        </w:rPr>
        <w:t>：</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4"/>
        <w:snapToGrid w:val="0"/>
        <w:spacing w:line="276" w:lineRule="auto"/>
        <w:ind w:firstLine="480" w:firstLineChars="200"/>
        <w:contextualSpacing/>
        <w:rPr>
          <w:rFonts w:ascii="仿宋" w:hAnsi="仿宋" w:eastAsia="仿宋"/>
        </w:rPr>
      </w:pPr>
      <w:r>
        <w:rPr>
          <w:rFonts w:hint="eastAsia" w:ascii="仿宋" w:hAnsi="仿宋" w:eastAsia="仿宋"/>
        </w:rPr>
        <w:t>3.监管机构认定或管理人、托管人有合理理由认为将影响本理财产品估值的其它情形。</w:t>
      </w:r>
    </w:p>
    <w:p>
      <w:pPr>
        <w:pStyle w:val="14"/>
        <w:snapToGrid w:val="0"/>
        <w:spacing w:line="276" w:lineRule="auto"/>
        <w:ind w:firstLine="480" w:firstLineChars="200"/>
        <w:contextualSpacing/>
        <w:outlineLvl w:val="1"/>
        <w:rPr>
          <w:rFonts w:ascii="仿宋" w:hAnsi="仿宋" w:eastAsia="仿宋"/>
        </w:rPr>
      </w:pPr>
      <w:r>
        <w:rPr>
          <w:rFonts w:hint="eastAsia" w:ascii="仿宋" w:hAnsi="仿宋" w:eastAsia="仿宋"/>
        </w:rPr>
        <w:t>（五）</w:t>
      </w:r>
      <w:r>
        <w:rPr>
          <w:rFonts w:ascii="仿宋" w:hAnsi="仿宋" w:eastAsia="仿宋"/>
        </w:rPr>
        <w:t>估值</w:t>
      </w:r>
      <w:r>
        <w:rPr>
          <w:rFonts w:hint="eastAsia" w:ascii="仿宋" w:hAnsi="仿宋" w:eastAsia="仿宋"/>
        </w:rPr>
        <w:t>错误的</w:t>
      </w:r>
      <w:r>
        <w:rPr>
          <w:rFonts w:ascii="仿宋" w:hAnsi="仿宋" w:eastAsia="仿宋"/>
        </w:rPr>
        <w:t>处理</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bCs/>
        </w:rPr>
        <w:t>当估值出现错误时，因估值错误而获得不当得利的投资者负有及时返还不当得利的义务。</w:t>
      </w:r>
    </w:p>
    <w:p>
      <w:pPr>
        <w:pStyle w:val="14"/>
        <w:keepNext/>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4"/>
        <w:snapToGrid w:val="0"/>
        <w:spacing w:line="276" w:lineRule="auto"/>
        <w:ind w:firstLine="480" w:firstLineChars="200"/>
        <w:contextualSpacing/>
        <w:jc w:val="both"/>
        <w:rPr>
          <w:rFonts w:ascii="Times New Roman" w:eastAsia="黑体" w:cs="Times New Roman"/>
          <w:color w:val="auto"/>
        </w:rPr>
      </w:pPr>
      <w:r>
        <w:rPr>
          <w:rFonts w:ascii="仿宋" w:hAnsi="仿宋" w:eastAsia="仿宋"/>
          <w:color w:val="auto"/>
        </w:rPr>
        <w:t>本理财产品</w:t>
      </w:r>
      <w:r>
        <w:rPr>
          <w:rFonts w:hint="eastAsia" w:ascii="仿宋" w:hAnsi="仿宋" w:eastAsia="仿宋"/>
          <w:color w:val="auto"/>
        </w:rPr>
        <w:t>为非保本浮动收益净值型</w:t>
      </w:r>
      <w:r>
        <w:rPr>
          <w:rFonts w:ascii="仿宋" w:hAnsi="仿宋" w:eastAsia="仿宋"/>
          <w:color w:val="auto"/>
        </w:rPr>
        <w:t>理财产品，根据法律法规及监管要求的有关规定，特向</w:t>
      </w:r>
      <w:r>
        <w:rPr>
          <w:rFonts w:hint="eastAsia" w:ascii="仿宋" w:hAnsi="仿宋" w:eastAsia="仿宋"/>
          <w:color w:val="auto"/>
        </w:rPr>
        <w:t>投资者</w:t>
      </w:r>
      <w:r>
        <w:rPr>
          <w:rFonts w:ascii="仿宋" w:hAnsi="仿宋" w:eastAsia="仿宋"/>
          <w:color w:val="auto"/>
        </w:rPr>
        <w:t>提示如下：与银行存款比较，本理财产品存在投资风险，</w:t>
      </w:r>
      <w:r>
        <w:rPr>
          <w:rFonts w:hint="eastAsia" w:ascii="仿宋" w:hAnsi="仿宋" w:eastAsia="仿宋"/>
          <w:color w:val="auto"/>
        </w:rPr>
        <w:t>投资者</w:t>
      </w:r>
      <w:r>
        <w:rPr>
          <w:rFonts w:ascii="仿宋" w:hAnsi="仿宋" w:eastAsia="仿宋"/>
          <w:color w:val="auto"/>
        </w:rPr>
        <w:t>的本金和收益可能会因市场变动等原因而蒙受损失，</w:t>
      </w:r>
      <w:r>
        <w:rPr>
          <w:rFonts w:hint="eastAsia" w:ascii="仿宋" w:hAnsi="仿宋" w:eastAsia="仿宋"/>
          <w:color w:val="auto"/>
        </w:rPr>
        <w:t>投资者</w:t>
      </w:r>
      <w:r>
        <w:rPr>
          <w:rFonts w:ascii="仿宋" w:hAnsi="仿宋" w:eastAsia="仿宋"/>
          <w:color w:val="auto"/>
        </w:rPr>
        <w:t>应充分认识投资风险，谨慎投资。本理财产品可能面临的风险主要包括：</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一）本金及理财收益风险：本理财产品不保证本金及理财收益，理财产品收益来源于本理财产品项下投资组合的回报，容易受到企业信用状况变化、市场利率变化、汇率变化、投资组合运作情况以及管理人投资能力等</w:t>
      </w:r>
      <w:r>
        <w:rPr>
          <w:rFonts w:ascii="Times New Roman" w:eastAsia="黑体" w:cs="Times New Roman"/>
          <w:b/>
          <w:color w:val="auto"/>
        </w:rPr>
        <w:t>因素</w:t>
      </w:r>
      <w:r>
        <w:rPr>
          <w:rFonts w:hint="eastAsia" w:ascii="Times New Roman" w:eastAsia="黑体" w:cs="Times New Roman"/>
          <w:b/>
          <w:color w:val="auto"/>
        </w:rPr>
        <w:t>的影响。在最不利的情况下，</w:t>
      </w:r>
      <w:r>
        <w:rPr>
          <w:rFonts w:hint="eastAsia" w:eastAsia="黑体"/>
          <w:b/>
        </w:rPr>
        <w:t>理财产品到期/终止时投资者可能无法获得理财产品投资收益，甚至损失全部理财本金</w:t>
      </w:r>
      <w:r>
        <w:rPr>
          <w:rFonts w:hint="eastAsia" w:ascii="Times New Roman" w:eastAsia="黑体" w:cs="Times New Roman"/>
          <w:b/>
          <w:color w:val="auto"/>
        </w:rPr>
        <w:t>，由此产生的风险由投资者自行承担。</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（二）信用风险：如理财产品</w:t>
      </w:r>
      <w:bookmarkStart w:id="4" w:name="_Hlk76300274"/>
      <w:r>
        <w:rPr>
          <w:rFonts w:hint="eastAsia" w:ascii="Times New Roman" w:eastAsia="黑体" w:cs="Times New Roman"/>
          <w:b/>
          <w:color w:val="auto"/>
        </w:rPr>
        <w:t>所投资的资产</w:t>
      </w:r>
      <w:bookmarkEnd w:id="4"/>
      <w:r>
        <w:rPr>
          <w:rFonts w:hint="eastAsia" w:ascii="Times New Roman" w:eastAsia="黑体" w:cs="Times New Roman"/>
          <w:b/>
          <w:color w:val="auto"/>
        </w:rPr>
        <w:t>发行人、资产管理计划管理人、信托受托人、债务人、担保人（如有）等相关主体发生违约，可能导致无法按时支付本金及理财收益，进而导致本理财产品收益为零甚至本金遭受损失。</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（三）市场风险：本理财产品为非保本浮动收益净值型理财产品，不排除因</w:t>
      </w:r>
      <w:r>
        <w:rPr>
          <w:rFonts w:hint="eastAsia" w:ascii="Times New Roman" w:eastAsia="黑体" w:cs="Times New Roman"/>
          <w:b/>
          <w:color w:val="auto"/>
        </w:rPr>
        <w:t>资产</w:t>
      </w:r>
      <w:r>
        <w:rPr>
          <w:rFonts w:ascii="Times New Roman" w:eastAsia="黑体" w:cs="Times New Roman"/>
          <w:b/>
          <w:color w:val="auto"/>
        </w:rPr>
        <w:t>价格、利率、信用</w:t>
      </w:r>
      <w:r>
        <w:rPr>
          <w:rFonts w:hint="eastAsia" w:ascii="Times New Roman" w:eastAsia="黑体" w:cs="Times New Roman"/>
          <w:b/>
          <w:color w:val="auto"/>
        </w:rPr>
        <w:t>、汇率</w:t>
      </w:r>
      <w:r>
        <w:rPr>
          <w:rFonts w:ascii="Times New Roman" w:eastAsia="黑体" w:cs="Times New Roman"/>
          <w:b/>
          <w:color w:val="auto"/>
        </w:rPr>
        <w:t>以及国家政策等的变动导致本理财产品净值遭受损失的可能。</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（四）流动性风险：</w:t>
      </w:r>
      <w:r>
        <w:rPr>
          <w:rFonts w:ascii="Times New Roman" w:eastAsia="黑体" w:cs="Times New Roman"/>
          <w:b/>
          <w:color w:val="auto"/>
        </w:rPr>
        <w:t>本理财产品为</w:t>
      </w:r>
      <w:r>
        <w:rPr>
          <w:rFonts w:hint="eastAsia" w:ascii="Times New Roman" w:eastAsia="黑体" w:cs="Times New Roman"/>
          <w:b/>
          <w:color w:val="auto"/>
        </w:rPr>
        <w:t>封闭</w:t>
      </w:r>
      <w:r>
        <w:rPr>
          <w:rFonts w:ascii="Times New Roman" w:eastAsia="黑体" w:cs="Times New Roman"/>
          <w:b/>
          <w:color w:val="auto"/>
        </w:rPr>
        <w:t>式净值型理财产品，</w:t>
      </w:r>
      <w:r>
        <w:rPr>
          <w:rFonts w:hint="eastAsia" w:ascii="Times New Roman" w:eastAsia="黑体" w:cs="Times New Roman"/>
          <w:b/>
          <w:color w:val="auto"/>
        </w:rPr>
        <w:t>除非出现本产品说明书规定的情况，</w:t>
      </w:r>
      <w:r>
        <w:rPr>
          <w:rFonts w:ascii="Times New Roman" w:eastAsia="黑体" w:cs="Times New Roman"/>
          <w:b/>
          <w:color w:val="auto"/>
        </w:rPr>
        <w:t>投资者无权随时</w:t>
      </w:r>
      <w:r>
        <w:rPr>
          <w:rFonts w:eastAsia="黑体"/>
          <w:b/>
        </w:rPr>
        <w:t>提前赎回</w:t>
      </w:r>
      <w:r>
        <w:rPr>
          <w:rFonts w:hint="eastAsia" w:eastAsia="黑体"/>
          <w:b/>
        </w:rPr>
        <w:t>或</w:t>
      </w:r>
      <w:r>
        <w:rPr>
          <w:rFonts w:ascii="Times New Roman" w:eastAsia="黑体" w:cs="Times New Roman"/>
          <w:b/>
          <w:color w:val="auto"/>
        </w:rPr>
        <w:t>终止</w:t>
      </w:r>
      <w:r>
        <w:rPr>
          <w:rFonts w:hint="eastAsia" w:ascii="Times New Roman" w:eastAsia="黑体" w:cs="Times New Roman"/>
          <w:b/>
          <w:color w:val="auto"/>
        </w:rPr>
        <w:t>本</w:t>
      </w:r>
      <w:r>
        <w:rPr>
          <w:rFonts w:ascii="Times New Roman" w:eastAsia="黑体" w:cs="Times New Roman"/>
          <w:b/>
          <w:color w:val="auto"/>
        </w:rPr>
        <w:t>理财产品，</w:t>
      </w:r>
      <w:r>
        <w:rPr>
          <w:rFonts w:hint="eastAsia" w:ascii="Times New Roman" w:eastAsia="黑体" w:cs="Times New Roman"/>
          <w:b/>
          <w:color w:val="auto"/>
        </w:rPr>
        <w:t>可能导致投资者需要资金时不能随时变现，并可能丧失其他投资机会。</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（五）投资风险：本理财产品的实际收益率取决于所投资金融工具的收益率，投资者应对此有充分的认识。除本产品说明书中明确规定的收益或收益分配方式外，任何业绩比较基准、</w:t>
      </w:r>
      <w:r>
        <w:rPr>
          <w:rFonts w:ascii="Times New Roman" w:eastAsia="黑体" w:cs="Times New Roman"/>
          <w:b/>
          <w:color w:val="auto"/>
        </w:rPr>
        <w:t>收益</w:t>
      </w:r>
      <w:r>
        <w:rPr>
          <w:rFonts w:hint="eastAsia" w:ascii="Times New Roman" w:eastAsia="黑体" w:cs="Times New Roman"/>
          <w:b/>
          <w:color w:val="auto"/>
        </w:rPr>
        <w:t>示例或类似表述均不具有法律约束力，不代表投资者可能获得的实际收益，亦不构成华夏理财/代销机构对本理财产品的任何收益承诺。</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color w:val="auto"/>
        </w:rPr>
        <w:t>可能影响本理财产品的投资运作和收益，甚至</w:t>
      </w:r>
      <w:r>
        <w:rPr>
          <w:rFonts w:hint="eastAsia" w:ascii="Times New Roman" w:eastAsia="黑体" w:cs="Times New Roman"/>
          <w:b/>
          <w:color w:val="auto"/>
        </w:rPr>
        <w:t>造成</w:t>
      </w:r>
      <w:r>
        <w:rPr>
          <w:rFonts w:ascii="Times New Roman" w:eastAsia="黑体" w:cs="Times New Roman"/>
          <w:b/>
          <w:color w:val="auto"/>
        </w:rPr>
        <w:t>本金损失。</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理财产品不成立风险：</w:t>
      </w:r>
      <w:r>
        <w:rPr>
          <w:rFonts w:hint="eastAsia" w:ascii="Times New Roman" w:eastAsia="黑体" w:cs="Times New Roman"/>
          <w:b/>
          <w:color w:val="auto"/>
        </w:rPr>
        <w:t>募集期</w:t>
      </w:r>
      <w:r>
        <w:rPr>
          <w:rFonts w:ascii="Times New Roman" w:eastAsia="黑体" w:cs="Times New Roman"/>
          <w:b/>
          <w:color w:val="auto"/>
        </w:rPr>
        <w:t>结束，如理财产品</w:t>
      </w:r>
      <w:r>
        <w:rPr>
          <w:rFonts w:hint="eastAsia" w:ascii="Times New Roman" w:eastAsia="黑体" w:cs="Times New Roman"/>
          <w:b/>
          <w:color w:val="auto"/>
        </w:rPr>
        <w:t>募集</w:t>
      </w:r>
      <w:r>
        <w:rPr>
          <w:rFonts w:ascii="Times New Roman" w:eastAsia="黑体" w:cs="Times New Roman"/>
          <w:b/>
          <w:color w:val="auto"/>
        </w:rPr>
        <w:t>总金额未达到发行</w:t>
      </w:r>
      <w:r>
        <w:rPr>
          <w:rFonts w:hint="eastAsia" w:ascii="Times New Roman" w:eastAsia="黑体" w:cs="Times New Roman"/>
          <w:b/>
          <w:color w:val="auto"/>
        </w:rPr>
        <w:t>规模</w:t>
      </w:r>
      <w:r>
        <w:rPr>
          <w:rFonts w:ascii="Times New Roman" w:eastAsia="黑体" w:cs="Times New Roman"/>
          <w:b/>
          <w:color w:val="auto"/>
        </w:rPr>
        <w:t>下限</w:t>
      </w:r>
      <w:r>
        <w:rPr>
          <w:rFonts w:hint="eastAsia" w:ascii="Times New Roman" w:eastAsia="黑体" w:cs="Times New Roman"/>
          <w:b/>
          <w:color w:val="auto"/>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color w:val="auto"/>
        </w:rPr>
        <w:t>华夏</w:t>
      </w:r>
      <w:r>
        <w:rPr>
          <w:rFonts w:hint="eastAsia" w:ascii="Times New Roman" w:eastAsia="黑体" w:cs="Times New Roman"/>
          <w:b/>
          <w:color w:val="auto"/>
        </w:rPr>
        <w:t>理财</w:t>
      </w:r>
      <w:r>
        <w:rPr>
          <w:rFonts w:ascii="Times New Roman" w:eastAsia="黑体" w:cs="Times New Roman"/>
          <w:b/>
          <w:color w:val="auto"/>
        </w:rPr>
        <w:t>有权宣布本理财产品不成立。</w:t>
      </w:r>
    </w:p>
    <w:p>
      <w:pPr>
        <w:pStyle w:val="14"/>
        <w:snapToGrid w:val="0"/>
        <w:spacing w:line="276" w:lineRule="auto"/>
        <w:ind w:firstLine="482" w:firstLineChars="200"/>
        <w:contextualSpacing/>
        <w:jc w:val="both"/>
        <w:rPr>
          <w:rFonts w:ascii="Times New Roman" w:eastAsia="黑体" w:cs="Times New Roman"/>
          <w:b/>
          <w:color w:val="auto"/>
        </w:rPr>
      </w:pPr>
      <w:r>
        <w:rPr>
          <w:rFonts w:ascii="Times New Roman" w:eastAsia="黑体" w:cs="Times New Roman"/>
          <w:b/>
          <w:color w:val="auto"/>
        </w:rPr>
        <w:t>（</w:t>
      </w:r>
      <w:r>
        <w:rPr>
          <w:rFonts w:hint="eastAsia" w:ascii="Times New Roman" w:eastAsia="黑体" w:cs="Times New Roman"/>
          <w:b/>
          <w:color w:val="auto"/>
        </w:rPr>
        <w:t>九</w:t>
      </w:r>
      <w:r>
        <w:rPr>
          <w:rFonts w:ascii="Times New Roman" w:eastAsia="黑体" w:cs="Times New Roman"/>
          <w:b/>
          <w:color w:val="auto"/>
        </w:rPr>
        <w:t>）</w:t>
      </w:r>
      <w:r>
        <w:rPr>
          <w:rFonts w:hint="eastAsia" w:ascii="Times New Roman" w:eastAsia="黑体" w:cs="Times New Roman"/>
          <w:b/>
          <w:color w:val="auto"/>
        </w:rPr>
        <w:t>提前终止风险：如遇前述提前</w:t>
      </w:r>
      <w:r>
        <w:rPr>
          <w:rFonts w:ascii="Times New Roman" w:eastAsia="黑体" w:cs="Times New Roman"/>
          <w:b/>
          <w:color w:val="auto"/>
        </w:rPr>
        <w:t>终止权</w:t>
      </w:r>
      <w:r>
        <w:rPr>
          <w:rFonts w:hint="eastAsia" w:ascii="Times New Roman" w:eastAsia="黑体" w:cs="Times New Roman"/>
          <w:b/>
          <w:color w:val="auto"/>
        </w:rPr>
        <w:t>条款中涉及</w:t>
      </w:r>
      <w:r>
        <w:rPr>
          <w:rFonts w:ascii="Times New Roman" w:eastAsia="黑体" w:cs="Times New Roman"/>
          <w:b/>
          <w:color w:val="auto"/>
        </w:rPr>
        <w:t>的</w:t>
      </w:r>
      <w:r>
        <w:rPr>
          <w:rFonts w:hint="eastAsia" w:ascii="Times New Roman" w:eastAsia="黑体" w:cs="Times New Roman"/>
          <w:b/>
          <w:color w:val="auto"/>
        </w:rPr>
        <w:t>情形，华夏理财有权提前终止本理财产品，投资者可能收益为零甚至损失理财本金。</w:t>
      </w:r>
    </w:p>
    <w:p>
      <w:pPr>
        <w:widowControl/>
        <w:adjustRightInd w:val="0"/>
        <w:snapToGrid w:val="0"/>
        <w:spacing w:line="276" w:lineRule="auto"/>
        <w:ind w:firstLine="482" w:firstLineChars="200"/>
        <w:contextualSpacing/>
        <w:rPr>
          <w:rFonts w:eastAsia="黑体"/>
          <w:b/>
          <w:kern w:val="0"/>
          <w:sz w:val="24"/>
        </w:rPr>
      </w:pPr>
      <w:r>
        <w:rPr>
          <w:rFonts w:hint="eastAsia" w:eastAsia="黑体"/>
          <w:b/>
          <w:kern w:val="0"/>
          <w:sz w:val="24"/>
        </w:rPr>
        <w:t>（十）延期风险：</w:t>
      </w:r>
      <w:r>
        <w:rPr>
          <w:rFonts w:eastAsia="黑体"/>
          <w:b/>
          <w:kern w:val="0"/>
          <w:sz w:val="24"/>
        </w:rPr>
        <w:t>如因与理财产品投资资产相关的</w:t>
      </w:r>
      <w:r>
        <w:rPr>
          <w:rFonts w:hint="eastAsia" w:eastAsia="黑体"/>
          <w:b/>
          <w:kern w:val="0"/>
          <w:sz w:val="24"/>
        </w:rPr>
        <w:t>资产管理计划管理人、</w:t>
      </w:r>
      <w:r>
        <w:rPr>
          <w:rFonts w:eastAsia="黑体"/>
          <w:b/>
          <w:kern w:val="0"/>
          <w:sz w:val="24"/>
        </w:rPr>
        <w:t>信托受托人、债务人、担保人（如有）等主体发生违约，导致本理财产品不能按时偿</w:t>
      </w:r>
      <w:r>
        <w:rPr>
          <w:rFonts w:hint="eastAsia" w:eastAsia="黑体"/>
          <w:b/>
          <w:kern w:val="0"/>
          <w:sz w:val="24"/>
        </w:rPr>
        <w:t>付</w:t>
      </w:r>
      <w:r>
        <w:rPr>
          <w:rFonts w:eastAsia="黑体"/>
          <w:b/>
          <w:kern w:val="0"/>
          <w:sz w:val="24"/>
        </w:rPr>
        <w:t>理财本金及收益</w:t>
      </w:r>
      <w:r>
        <w:rPr>
          <w:rFonts w:hint="eastAsia" w:eastAsia="黑体"/>
          <w:b/>
          <w:kern w:val="0"/>
          <w:sz w:val="24"/>
        </w:rPr>
        <w:t>；或因市场成交量不足、资产限制赎回、暂停交易、缺乏意愿交易对手等原因，管理人未能及时完成资产变现，则本</w:t>
      </w:r>
      <w:r>
        <w:rPr>
          <w:rFonts w:eastAsia="黑体"/>
          <w:b/>
          <w:kern w:val="0"/>
          <w:sz w:val="24"/>
        </w:rPr>
        <w:t>理财</w:t>
      </w:r>
      <w:r>
        <w:rPr>
          <w:rFonts w:hint="eastAsia" w:eastAsia="黑体"/>
          <w:b/>
          <w:kern w:val="0"/>
          <w:sz w:val="24"/>
        </w:rPr>
        <w:t>产品</w:t>
      </w:r>
      <w:r>
        <w:rPr>
          <w:rFonts w:eastAsia="黑体"/>
          <w:b/>
          <w:kern w:val="0"/>
          <w:sz w:val="24"/>
        </w:rPr>
        <w:t>期限将相应延长。</w:t>
      </w:r>
    </w:p>
    <w:p>
      <w:pPr>
        <w:pStyle w:val="14"/>
        <w:snapToGrid w:val="0"/>
        <w:spacing w:line="276" w:lineRule="auto"/>
        <w:ind w:firstLine="482" w:firstLineChars="200"/>
        <w:contextualSpacing/>
        <w:jc w:val="both"/>
        <w:rPr>
          <w:rFonts w:ascii="Times New Roman" w:eastAsia="黑体" w:cs="Times New Roman"/>
          <w:b/>
          <w:color w:val="auto"/>
        </w:rPr>
      </w:pPr>
      <w:r>
        <w:rPr>
          <w:rFonts w:hint="eastAsia" w:ascii="Times New Roman" w:eastAsia="黑体" w:cs="Times New Roman"/>
          <w:b/>
          <w:color w:val="auto"/>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5" w:name="_Hlk76301212"/>
      <w:r>
        <w:rPr>
          <w:rFonts w:hint="eastAsia" w:ascii="Times New Roman" w:eastAsia="黑体" w:cs="Times New Roman"/>
          <w:b/>
          <w:color w:val="auto"/>
        </w:rPr>
        <w:t>华夏理财/代销机构</w:t>
      </w:r>
      <w:bookmarkEnd w:id="5"/>
      <w:r>
        <w:rPr>
          <w:rFonts w:hint="eastAsia" w:ascii="Times New Roman" w:eastAsia="黑体" w:cs="Times New Roman"/>
          <w:b/>
          <w:color w:val="auto"/>
        </w:rPr>
        <w:t>的有效联系方式变更的，应及时通知华夏理财/代销机构。因投资者未及时告知导致的信息传递失败的风险由投资者自行承担。</w:t>
      </w:r>
    </w:p>
    <w:p>
      <w:pPr>
        <w:spacing w:line="360" w:lineRule="exact"/>
        <w:ind w:firstLine="482" w:firstLineChars="200"/>
        <w:contextualSpacing/>
        <w:rPr>
          <w:rFonts w:eastAsia="黑体"/>
          <w:b/>
          <w:kern w:val="0"/>
          <w:sz w:val="24"/>
        </w:rPr>
      </w:pPr>
      <w:r>
        <w:rPr>
          <w:rFonts w:hint="eastAsia" w:eastAsia="黑体"/>
          <w:b/>
          <w:kern w:val="0"/>
          <w:sz w:val="24"/>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（十三）拟投资市场及资产的流动性风险评估</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理财产品到期变现或履行其他支付义务，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各类流动性应对措施，作为特定情形下流动性风险管理的辅助手段，包括但不限于：设定单一投资者认购金额上限、拒绝大额认购、暂停认购，以及监管机构规定的其他风险应对措施。</w:t>
      </w:r>
    </w:p>
    <w:p>
      <w:pPr>
        <w:pStyle w:val="14"/>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当管理人实施流动性应对措施时，可能对投资者具有一定的潜在影响，包括但不限于不能认购本理财产品、认购交易确认失败等。</w:t>
      </w:r>
    </w:p>
    <w:p>
      <w:pPr>
        <w:pStyle w:val="14"/>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（十五）其他风险：由于自然灾害</w:t>
      </w:r>
      <w:r>
        <w:rPr>
          <w:rFonts w:ascii="Times New Roman" w:eastAsia="黑体" w:cs="Times New Roman"/>
          <w:b/>
          <w:color w:val="auto"/>
        </w:rPr>
        <w:t>、战争或国家政策变化等不能预见、不能避免</w:t>
      </w:r>
      <w:r>
        <w:rPr>
          <w:rFonts w:hint="eastAsia" w:ascii="Times New Roman" w:eastAsia="黑体" w:cs="Times New Roman"/>
          <w:b/>
          <w:color w:val="auto"/>
        </w:rPr>
        <w:t>、</w:t>
      </w:r>
      <w:r>
        <w:rPr>
          <w:rFonts w:ascii="Times New Roman" w:eastAsia="黑体" w:cs="Times New Roman"/>
          <w:b/>
          <w:color w:val="auto"/>
        </w:rPr>
        <w:t>不能克服的</w:t>
      </w:r>
      <w:r>
        <w:rPr>
          <w:rFonts w:hint="eastAsia" w:ascii="Times New Roman" w:eastAsia="黑体" w:cs="Times New Roman"/>
          <w:b/>
          <w:color w:val="auto"/>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color w:val="auto"/>
        </w:rPr>
        <w:t>导致理财产品所投资资产收益降低或损失，甚至影响理财产品的受理、投资、偿还等的正常进行，进而影响理财产品的投资收益和本金安全。</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kern w:val="0"/>
          <w:sz w:val="24"/>
        </w:rPr>
      </w:pPr>
      <w:r>
        <w:rPr>
          <w:rFonts w:hint="eastAsia" w:ascii="仿宋" w:hAnsi="仿宋" w:eastAsia="仿宋" w:cs="宋体"/>
          <w:b/>
          <w:kern w:val="0"/>
          <w:sz w:val="24"/>
        </w:rPr>
        <w:t>1.</w:t>
      </w:r>
      <w:r>
        <w:rPr>
          <w:rFonts w:ascii="仿宋" w:hAnsi="仿宋" w:eastAsia="仿宋" w:cs="宋体"/>
          <w:b/>
          <w:kern w:val="0"/>
          <w:sz w:val="24"/>
        </w:rPr>
        <w:t>华夏</w:t>
      </w:r>
      <w:r>
        <w:rPr>
          <w:rFonts w:hint="eastAsia" w:ascii="仿宋" w:hAnsi="仿宋" w:eastAsia="仿宋" w:cs="宋体"/>
          <w:b/>
          <w:kern w:val="0"/>
          <w:sz w:val="24"/>
        </w:rPr>
        <w:t>理财</w:t>
      </w:r>
      <w:r>
        <w:rPr>
          <w:rFonts w:ascii="仿宋" w:hAnsi="仿宋" w:eastAsia="仿宋" w:cs="宋体"/>
          <w:b/>
          <w:kern w:val="0"/>
          <w:sz w:val="24"/>
        </w:rPr>
        <w:t>将按照法律法规及监管</w:t>
      </w:r>
      <w:r>
        <w:rPr>
          <w:rFonts w:hint="eastAsia" w:ascii="仿宋" w:hAnsi="仿宋" w:eastAsia="仿宋" w:cs="宋体"/>
          <w:b/>
          <w:kern w:val="0"/>
          <w:sz w:val="24"/>
        </w:rPr>
        <w:t>规定</w:t>
      </w:r>
      <w:r>
        <w:rPr>
          <w:rFonts w:ascii="仿宋" w:hAnsi="仿宋" w:eastAsia="仿宋" w:cs="宋体"/>
          <w:b/>
          <w:kern w:val="0"/>
          <w:sz w:val="24"/>
        </w:rPr>
        <w:t>的要求</w:t>
      </w:r>
      <w:r>
        <w:rPr>
          <w:rFonts w:hint="eastAsia" w:ascii="仿宋" w:hAnsi="仿宋" w:eastAsia="仿宋" w:cs="宋体"/>
          <w:b/>
          <w:kern w:val="0"/>
          <w:sz w:val="24"/>
        </w:rPr>
        <w:t>披露本理财产品信息，披露事项包括理财产品成立、不成立、净值、收益分配、到期、提前终止、延期、调整等内容。</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在</w:t>
      </w:r>
      <w:r>
        <w:rPr>
          <w:rFonts w:hint="eastAsia" w:ascii="仿宋" w:hAnsi="仿宋" w:eastAsia="仿宋" w:cs="宋体"/>
          <w:kern w:val="0"/>
          <w:sz w:val="24"/>
        </w:rPr>
        <w:t>理财</w:t>
      </w:r>
      <w:r>
        <w:rPr>
          <w:rFonts w:ascii="仿宋" w:hAnsi="仿宋" w:eastAsia="仿宋" w:cs="宋体"/>
          <w:kern w:val="0"/>
          <w:sz w:val="24"/>
        </w:rPr>
        <w:t>产品不成立时，华夏</w:t>
      </w:r>
      <w:r>
        <w:rPr>
          <w:rFonts w:hint="eastAsia" w:ascii="仿宋" w:hAnsi="仿宋" w:eastAsia="仿宋" w:cs="宋体"/>
          <w:kern w:val="0"/>
          <w:sz w:val="24"/>
        </w:rPr>
        <w:t>理财</w:t>
      </w:r>
      <w:r>
        <w:rPr>
          <w:rFonts w:ascii="仿宋" w:hAnsi="仿宋" w:eastAsia="仿宋" w:cs="宋体"/>
          <w:kern w:val="0"/>
          <w:sz w:val="24"/>
        </w:rPr>
        <w:t>将在原定成立日后2个工作日内发布产品不成立</w:t>
      </w:r>
      <w:r>
        <w:rPr>
          <w:rFonts w:hint="eastAsia" w:ascii="仿宋" w:hAnsi="仿宋" w:eastAsia="仿宋" w:cs="宋体"/>
          <w:kern w:val="0"/>
          <w:sz w:val="24"/>
        </w:rPr>
        <w:t>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4.</w:t>
      </w:r>
      <w:r>
        <w:rPr>
          <w:rFonts w:ascii="仿宋" w:hAnsi="仿宋" w:eastAsia="仿宋" w:cs="宋体"/>
          <w:kern w:val="0"/>
          <w:sz w:val="24"/>
        </w:rPr>
        <w:t>本理财产品成立后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w:t>
      </w:r>
      <w:r>
        <w:rPr>
          <w:rFonts w:hint="eastAsia" w:ascii="仿宋" w:hAnsi="仿宋" w:eastAsia="仿宋" w:cs="宋体"/>
          <w:kern w:val="0"/>
          <w:sz w:val="24"/>
        </w:rPr>
        <w:t>成立公</w:t>
      </w:r>
      <w:r>
        <w:rPr>
          <w:rFonts w:ascii="仿宋" w:hAnsi="仿宋" w:eastAsia="仿宋" w:cs="宋体"/>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5</w:t>
      </w:r>
      <w:r>
        <w:rPr>
          <w:rFonts w:hint="eastAsia" w:ascii="仿宋" w:hAnsi="仿宋" w:eastAsia="仿宋" w:cs="宋体"/>
          <w:kern w:val="0"/>
          <w:sz w:val="24"/>
        </w:rPr>
        <w:t>.华夏理财在每个季度结束之日起15</w:t>
      </w:r>
      <w:r>
        <w:rPr>
          <w:rFonts w:hint="eastAsia" w:ascii="仿宋" w:hAnsi="仿宋" w:eastAsia="仿宋" w:cs="宋体"/>
          <w:color w:val="000000"/>
          <w:kern w:val="0"/>
          <w:sz w:val="24"/>
        </w:rPr>
        <w:t>个工作</w:t>
      </w:r>
      <w:r>
        <w:rPr>
          <w:rFonts w:hint="eastAsia" w:ascii="仿宋" w:hAnsi="仿宋" w:eastAsia="仿宋" w:cs="宋体"/>
          <w:kern w:val="0"/>
          <w:sz w:val="24"/>
        </w:rPr>
        <w:t>日内、上半年结束之日起60</w:t>
      </w:r>
      <w:r>
        <w:rPr>
          <w:rFonts w:hint="eastAsia" w:ascii="仿宋" w:hAnsi="仿宋" w:eastAsia="仿宋" w:cs="宋体"/>
          <w:color w:val="000000"/>
          <w:kern w:val="0"/>
          <w:sz w:val="24"/>
        </w:rPr>
        <w:t>个工作</w:t>
      </w:r>
      <w:r>
        <w:rPr>
          <w:rFonts w:hint="eastAsia" w:ascii="仿宋" w:hAnsi="仿宋" w:eastAsia="仿宋" w:cs="宋体"/>
          <w:kern w:val="0"/>
          <w:sz w:val="24"/>
        </w:rPr>
        <w:t>日内、每年结束之日起90</w:t>
      </w:r>
      <w:r>
        <w:rPr>
          <w:rFonts w:hint="eastAsia" w:ascii="仿宋" w:hAnsi="仿宋" w:eastAsia="仿宋" w:cs="宋体"/>
          <w:color w:val="000000"/>
          <w:kern w:val="0"/>
          <w:sz w:val="24"/>
        </w:rPr>
        <w:t>个工作</w:t>
      </w:r>
      <w:r>
        <w:rPr>
          <w:rFonts w:hint="eastAsia" w:ascii="仿宋" w:hAnsi="仿宋" w:eastAsia="仿宋" w:cs="宋体"/>
          <w:kern w:val="0"/>
          <w:sz w:val="24"/>
        </w:rPr>
        <w:t>日内，编制完成本理财产品的季度、半年和年度报告</w:t>
      </w:r>
      <w:r>
        <w:rPr>
          <w:rFonts w:hint="eastAsia" w:ascii="仿宋" w:hAnsi="仿宋" w:eastAsia="仿宋" w:cs="宋体"/>
          <w:color w:val="000000"/>
          <w:kern w:val="0"/>
          <w:sz w:val="24"/>
        </w:rPr>
        <w:t>，成立不足90个工作日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kern w:val="0"/>
          <w:sz w:val="24"/>
        </w:rPr>
        <w:t>。</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ascii="仿宋" w:hAnsi="仿宋" w:eastAsia="仿宋" w:cs="宋体"/>
          <w:kern w:val="0"/>
          <w:sz w:val="24"/>
        </w:rPr>
        <w:t>如</w:t>
      </w:r>
      <w:r>
        <w:rPr>
          <w:rFonts w:hint="eastAsia" w:ascii="仿宋" w:hAnsi="仿宋" w:eastAsia="仿宋" w:cs="宋体"/>
          <w:kern w:val="0"/>
          <w:sz w:val="24"/>
        </w:rPr>
        <w:t>华夏理财</w:t>
      </w:r>
      <w:r>
        <w:rPr>
          <w:rFonts w:ascii="仿宋" w:hAnsi="仿宋" w:eastAsia="仿宋" w:cs="宋体"/>
          <w:kern w:val="0"/>
          <w:sz w:val="24"/>
        </w:rPr>
        <w:t>决定</w:t>
      </w:r>
      <w:r>
        <w:rPr>
          <w:rFonts w:hint="eastAsia" w:ascii="仿宋" w:hAnsi="仿宋" w:eastAsia="仿宋" w:cs="宋体"/>
          <w:kern w:val="0"/>
          <w:sz w:val="24"/>
        </w:rPr>
        <w:t>提前</w:t>
      </w:r>
      <w:r>
        <w:rPr>
          <w:rFonts w:ascii="仿宋" w:hAnsi="仿宋" w:eastAsia="仿宋" w:cs="宋体"/>
          <w:kern w:val="0"/>
          <w:sz w:val="24"/>
        </w:rPr>
        <w:t>终止本理财产品，将于</w:t>
      </w:r>
      <w:r>
        <w:rPr>
          <w:rFonts w:hint="eastAsia" w:ascii="仿宋" w:hAnsi="仿宋" w:eastAsia="仿宋" w:cs="宋体"/>
          <w:kern w:val="0"/>
          <w:sz w:val="24"/>
        </w:rPr>
        <w:t>提前</w:t>
      </w:r>
      <w:r>
        <w:rPr>
          <w:rFonts w:ascii="仿宋" w:hAnsi="仿宋" w:eastAsia="仿宋" w:cs="宋体"/>
          <w:kern w:val="0"/>
          <w:sz w:val="24"/>
        </w:rPr>
        <w:t>终止日的前3个工作日</w:t>
      </w:r>
      <w:r>
        <w:rPr>
          <w:rFonts w:hint="eastAsia" w:ascii="仿宋" w:hAnsi="仿宋" w:eastAsia="仿宋" w:cs="宋体"/>
          <w:kern w:val="0"/>
          <w:sz w:val="24"/>
        </w:rPr>
        <w:t>通过本产品说明书约定的信息披露渠道发布公告</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7</w:t>
      </w:r>
      <w:r>
        <w:rPr>
          <w:rFonts w:hint="eastAsia" w:ascii="仿宋" w:hAnsi="仿宋" w:eastAsia="仿宋" w:cs="宋体"/>
          <w:kern w:val="0"/>
          <w:sz w:val="24"/>
        </w:rPr>
        <w:t>.</w:t>
      </w:r>
      <w:r>
        <w:rPr>
          <w:rFonts w:ascii="仿宋" w:hAnsi="仿宋" w:eastAsia="仿宋" w:cs="宋体"/>
          <w:kern w:val="0"/>
          <w:sz w:val="24"/>
        </w:rPr>
        <w:t>产品</w:t>
      </w:r>
      <w:r>
        <w:rPr>
          <w:rFonts w:hint="eastAsia" w:ascii="仿宋" w:hAnsi="仿宋" w:eastAsia="仿宋" w:cs="宋体"/>
          <w:kern w:val="0"/>
          <w:sz w:val="24"/>
        </w:rPr>
        <w:t>到期/</w:t>
      </w:r>
      <w:r>
        <w:rPr>
          <w:rFonts w:ascii="仿宋" w:hAnsi="仿宋" w:eastAsia="仿宋" w:cs="宋体"/>
          <w:kern w:val="0"/>
          <w:sz w:val="24"/>
        </w:rPr>
        <w:t>终止后</w:t>
      </w:r>
      <w:r>
        <w:rPr>
          <w:rFonts w:hint="eastAsia" w:ascii="仿宋" w:hAnsi="仿宋" w:eastAsia="仿宋" w:cs="宋体"/>
          <w:kern w:val="0"/>
          <w:sz w:val="24"/>
        </w:rPr>
        <w:t>5</w:t>
      </w:r>
      <w:r>
        <w:rPr>
          <w:rFonts w:ascii="仿宋" w:hAnsi="仿宋" w:eastAsia="仿宋" w:cs="宋体"/>
          <w:kern w:val="0"/>
          <w:sz w:val="24"/>
        </w:rPr>
        <w:t>个工作日内，华夏</w:t>
      </w:r>
      <w:r>
        <w:rPr>
          <w:rFonts w:hint="eastAsia" w:ascii="仿宋" w:hAnsi="仿宋" w:eastAsia="仿宋" w:cs="宋体"/>
          <w:kern w:val="0"/>
          <w:sz w:val="24"/>
        </w:rPr>
        <w:t>理财</w:t>
      </w:r>
      <w:r>
        <w:rPr>
          <w:rFonts w:ascii="仿宋" w:hAnsi="仿宋" w:eastAsia="仿宋" w:cs="宋体"/>
          <w:kern w:val="0"/>
          <w:sz w:val="24"/>
        </w:rPr>
        <w:t>将发布产品到期</w:t>
      </w:r>
      <w:r>
        <w:rPr>
          <w:rFonts w:hint="eastAsia" w:ascii="仿宋" w:hAnsi="仿宋" w:eastAsia="仿宋" w:cs="宋体"/>
          <w:kern w:val="0"/>
          <w:sz w:val="24"/>
        </w:rPr>
        <w:t>/</w:t>
      </w:r>
      <w:r>
        <w:rPr>
          <w:rFonts w:ascii="仿宋" w:hAnsi="仿宋" w:eastAsia="仿宋" w:cs="宋体"/>
          <w:kern w:val="0"/>
          <w:sz w:val="24"/>
        </w:rPr>
        <w:t>终止报告。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“份额净值公告日”约定</w:t>
      </w:r>
      <w:r>
        <w:rPr>
          <w:rFonts w:ascii="仿宋" w:hAnsi="仿宋" w:eastAsia="仿宋" w:cs="宋体"/>
          <w:kern w:val="0"/>
          <w:sz w:val="24"/>
        </w:rPr>
        <w:t>披露产品净值。</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（二）理财产品临时</w:t>
      </w:r>
      <w:r>
        <w:rPr>
          <w:rFonts w:hint="eastAsia" w:ascii="仿宋" w:hAnsi="仿宋" w:eastAsia="仿宋" w:cs="宋体"/>
          <w:kern w:val="0"/>
          <w:sz w:val="24"/>
        </w:rPr>
        <w:t>性</w:t>
      </w:r>
      <w:r>
        <w:rPr>
          <w:rFonts w:ascii="仿宋" w:hAnsi="仿宋" w:eastAsia="仿宋" w:cs="宋体"/>
          <w:kern w:val="0"/>
          <w:sz w:val="24"/>
        </w:rPr>
        <w:t>信息披露</w:t>
      </w:r>
      <w:r>
        <w:rPr>
          <w:rFonts w:hint="eastAsia" w:ascii="仿宋" w:hAnsi="仿宋" w:eastAsia="仿宋" w:cs="宋体"/>
          <w:kern w:val="0"/>
          <w:sz w:val="24"/>
        </w:rPr>
        <w:t>及</w:t>
      </w:r>
      <w:r>
        <w:rPr>
          <w:rFonts w:ascii="仿宋" w:hAnsi="仿宋" w:eastAsia="仿宋" w:cs="宋体"/>
          <w:kern w:val="0"/>
          <w:sz w:val="24"/>
        </w:rPr>
        <w:t>重大</w:t>
      </w:r>
      <w:r>
        <w:rPr>
          <w:rFonts w:hint="eastAsia" w:ascii="仿宋" w:hAnsi="仿宋" w:eastAsia="仿宋" w:cs="宋体"/>
          <w:kern w:val="0"/>
          <w:sz w:val="24"/>
        </w:rPr>
        <w:t>事项</w:t>
      </w:r>
      <w:r>
        <w:rPr>
          <w:rFonts w:ascii="仿宋" w:hAnsi="仿宋" w:eastAsia="仿宋" w:cs="宋体"/>
          <w:kern w:val="0"/>
          <w:sz w:val="24"/>
        </w:rPr>
        <w:t>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1</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2</w:t>
      </w:r>
      <w:r>
        <w:rPr>
          <w:rFonts w:hint="eastAsia" w:ascii="仿宋" w:hAnsi="仿宋" w:eastAsia="仿宋" w:cs="宋体"/>
          <w:kern w:val="0"/>
          <w:sz w:val="24"/>
        </w:rPr>
        <w:t>．</w:t>
      </w:r>
      <w:r>
        <w:rPr>
          <w:rFonts w:ascii="仿宋" w:hAnsi="仿宋" w:eastAsia="仿宋" w:cs="宋体"/>
          <w:kern w:val="0"/>
          <w:sz w:val="24"/>
        </w:rPr>
        <w:t>本理财产品存续期间</w:t>
      </w:r>
      <w:r>
        <w:rPr>
          <w:rFonts w:hint="eastAsia" w:ascii="仿宋" w:hAnsi="仿宋" w:eastAsia="仿宋" w:cs="宋体"/>
          <w:kern w:val="0"/>
          <w:sz w:val="24"/>
        </w:rPr>
        <w:t>，</w:t>
      </w:r>
      <w:r>
        <w:rPr>
          <w:rFonts w:ascii="仿宋" w:hAnsi="仿宋" w:eastAsia="仿宋" w:cs="宋体"/>
          <w:kern w:val="0"/>
          <w:sz w:val="24"/>
        </w:rPr>
        <w:t>如发生</w:t>
      </w:r>
      <w:r>
        <w:rPr>
          <w:rFonts w:hint="eastAsia" w:ascii="仿宋" w:hAnsi="仿宋" w:eastAsia="仿宋" w:cs="宋体"/>
          <w:kern w:val="0"/>
          <w:sz w:val="24"/>
        </w:rPr>
        <w:t>管理人</w:t>
      </w:r>
      <w:r>
        <w:rPr>
          <w:rFonts w:ascii="仿宋" w:hAnsi="仿宋" w:eastAsia="仿宋" w:cs="宋体"/>
          <w:kern w:val="0"/>
          <w:sz w:val="24"/>
        </w:rPr>
        <w:t>认为可能影响产品正常运作的重大不利事项时，包括但不限于市场发生重大变化、投资的资产质量发生重大变化或者其它可能对投资者权益产生重大影响的突发事件时，</w:t>
      </w:r>
      <w:r>
        <w:rPr>
          <w:rFonts w:hint="eastAsia" w:ascii="仿宋" w:hAnsi="仿宋" w:eastAsia="仿宋" w:cs="宋体"/>
          <w:kern w:val="0"/>
          <w:sz w:val="24"/>
        </w:rPr>
        <w:t>管理人将在事项发生后</w:t>
      </w:r>
      <w:r>
        <w:rPr>
          <w:rFonts w:ascii="仿宋" w:hAnsi="仿宋" w:eastAsia="仿宋" w:cs="宋体"/>
          <w:kern w:val="0"/>
          <w:sz w:val="24"/>
        </w:rPr>
        <w:t>2</w:t>
      </w:r>
      <w:r>
        <w:rPr>
          <w:rFonts w:hint="eastAsia" w:ascii="仿宋" w:hAnsi="仿宋" w:eastAsia="仿宋" w:cs="宋体"/>
          <w:kern w:val="0"/>
          <w:sz w:val="24"/>
        </w:rPr>
        <w:t>个</w:t>
      </w:r>
      <w:r>
        <w:rPr>
          <w:rFonts w:ascii="仿宋" w:hAnsi="仿宋" w:eastAsia="仿宋" w:cs="宋体"/>
          <w:kern w:val="0"/>
          <w:sz w:val="24"/>
        </w:rPr>
        <w:t>工作</w:t>
      </w:r>
      <w:r>
        <w:rPr>
          <w:rFonts w:hint="eastAsia" w:ascii="仿宋" w:hAnsi="仿宋" w:eastAsia="仿宋" w:cs="宋体"/>
          <w:kern w:val="0"/>
          <w:sz w:val="24"/>
        </w:rPr>
        <w:t>日内通过本产品说明书约定的信息披露渠道予以披露</w:t>
      </w:r>
      <w:r>
        <w:rPr>
          <w:rFonts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将于上述调整生效日的前3个工作日通过本产品说明书约定的信息披露渠道予以公告；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投资范围、投资资产种类或投资比例，并通过本产品说明书约定的信息披露渠道予以公告。具体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在发生涉及理财产品认购事项调整时，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在运用暂停认购、暂停理财产品估值等措施后，</w:t>
      </w:r>
      <w:r>
        <w:rPr>
          <w:rFonts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华夏银行</w:t>
      </w:r>
      <w:r>
        <w:rPr>
          <w:rFonts w:hint="eastAsia" w:ascii="仿宋" w:hAnsi="仿宋" w:eastAsia="仿宋" w:cs="宋体"/>
          <w:b/>
          <w:kern w:val="0"/>
          <w:sz w:val="24"/>
        </w:rPr>
        <w:t>官方</w:t>
      </w:r>
      <w:r>
        <w:rPr>
          <w:rFonts w:ascii="仿宋" w:hAnsi="仿宋" w:eastAsia="仿宋" w:cs="宋体"/>
          <w:b/>
          <w:kern w:val="0"/>
          <w:sz w:val="24"/>
        </w:rPr>
        <w:t>网站</w:t>
      </w:r>
      <w:r>
        <w:rPr>
          <w:rFonts w:hint="eastAsia" w:ascii="仿宋" w:hAnsi="仿宋" w:eastAsia="仿宋" w:cs="宋体"/>
          <w:b/>
          <w:kern w:val="0"/>
          <w:sz w:val="24"/>
        </w:rPr>
        <w:t>、代销机构（如有）信息披露渠道等进行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致电华夏银行全国统一投资者服务热线（</w:t>
      </w:r>
      <w:r>
        <w:rPr>
          <w:rFonts w:hint="eastAsia" w:ascii="仿宋" w:hAnsi="仿宋" w:eastAsia="仿宋" w:cs="宋体"/>
          <w:b/>
          <w:kern w:val="0"/>
          <w:sz w:val="24"/>
        </w:rPr>
        <w:t>95</w:t>
      </w:r>
      <w:r>
        <w:rPr>
          <w:rFonts w:ascii="仿宋" w:hAnsi="仿宋" w:eastAsia="仿宋" w:cs="宋体"/>
          <w:b/>
          <w:kern w:val="0"/>
          <w:sz w:val="24"/>
        </w:rPr>
        <w:t>577）查询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4"/>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投资者确认并同意管理人可以通过上述方式披露理财</w:t>
      </w:r>
      <w:r>
        <w:rPr>
          <w:rFonts w:ascii="仿宋" w:hAnsi="仿宋" w:eastAsia="仿宋"/>
        </w:rPr>
        <w:t>产品</w:t>
      </w:r>
      <w:r>
        <w:rPr>
          <w:rFonts w:hint="eastAsia" w:ascii="仿宋" w:hAnsi="仿宋" w:eastAsia="仿宋"/>
        </w:rPr>
        <w:t>信息。投资者应及时、主动通过上述信息披露渠道浏览并阅读理财</w:t>
      </w:r>
      <w:r>
        <w:rPr>
          <w:rFonts w:ascii="仿宋" w:hAnsi="仿宋" w:eastAsia="仿宋"/>
        </w:rPr>
        <w:t>产品</w:t>
      </w:r>
      <w:r>
        <w:rPr>
          <w:rFonts w:hint="eastAsia" w:ascii="仿宋" w:hAnsi="仿宋" w:eastAsia="仿宋"/>
        </w:rPr>
        <w:t>信息及公告。</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widowControl/>
        <w:adjustRightInd w:val="0"/>
        <w:snapToGrid w:val="0"/>
        <w:spacing w:line="276" w:lineRule="auto"/>
        <w:ind w:firstLine="482" w:firstLineChars="200"/>
        <w:contextualSpacing/>
        <w:rPr>
          <w:rFonts w:ascii="Times New Roman" w:hAnsi="Times New Roman" w:eastAsia="黑体" w:cs="Times New Roman"/>
          <w:b/>
          <w:bCs/>
          <w:kern w:val="0"/>
          <w:sz w:val="24"/>
        </w:rPr>
      </w:pPr>
      <w:r>
        <w:rPr>
          <w:rFonts w:ascii="Times New Roman" w:hAnsi="Times New Roman" w:eastAsia="黑体" w:cs="Times New Roman"/>
          <w:b/>
          <w:bCs/>
          <w:kern w:val="0"/>
          <w:sz w:val="24"/>
        </w:rPr>
        <w:t>在本</w:t>
      </w:r>
      <w:r>
        <w:rPr>
          <w:rFonts w:hint="default" w:ascii="Times New Roman" w:hAnsi="Times New Roman" w:eastAsia="黑体" w:cs="Times New Roman"/>
          <w:b/>
          <w:bCs/>
          <w:kern w:val="0"/>
          <w:sz w:val="24"/>
        </w:rPr>
        <w:t>理财</w:t>
      </w:r>
      <w:r>
        <w:rPr>
          <w:rFonts w:ascii="Times New Roman" w:hAnsi="Times New Roman" w:eastAsia="黑体" w:cs="Times New Roman"/>
          <w:b/>
          <w:bCs/>
          <w:kern w:val="0"/>
          <w:sz w:val="24"/>
        </w:rPr>
        <w:t>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default" w:ascii="Times New Roman" w:hAnsi="Times New Roman" w:eastAsia="黑体" w:cs="Times New Roman"/>
          <w:b/>
          <w:bCs/>
          <w:kern w:val="0"/>
          <w:sz w:val="24"/>
        </w:rPr>
        <w:t>华夏理财有限责任公司官方网站（www.hxwm.com.cn）、</w:t>
      </w:r>
      <w:r>
        <w:rPr>
          <w:rFonts w:ascii="Times New Roman" w:hAnsi="Times New Roman" w:eastAsia="黑体" w:cs="Times New Roman"/>
          <w:b/>
          <w:bCs/>
          <w:kern w:val="0"/>
          <w:sz w:val="24"/>
        </w:rPr>
        <w:t>华夏银行官方网站公告的方式通知投资者。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w:t>
      </w:r>
      <w:r>
        <w:rPr>
          <w:rFonts w:ascii="仿宋" w:hAnsi="仿宋" w:eastAsia="仿宋" w:cs="宋体"/>
          <w:kern w:val="0"/>
          <w:sz w:val="24"/>
        </w:rPr>
        <w:t>若投资者对</w:t>
      </w:r>
      <w:r>
        <w:rPr>
          <w:rFonts w:hint="eastAsia" w:ascii="仿宋" w:hAnsi="仿宋" w:eastAsia="仿宋" w:cs="宋体"/>
          <w:kern w:val="0"/>
          <w:sz w:val="24"/>
        </w:rPr>
        <w:t>本产品说明书</w:t>
      </w:r>
      <w:r>
        <w:rPr>
          <w:rFonts w:ascii="仿宋" w:hAnsi="仿宋" w:eastAsia="仿宋" w:cs="宋体"/>
          <w:kern w:val="0"/>
          <w:sz w:val="24"/>
        </w:rPr>
        <w:t>的内容有任何疑问，请向华夏</w:t>
      </w:r>
      <w:r>
        <w:rPr>
          <w:rFonts w:hint="eastAsia" w:ascii="仿宋" w:hAnsi="仿宋" w:eastAsia="仿宋" w:cs="宋体"/>
          <w:kern w:val="0"/>
          <w:sz w:val="24"/>
        </w:rPr>
        <w:t>理财</w:t>
      </w:r>
      <w:r>
        <w:rPr>
          <w:rFonts w:hint="eastAsia" w:ascii="仿宋" w:hAnsi="仿宋" w:eastAsia="仿宋" w:cs="宋体"/>
          <w:color w:val="000000"/>
          <w:kern w:val="0"/>
          <w:sz w:val="24"/>
        </w:rPr>
        <w:t>/代销机构</w:t>
      </w:r>
      <w:r>
        <w:rPr>
          <w:rFonts w:ascii="仿宋" w:hAnsi="仿宋" w:eastAsia="仿宋" w:cs="宋体"/>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，充分了解并知晓本理财产品的风险，自愿承担相</w:t>
      </w:r>
      <w:r>
        <w:rPr>
          <w:rFonts w:hint="eastAsia" w:eastAsia="黑体"/>
          <w:b/>
          <w:bCs/>
          <w:sz w:val="24"/>
        </w:rPr>
        <w:t>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4"/>
        <w:snapToGrid w:val="0"/>
        <w:spacing w:before="156" w:beforeLines="50"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jc w:val="left"/>
        <w:rPr>
          <w:rFonts w:ascii="仿宋" w:hAnsi="仿宋" w:eastAsia="仿宋" w:cs="宋体"/>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管理人：</w:t>
      </w:r>
      <w:r>
        <w:rPr>
          <w:rFonts w:hint="eastAsia" w:ascii="仿宋" w:hAnsi="仿宋" w:eastAsia="仿宋" w:cs="宋体"/>
          <w:kern w:val="0"/>
          <w:sz w:val="24"/>
        </w:rPr>
        <w:t>华夏理财有限责任公司</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r>
        <w:rPr>
          <w:rFonts w:hint="eastAsia" w:ascii="仿宋" w:hAnsi="仿宋" w:eastAsia="仿宋" w:cs="宋体"/>
          <w:color w:val="000000"/>
        </w:rPr>
        <w:t xml:space="preserve">      </w:t>
      </w:r>
      <w:r>
        <w:rPr>
          <w:rFonts w:ascii="仿宋" w:hAnsi="仿宋" w:eastAsia="仿宋" w:cs="宋体"/>
          <w:color w:val="000000"/>
        </w:rPr>
        <w:t xml:space="preserve">日期：     年     月    日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72112637">
    <w:nsid w:val="63AA69FD"/>
    <w:multiLevelType w:val="singleLevel"/>
    <w:tmpl w:val="63AA69FD"/>
    <w:lvl w:ilvl="0" w:tentative="1">
      <w:start w:val="2"/>
      <w:numFmt w:val="chineseCounting"/>
      <w:suff w:val="nothing"/>
      <w:lvlText w:val="%1、"/>
      <w:lvlJc w:val="left"/>
    </w:lvl>
  </w:abstractNum>
  <w:num w:numId="1">
    <w:abstractNumId w:val="16721126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splitPgBreakAndParaMark/>
    <w:doNotExpandShiftReturn/>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3D0255"/>
    <w:rsid w:val="00001C1B"/>
    <w:rsid w:val="00013C4E"/>
    <w:rsid w:val="000161B5"/>
    <w:rsid w:val="00021827"/>
    <w:rsid w:val="00025211"/>
    <w:rsid w:val="00025F33"/>
    <w:rsid w:val="00033110"/>
    <w:rsid w:val="000431D6"/>
    <w:rsid w:val="00056226"/>
    <w:rsid w:val="00063AA0"/>
    <w:rsid w:val="00066824"/>
    <w:rsid w:val="00096678"/>
    <w:rsid w:val="000A088E"/>
    <w:rsid w:val="000B0F79"/>
    <w:rsid w:val="000C03A9"/>
    <w:rsid w:val="000C54F4"/>
    <w:rsid w:val="000C784C"/>
    <w:rsid w:val="000D0355"/>
    <w:rsid w:val="000F06E2"/>
    <w:rsid w:val="000F0814"/>
    <w:rsid w:val="000F42B8"/>
    <w:rsid w:val="00103712"/>
    <w:rsid w:val="00133FA8"/>
    <w:rsid w:val="0013677C"/>
    <w:rsid w:val="0016435C"/>
    <w:rsid w:val="00165B63"/>
    <w:rsid w:val="0017498E"/>
    <w:rsid w:val="00186079"/>
    <w:rsid w:val="00190BB4"/>
    <w:rsid w:val="001B45BC"/>
    <w:rsid w:val="001D2415"/>
    <w:rsid w:val="001E1606"/>
    <w:rsid w:val="001E3E69"/>
    <w:rsid w:val="001E41AD"/>
    <w:rsid w:val="001E51C7"/>
    <w:rsid w:val="001F7D2D"/>
    <w:rsid w:val="002015B2"/>
    <w:rsid w:val="00215C06"/>
    <w:rsid w:val="002318DF"/>
    <w:rsid w:val="00244A8F"/>
    <w:rsid w:val="0024591B"/>
    <w:rsid w:val="002553C2"/>
    <w:rsid w:val="00257913"/>
    <w:rsid w:val="00257999"/>
    <w:rsid w:val="0025799C"/>
    <w:rsid w:val="00262B55"/>
    <w:rsid w:val="00280398"/>
    <w:rsid w:val="00282182"/>
    <w:rsid w:val="002960B6"/>
    <w:rsid w:val="002A05D2"/>
    <w:rsid w:val="002B2BDD"/>
    <w:rsid w:val="002F6B80"/>
    <w:rsid w:val="00305047"/>
    <w:rsid w:val="00316AFC"/>
    <w:rsid w:val="003243A1"/>
    <w:rsid w:val="00333AEC"/>
    <w:rsid w:val="0033431D"/>
    <w:rsid w:val="00344E4C"/>
    <w:rsid w:val="00345CAB"/>
    <w:rsid w:val="003536CA"/>
    <w:rsid w:val="003750FE"/>
    <w:rsid w:val="00380E25"/>
    <w:rsid w:val="00383192"/>
    <w:rsid w:val="00386DF5"/>
    <w:rsid w:val="003C19A7"/>
    <w:rsid w:val="003C561D"/>
    <w:rsid w:val="003C737C"/>
    <w:rsid w:val="003D0255"/>
    <w:rsid w:val="003D1B1D"/>
    <w:rsid w:val="003D7791"/>
    <w:rsid w:val="003F0CFC"/>
    <w:rsid w:val="003F4097"/>
    <w:rsid w:val="00400CDC"/>
    <w:rsid w:val="004128C5"/>
    <w:rsid w:val="00420E68"/>
    <w:rsid w:val="00441BEC"/>
    <w:rsid w:val="00443D10"/>
    <w:rsid w:val="00482583"/>
    <w:rsid w:val="0048600F"/>
    <w:rsid w:val="00493909"/>
    <w:rsid w:val="004A2CEA"/>
    <w:rsid w:val="004B3C7D"/>
    <w:rsid w:val="004C7E7D"/>
    <w:rsid w:val="004D72E5"/>
    <w:rsid w:val="004E4564"/>
    <w:rsid w:val="004E46BF"/>
    <w:rsid w:val="004E7458"/>
    <w:rsid w:val="004F3054"/>
    <w:rsid w:val="00511A6C"/>
    <w:rsid w:val="00511F92"/>
    <w:rsid w:val="0051737C"/>
    <w:rsid w:val="005228EC"/>
    <w:rsid w:val="0053489D"/>
    <w:rsid w:val="00541B21"/>
    <w:rsid w:val="005506E1"/>
    <w:rsid w:val="005622E8"/>
    <w:rsid w:val="0058195A"/>
    <w:rsid w:val="00587F99"/>
    <w:rsid w:val="005902F0"/>
    <w:rsid w:val="005A1AD3"/>
    <w:rsid w:val="005B0C42"/>
    <w:rsid w:val="005B5A4F"/>
    <w:rsid w:val="005B7E09"/>
    <w:rsid w:val="005D1B39"/>
    <w:rsid w:val="005D5825"/>
    <w:rsid w:val="005E4F8D"/>
    <w:rsid w:val="006030F8"/>
    <w:rsid w:val="00603823"/>
    <w:rsid w:val="00623292"/>
    <w:rsid w:val="006309B4"/>
    <w:rsid w:val="0064430D"/>
    <w:rsid w:val="006609EB"/>
    <w:rsid w:val="00661DAE"/>
    <w:rsid w:val="00664F8D"/>
    <w:rsid w:val="00665902"/>
    <w:rsid w:val="006714E1"/>
    <w:rsid w:val="00697279"/>
    <w:rsid w:val="006A3BD2"/>
    <w:rsid w:val="006B7A12"/>
    <w:rsid w:val="006C2269"/>
    <w:rsid w:val="006D1929"/>
    <w:rsid w:val="006D5CC0"/>
    <w:rsid w:val="006D61F9"/>
    <w:rsid w:val="006E465C"/>
    <w:rsid w:val="006E5108"/>
    <w:rsid w:val="006F108E"/>
    <w:rsid w:val="0070057F"/>
    <w:rsid w:val="00712D65"/>
    <w:rsid w:val="00714FA0"/>
    <w:rsid w:val="0075453D"/>
    <w:rsid w:val="00755C63"/>
    <w:rsid w:val="00757C4D"/>
    <w:rsid w:val="007660D1"/>
    <w:rsid w:val="0077151B"/>
    <w:rsid w:val="0078428F"/>
    <w:rsid w:val="00794BCC"/>
    <w:rsid w:val="007A782E"/>
    <w:rsid w:val="007B16C0"/>
    <w:rsid w:val="007C2A02"/>
    <w:rsid w:val="007D7E45"/>
    <w:rsid w:val="007E69F8"/>
    <w:rsid w:val="007F34D2"/>
    <w:rsid w:val="008055FD"/>
    <w:rsid w:val="008111D2"/>
    <w:rsid w:val="00813D80"/>
    <w:rsid w:val="008218B0"/>
    <w:rsid w:val="00826EBE"/>
    <w:rsid w:val="00827E04"/>
    <w:rsid w:val="00832FBF"/>
    <w:rsid w:val="00836DCD"/>
    <w:rsid w:val="0084396D"/>
    <w:rsid w:val="00846542"/>
    <w:rsid w:val="008507B8"/>
    <w:rsid w:val="00852297"/>
    <w:rsid w:val="00853BBD"/>
    <w:rsid w:val="008637DE"/>
    <w:rsid w:val="0087356D"/>
    <w:rsid w:val="00881449"/>
    <w:rsid w:val="00881AFC"/>
    <w:rsid w:val="00891BE8"/>
    <w:rsid w:val="008A758D"/>
    <w:rsid w:val="008C587B"/>
    <w:rsid w:val="008C7FC7"/>
    <w:rsid w:val="008D32C9"/>
    <w:rsid w:val="008D4672"/>
    <w:rsid w:val="008E0E7F"/>
    <w:rsid w:val="008E7C57"/>
    <w:rsid w:val="00904F66"/>
    <w:rsid w:val="0091544A"/>
    <w:rsid w:val="0092398B"/>
    <w:rsid w:val="00923B37"/>
    <w:rsid w:val="00926B88"/>
    <w:rsid w:val="00936992"/>
    <w:rsid w:val="00940AE1"/>
    <w:rsid w:val="00950B58"/>
    <w:rsid w:val="00965250"/>
    <w:rsid w:val="009707BD"/>
    <w:rsid w:val="009767AD"/>
    <w:rsid w:val="00991585"/>
    <w:rsid w:val="0099257B"/>
    <w:rsid w:val="009A1572"/>
    <w:rsid w:val="009B40CA"/>
    <w:rsid w:val="009B5749"/>
    <w:rsid w:val="009B654D"/>
    <w:rsid w:val="009C25C2"/>
    <w:rsid w:val="009E64E1"/>
    <w:rsid w:val="009F3291"/>
    <w:rsid w:val="00A10AA6"/>
    <w:rsid w:val="00A23D14"/>
    <w:rsid w:val="00A40B5C"/>
    <w:rsid w:val="00A762A9"/>
    <w:rsid w:val="00A81556"/>
    <w:rsid w:val="00AA20BC"/>
    <w:rsid w:val="00AB6C5C"/>
    <w:rsid w:val="00AC051A"/>
    <w:rsid w:val="00AC0C84"/>
    <w:rsid w:val="00AC28C2"/>
    <w:rsid w:val="00AD5773"/>
    <w:rsid w:val="00AE3F67"/>
    <w:rsid w:val="00AE55A6"/>
    <w:rsid w:val="00AF0D6A"/>
    <w:rsid w:val="00AF14D9"/>
    <w:rsid w:val="00AF2148"/>
    <w:rsid w:val="00AF4114"/>
    <w:rsid w:val="00AF79D6"/>
    <w:rsid w:val="00B12B80"/>
    <w:rsid w:val="00B13FB3"/>
    <w:rsid w:val="00B2549A"/>
    <w:rsid w:val="00B26E45"/>
    <w:rsid w:val="00B302D6"/>
    <w:rsid w:val="00B33142"/>
    <w:rsid w:val="00B34C10"/>
    <w:rsid w:val="00B37587"/>
    <w:rsid w:val="00B64A10"/>
    <w:rsid w:val="00B7068C"/>
    <w:rsid w:val="00B835AA"/>
    <w:rsid w:val="00B86087"/>
    <w:rsid w:val="00B90CDB"/>
    <w:rsid w:val="00B960A6"/>
    <w:rsid w:val="00B97A5C"/>
    <w:rsid w:val="00BE486A"/>
    <w:rsid w:val="00C2501F"/>
    <w:rsid w:val="00C26621"/>
    <w:rsid w:val="00C34C70"/>
    <w:rsid w:val="00C7590C"/>
    <w:rsid w:val="00CA6243"/>
    <w:rsid w:val="00CB07A0"/>
    <w:rsid w:val="00CB300C"/>
    <w:rsid w:val="00CC6613"/>
    <w:rsid w:val="00CD1AC8"/>
    <w:rsid w:val="00D03E60"/>
    <w:rsid w:val="00D06EC1"/>
    <w:rsid w:val="00D07C3B"/>
    <w:rsid w:val="00D20E48"/>
    <w:rsid w:val="00D54E89"/>
    <w:rsid w:val="00D62515"/>
    <w:rsid w:val="00D62EAE"/>
    <w:rsid w:val="00D633D2"/>
    <w:rsid w:val="00D7194A"/>
    <w:rsid w:val="00D74E35"/>
    <w:rsid w:val="00D81EE7"/>
    <w:rsid w:val="00D842DC"/>
    <w:rsid w:val="00D92F2F"/>
    <w:rsid w:val="00D96806"/>
    <w:rsid w:val="00DA1051"/>
    <w:rsid w:val="00DB3201"/>
    <w:rsid w:val="00DB6A3F"/>
    <w:rsid w:val="00DC5F87"/>
    <w:rsid w:val="00DD7790"/>
    <w:rsid w:val="00DE1803"/>
    <w:rsid w:val="00DE7DB8"/>
    <w:rsid w:val="00DF01F0"/>
    <w:rsid w:val="00E01C5E"/>
    <w:rsid w:val="00E02F1C"/>
    <w:rsid w:val="00E064E3"/>
    <w:rsid w:val="00E254D4"/>
    <w:rsid w:val="00E32C0D"/>
    <w:rsid w:val="00E53D13"/>
    <w:rsid w:val="00E62046"/>
    <w:rsid w:val="00E65F0B"/>
    <w:rsid w:val="00E746FB"/>
    <w:rsid w:val="00E8067C"/>
    <w:rsid w:val="00E8713B"/>
    <w:rsid w:val="00E91719"/>
    <w:rsid w:val="00E93A95"/>
    <w:rsid w:val="00EA4EFE"/>
    <w:rsid w:val="00EC1941"/>
    <w:rsid w:val="00ED51B9"/>
    <w:rsid w:val="00ED5CA8"/>
    <w:rsid w:val="00EE0EFC"/>
    <w:rsid w:val="00EE4B28"/>
    <w:rsid w:val="00EE5ED9"/>
    <w:rsid w:val="00F02D76"/>
    <w:rsid w:val="00F045C3"/>
    <w:rsid w:val="00F05127"/>
    <w:rsid w:val="00F208BA"/>
    <w:rsid w:val="00F25FBD"/>
    <w:rsid w:val="00F512E9"/>
    <w:rsid w:val="00F54606"/>
    <w:rsid w:val="00F6182D"/>
    <w:rsid w:val="00F67A6A"/>
    <w:rsid w:val="00F67A9C"/>
    <w:rsid w:val="00F72DB1"/>
    <w:rsid w:val="00F77DC9"/>
    <w:rsid w:val="00F82368"/>
    <w:rsid w:val="00FB10EC"/>
    <w:rsid w:val="00FC0983"/>
    <w:rsid w:val="00FC21F8"/>
    <w:rsid w:val="00FC6689"/>
    <w:rsid w:val="00FC72F2"/>
    <w:rsid w:val="00FF5911"/>
    <w:rsid w:val="015E11C2"/>
    <w:rsid w:val="020F48EF"/>
    <w:rsid w:val="02417756"/>
    <w:rsid w:val="02E40AD0"/>
    <w:rsid w:val="02F3137F"/>
    <w:rsid w:val="033A4D39"/>
    <w:rsid w:val="034644C7"/>
    <w:rsid w:val="04196F12"/>
    <w:rsid w:val="04435A9E"/>
    <w:rsid w:val="04950991"/>
    <w:rsid w:val="054B7EFA"/>
    <w:rsid w:val="05831998"/>
    <w:rsid w:val="060A409E"/>
    <w:rsid w:val="0610015A"/>
    <w:rsid w:val="06331B3C"/>
    <w:rsid w:val="066C6455"/>
    <w:rsid w:val="06930C07"/>
    <w:rsid w:val="06CE1059"/>
    <w:rsid w:val="072859C3"/>
    <w:rsid w:val="07853686"/>
    <w:rsid w:val="079A3378"/>
    <w:rsid w:val="07B45D81"/>
    <w:rsid w:val="07C26F1E"/>
    <w:rsid w:val="07C52B3D"/>
    <w:rsid w:val="07D6576F"/>
    <w:rsid w:val="07F1682B"/>
    <w:rsid w:val="08064FC2"/>
    <w:rsid w:val="080D6F41"/>
    <w:rsid w:val="08A87A0E"/>
    <w:rsid w:val="08D300AE"/>
    <w:rsid w:val="09277EEB"/>
    <w:rsid w:val="096506FA"/>
    <w:rsid w:val="096B558A"/>
    <w:rsid w:val="09B80512"/>
    <w:rsid w:val="0A01440A"/>
    <w:rsid w:val="0A513B0D"/>
    <w:rsid w:val="0A5478A3"/>
    <w:rsid w:val="0A7B7656"/>
    <w:rsid w:val="0D3600BA"/>
    <w:rsid w:val="0D6C5F44"/>
    <w:rsid w:val="0DD32259"/>
    <w:rsid w:val="0E73282A"/>
    <w:rsid w:val="0EF43DB9"/>
    <w:rsid w:val="0F850895"/>
    <w:rsid w:val="102F133E"/>
    <w:rsid w:val="10510955"/>
    <w:rsid w:val="10987645"/>
    <w:rsid w:val="10B272CB"/>
    <w:rsid w:val="10ED247D"/>
    <w:rsid w:val="110764BF"/>
    <w:rsid w:val="113A6DA1"/>
    <w:rsid w:val="113D243D"/>
    <w:rsid w:val="114758B1"/>
    <w:rsid w:val="11921C3C"/>
    <w:rsid w:val="119A5652"/>
    <w:rsid w:val="11BA7B51"/>
    <w:rsid w:val="120F1E2C"/>
    <w:rsid w:val="12540566"/>
    <w:rsid w:val="12946645"/>
    <w:rsid w:val="12D3200B"/>
    <w:rsid w:val="13495D69"/>
    <w:rsid w:val="13A150A8"/>
    <w:rsid w:val="13B7767A"/>
    <w:rsid w:val="13B9670D"/>
    <w:rsid w:val="13DE4767"/>
    <w:rsid w:val="14436D9F"/>
    <w:rsid w:val="14484DCB"/>
    <w:rsid w:val="14852776"/>
    <w:rsid w:val="15140BCE"/>
    <w:rsid w:val="1584793E"/>
    <w:rsid w:val="15874EAA"/>
    <w:rsid w:val="15C47445"/>
    <w:rsid w:val="15DF45C9"/>
    <w:rsid w:val="15E41B70"/>
    <w:rsid w:val="15F101DD"/>
    <w:rsid w:val="16440A35"/>
    <w:rsid w:val="16577530"/>
    <w:rsid w:val="167255CF"/>
    <w:rsid w:val="16840173"/>
    <w:rsid w:val="16FB6F37"/>
    <w:rsid w:val="173575D5"/>
    <w:rsid w:val="17825A05"/>
    <w:rsid w:val="17A26163"/>
    <w:rsid w:val="17D31FDC"/>
    <w:rsid w:val="17D76C2B"/>
    <w:rsid w:val="17F8769D"/>
    <w:rsid w:val="18041AB4"/>
    <w:rsid w:val="1812072F"/>
    <w:rsid w:val="190F268E"/>
    <w:rsid w:val="19287585"/>
    <w:rsid w:val="19610BFF"/>
    <w:rsid w:val="19953307"/>
    <w:rsid w:val="19A07D04"/>
    <w:rsid w:val="1AB13D5A"/>
    <w:rsid w:val="1B2C6F2C"/>
    <w:rsid w:val="1B5D5F33"/>
    <w:rsid w:val="1BA24967"/>
    <w:rsid w:val="1BAF6A57"/>
    <w:rsid w:val="1BCE5D96"/>
    <w:rsid w:val="1BDE2098"/>
    <w:rsid w:val="1BE069CA"/>
    <w:rsid w:val="1C465E86"/>
    <w:rsid w:val="1C470F75"/>
    <w:rsid w:val="1C726314"/>
    <w:rsid w:val="1C8B0511"/>
    <w:rsid w:val="1CE252F3"/>
    <w:rsid w:val="1D104FDC"/>
    <w:rsid w:val="1D117096"/>
    <w:rsid w:val="1DE516B8"/>
    <w:rsid w:val="1E047274"/>
    <w:rsid w:val="1E433C85"/>
    <w:rsid w:val="1ED877DF"/>
    <w:rsid w:val="1F0B3DFE"/>
    <w:rsid w:val="1F5522A7"/>
    <w:rsid w:val="1FD45CE1"/>
    <w:rsid w:val="1FF41399"/>
    <w:rsid w:val="21433609"/>
    <w:rsid w:val="214D162F"/>
    <w:rsid w:val="21DE0D16"/>
    <w:rsid w:val="22171129"/>
    <w:rsid w:val="222D0D62"/>
    <w:rsid w:val="22551E62"/>
    <w:rsid w:val="227D729C"/>
    <w:rsid w:val="2350568B"/>
    <w:rsid w:val="237F35E5"/>
    <w:rsid w:val="23A50D24"/>
    <w:rsid w:val="23E44373"/>
    <w:rsid w:val="242806AA"/>
    <w:rsid w:val="24392A65"/>
    <w:rsid w:val="2467066D"/>
    <w:rsid w:val="24E91956"/>
    <w:rsid w:val="252E26F1"/>
    <w:rsid w:val="25C3267A"/>
    <w:rsid w:val="25D568B4"/>
    <w:rsid w:val="25F33B9E"/>
    <w:rsid w:val="260C731E"/>
    <w:rsid w:val="260E5AEA"/>
    <w:rsid w:val="26103F21"/>
    <w:rsid w:val="27914154"/>
    <w:rsid w:val="27C604DA"/>
    <w:rsid w:val="27EA63D1"/>
    <w:rsid w:val="287A5D0E"/>
    <w:rsid w:val="28B05EE9"/>
    <w:rsid w:val="28D30187"/>
    <w:rsid w:val="28E571A8"/>
    <w:rsid w:val="29216629"/>
    <w:rsid w:val="294C4E21"/>
    <w:rsid w:val="296D4B02"/>
    <w:rsid w:val="29D46607"/>
    <w:rsid w:val="2A103412"/>
    <w:rsid w:val="2A1E1418"/>
    <w:rsid w:val="2A770C99"/>
    <w:rsid w:val="2AF67748"/>
    <w:rsid w:val="2BBB2833"/>
    <w:rsid w:val="2BC42334"/>
    <w:rsid w:val="2C1011CD"/>
    <w:rsid w:val="2C40390A"/>
    <w:rsid w:val="2C4C703B"/>
    <w:rsid w:val="2CE37AF2"/>
    <w:rsid w:val="2D241337"/>
    <w:rsid w:val="2D753D30"/>
    <w:rsid w:val="2DB6436A"/>
    <w:rsid w:val="2DC02129"/>
    <w:rsid w:val="2DD51336"/>
    <w:rsid w:val="2E010168"/>
    <w:rsid w:val="2E6A7D66"/>
    <w:rsid w:val="2EA605F1"/>
    <w:rsid w:val="2EA972CC"/>
    <w:rsid w:val="2EC31B75"/>
    <w:rsid w:val="2FE72027"/>
    <w:rsid w:val="306A1371"/>
    <w:rsid w:val="3127549C"/>
    <w:rsid w:val="31533557"/>
    <w:rsid w:val="31B41A9A"/>
    <w:rsid w:val="31C74937"/>
    <w:rsid w:val="31F02E84"/>
    <w:rsid w:val="32062205"/>
    <w:rsid w:val="322068C9"/>
    <w:rsid w:val="326170B4"/>
    <w:rsid w:val="328F3B54"/>
    <w:rsid w:val="329A11A0"/>
    <w:rsid w:val="32FF7EB7"/>
    <w:rsid w:val="33424079"/>
    <w:rsid w:val="34126396"/>
    <w:rsid w:val="345E593B"/>
    <w:rsid w:val="34605A84"/>
    <w:rsid w:val="346C230B"/>
    <w:rsid w:val="35034F52"/>
    <w:rsid w:val="352C602C"/>
    <w:rsid w:val="35B16527"/>
    <w:rsid w:val="36B76A85"/>
    <w:rsid w:val="36B82ADE"/>
    <w:rsid w:val="36D84DBF"/>
    <w:rsid w:val="376879F0"/>
    <w:rsid w:val="378F057D"/>
    <w:rsid w:val="37EC4B4C"/>
    <w:rsid w:val="387B665C"/>
    <w:rsid w:val="39690814"/>
    <w:rsid w:val="39B76C90"/>
    <w:rsid w:val="39C37A55"/>
    <w:rsid w:val="39C53B44"/>
    <w:rsid w:val="39EF39C3"/>
    <w:rsid w:val="3A021304"/>
    <w:rsid w:val="3A23092B"/>
    <w:rsid w:val="3A35598B"/>
    <w:rsid w:val="3A595F4B"/>
    <w:rsid w:val="3A9D0C11"/>
    <w:rsid w:val="3B4C73CF"/>
    <w:rsid w:val="3BC55932"/>
    <w:rsid w:val="3C2D51C9"/>
    <w:rsid w:val="3C7826C2"/>
    <w:rsid w:val="3C8F2051"/>
    <w:rsid w:val="3CD87A38"/>
    <w:rsid w:val="3D83215E"/>
    <w:rsid w:val="3DF76443"/>
    <w:rsid w:val="3DFF3A1A"/>
    <w:rsid w:val="3EA946F7"/>
    <w:rsid w:val="3ED615CF"/>
    <w:rsid w:val="3EEC674A"/>
    <w:rsid w:val="3F8907F6"/>
    <w:rsid w:val="3F8B7D7F"/>
    <w:rsid w:val="3FDA33E1"/>
    <w:rsid w:val="3FF20B0E"/>
    <w:rsid w:val="40670EF7"/>
    <w:rsid w:val="40682937"/>
    <w:rsid w:val="40974D22"/>
    <w:rsid w:val="40AB1A12"/>
    <w:rsid w:val="41012626"/>
    <w:rsid w:val="415249F8"/>
    <w:rsid w:val="417575F2"/>
    <w:rsid w:val="41BD7655"/>
    <w:rsid w:val="41CC7DB7"/>
    <w:rsid w:val="42C36006"/>
    <w:rsid w:val="42CD30A6"/>
    <w:rsid w:val="42F60353"/>
    <w:rsid w:val="438556A7"/>
    <w:rsid w:val="43A6228A"/>
    <w:rsid w:val="449B7167"/>
    <w:rsid w:val="44CC2C77"/>
    <w:rsid w:val="4524487F"/>
    <w:rsid w:val="45CC078F"/>
    <w:rsid w:val="466B6F06"/>
    <w:rsid w:val="46860155"/>
    <w:rsid w:val="473C7E58"/>
    <w:rsid w:val="476049FD"/>
    <w:rsid w:val="47802A85"/>
    <w:rsid w:val="487C60FD"/>
    <w:rsid w:val="489E098C"/>
    <w:rsid w:val="48B61CC6"/>
    <w:rsid w:val="48E87129"/>
    <w:rsid w:val="492A5B50"/>
    <w:rsid w:val="49321AAF"/>
    <w:rsid w:val="493A681C"/>
    <w:rsid w:val="493C2E02"/>
    <w:rsid w:val="494C0FE7"/>
    <w:rsid w:val="494D579F"/>
    <w:rsid w:val="498C1FB1"/>
    <w:rsid w:val="4A255416"/>
    <w:rsid w:val="4A295537"/>
    <w:rsid w:val="4A937164"/>
    <w:rsid w:val="4A9750EA"/>
    <w:rsid w:val="4AA40703"/>
    <w:rsid w:val="4AB52EDF"/>
    <w:rsid w:val="4B1D70C8"/>
    <w:rsid w:val="4B690413"/>
    <w:rsid w:val="4BB86F47"/>
    <w:rsid w:val="4BF60566"/>
    <w:rsid w:val="4C263A21"/>
    <w:rsid w:val="4C973694"/>
    <w:rsid w:val="4CCE54E6"/>
    <w:rsid w:val="4D5D4C67"/>
    <w:rsid w:val="4D9A2B3C"/>
    <w:rsid w:val="4EDD4EDE"/>
    <w:rsid w:val="4EE45C33"/>
    <w:rsid w:val="4EED4C04"/>
    <w:rsid w:val="4F323CFA"/>
    <w:rsid w:val="50081263"/>
    <w:rsid w:val="500C5A60"/>
    <w:rsid w:val="50461117"/>
    <w:rsid w:val="509A5F14"/>
    <w:rsid w:val="51844BB9"/>
    <w:rsid w:val="51954E8A"/>
    <w:rsid w:val="519B5496"/>
    <w:rsid w:val="52667895"/>
    <w:rsid w:val="52B20439"/>
    <w:rsid w:val="5341023D"/>
    <w:rsid w:val="53735224"/>
    <w:rsid w:val="537D24F6"/>
    <w:rsid w:val="543C05E0"/>
    <w:rsid w:val="54B9651A"/>
    <w:rsid w:val="54F9389F"/>
    <w:rsid w:val="55222910"/>
    <w:rsid w:val="55643FAD"/>
    <w:rsid w:val="559032FC"/>
    <w:rsid w:val="55E27377"/>
    <w:rsid w:val="55EF2193"/>
    <w:rsid w:val="560165A7"/>
    <w:rsid w:val="560B3FD6"/>
    <w:rsid w:val="56195379"/>
    <w:rsid w:val="563121A3"/>
    <w:rsid w:val="563A5292"/>
    <w:rsid w:val="5646747A"/>
    <w:rsid w:val="565C1C2A"/>
    <w:rsid w:val="567B0F8C"/>
    <w:rsid w:val="56D476A1"/>
    <w:rsid w:val="574328BF"/>
    <w:rsid w:val="584667E1"/>
    <w:rsid w:val="5884596F"/>
    <w:rsid w:val="58E1781D"/>
    <w:rsid w:val="598336AE"/>
    <w:rsid w:val="599B3F0F"/>
    <w:rsid w:val="59A2047A"/>
    <w:rsid w:val="5A41650D"/>
    <w:rsid w:val="5A7852B1"/>
    <w:rsid w:val="5AA97C90"/>
    <w:rsid w:val="5AE4319D"/>
    <w:rsid w:val="5B2B6EDA"/>
    <w:rsid w:val="5C7E5C8C"/>
    <w:rsid w:val="5CE90207"/>
    <w:rsid w:val="5CEA4265"/>
    <w:rsid w:val="5DAA0B36"/>
    <w:rsid w:val="5E3B759B"/>
    <w:rsid w:val="5E501568"/>
    <w:rsid w:val="5E50611E"/>
    <w:rsid w:val="5EB138AE"/>
    <w:rsid w:val="5EB53035"/>
    <w:rsid w:val="5ED23CC7"/>
    <w:rsid w:val="5EE6353D"/>
    <w:rsid w:val="5F0310B7"/>
    <w:rsid w:val="5F0C287E"/>
    <w:rsid w:val="5F1655AE"/>
    <w:rsid w:val="5F5952B0"/>
    <w:rsid w:val="602E28A2"/>
    <w:rsid w:val="60345EC9"/>
    <w:rsid w:val="60C0423D"/>
    <w:rsid w:val="60E7450D"/>
    <w:rsid w:val="613528A2"/>
    <w:rsid w:val="6166406C"/>
    <w:rsid w:val="618F3AF2"/>
    <w:rsid w:val="61DA68DC"/>
    <w:rsid w:val="61FC1FED"/>
    <w:rsid w:val="622708C6"/>
    <w:rsid w:val="62460A47"/>
    <w:rsid w:val="63554C8E"/>
    <w:rsid w:val="63890B77"/>
    <w:rsid w:val="63970830"/>
    <w:rsid w:val="639D1EC4"/>
    <w:rsid w:val="63A13700"/>
    <w:rsid w:val="63D100AF"/>
    <w:rsid w:val="63DA03E2"/>
    <w:rsid w:val="64541B77"/>
    <w:rsid w:val="64667487"/>
    <w:rsid w:val="64E9282A"/>
    <w:rsid w:val="65C63D9B"/>
    <w:rsid w:val="66103AAA"/>
    <w:rsid w:val="667640C4"/>
    <w:rsid w:val="66DC24A5"/>
    <w:rsid w:val="66DF3B52"/>
    <w:rsid w:val="672963E0"/>
    <w:rsid w:val="675A4556"/>
    <w:rsid w:val="675C47D1"/>
    <w:rsid w:val="675E5725"/>
    <w:rsid w:val="679271B5"/>
    <w:rsid w:val="67AE1BA6"/>
    <w:rsid w:val="68191A65"/>
    <w:rsid w:val="68F60924"/>
    <w:rsid w:val="69572330"/>
    <w:rsid w:val="698C4C9E"/>
    <w:rsid w:val="69E719A0"/>
    <w:rsid w:val="6A5B0FA5"/>
    <w:rsid w:val="6A983C35"/>
    <w:rsid w:val="6AAC3F8C"/>
    <w:rsid w:val="6B4C2F45"/>
    <w:rsid w:val="6B966680"/>
    <w:rsid w:val="6C161AD0"/>
    <w:rsid w:val="6D157AE9"/>
    <w:rsid w:val="6D2C2EC2"/>
    <w:rsid w:val="6D2E7D50"/>
    <w:rsid w:val="6D9938C6"/>
    <w:rsid w:val="6DD90E21"/>
    <w:rsid w:val="6DE0162F"/>
    <w:rsid w:val="6DFA3383"/>
    <w:rsid w:val="6E062488"/>
    <w:rsid w:val="6E1A49C5"/>
    <w:rsid w:val="6E254EA7"/>
    <w:rsid w:val="6E4B2AEB"/>
    <w:rsid w:val="6EBB30B7"/>
    <w:rsid w:val="6F191C5C"/>
    <w:rsid w:val="6F44586C"/>
    <w:rsid w:val="6F786BDA"/>
    <w:rsid w:val="70851CBD"/>
    <w:rsid w:val="709573C6"/>
    <w:rsid w:val="709E2354"/>
    <w:rsid w:val="70E70772"/>
    <w:rsid w:val="71900429"/>
    <w:rsid w:val="719027A5"/>
    <w:rsid w:val="71C9496E"/>
    <w:rsid w:val="71EE76F7"/>
    <w:rsid w:val="725F0CAE"/>
    <w:rsid w:val="72981180"/>
    <w:rsid w:val="729C09F9"/>
    <w:rsid w:val="73001A15"/>
    <w:rsid w:val="73155C46"/>
    <w:rsid w:val="7366194C"/>
    <w:rsid w:val="74062834"/>
    <w:rsid w:val="740D552E"/>
    <w:rsid w:val="74136087"/>
    <w:rsid w:val="7443680B"/>
    <w:rsid w:val="74A805D6"/>
    <w:rsid w:val="74A870B6"/>
    <w:rsid w:val="74EC6D1E"/>
    <w:rsid w:val="74FA0674"/>
    <w:rsid w:val="75385547"/>
    <w:rsid w:val="754F1383"/>
    <w:rsid w:val="75DC198B"/>
    <w:rsid w:val="75E25A77"/>
    <w:rsid w:val="762A07F6"/>
    <w:rsid w:val="764A2B58"/>
    <w:rsid w:val="76661B90"/>
    <w:rsid w:val="77307E87"/>
    <w:rsid w:val="77731DCC"/>
    <w:rsid w:val="77B301A9"/>
    <w:rsid w:val="77BE7190"/>
    <w:rsid w:val="77D83AB0"/>
    <w:rsid w:val="77ED043F"/>
    <w:rsid w:val="77F43C8B"/>
    <w:rsid w:val="77FA47E4"/>
    <w:rsid w:val="78F759E0"/>
    <w:rsid w:val="78FB1E09"/>
    <w:rsid w:val="79802062"/>
    <w:rsid w:val="79BB4445"/>
    <w:rsid w:val="79CB33E9"/>
    <w:rsid w:val="79CC1086"/>
    <w:rsid w:val="79EF28EF"/>
    <w:rsid w:val="7A0E66B3"/>
    <w:rsid w:val="7A300713"/>
    <w:rsid w:val="7A3B7268"/>
    <w:rsid w:val="7AB968E7"/>
    <w:rsid w:val="7AC65BFC"/>
    <w:rsid w:val="7B0735D8"/>
    <w:rsid w:val="7B0F7EA2"/>
    <w:rsid w:val="7B2F3DDD"/>
    <w:rsid w:val="7B4B41CD"/>
    <w:rsid w:val="7B5A24C6"/>
    <w:rsid w:val="7B6F7E14"/>
    <w:rsid w:val="7CDB4C9F"/>
    <w:rsid w:val="7D016D57"/>
    <w:rsid w:val="7D2B624D"/>
    <w:rsid w:val="7EA630E7"/>
    <w:rsid w:val="7EB61058"/>
    <w:rsid w:val="7ED004CF"/>
    <w:rsid w:val="7F691199"/>
    <w:rsid w:val="7F9C17F8"/>
    <w:rsid w:val="7FA90BF5"/>
    <w:rsid w:val="7FEC5719"/>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uiPriority w:val="1"/>
  </w:style>
  <w:style w:type="table" w:default="1" w:styleId="13">
    <w:name w:val="Normal Table"/>
    <w:unhideWhenUsed/>
    <w:uiPriority w:val="99"/>
    <w:tblPr>
      <w:tblStyle w:val="13"/>
      <w:tblLayout w:type="fixed"/>
      <w:tblCellMar>
        <w:top w:w="0" w:type="dxa"/>
        <w:left w:w="108" w:type="dxa"/>
        <w:bottom w:w="0" w:type="dxa"/>
        <w:right w:w="108" w:type="dxa"/>
      </w:tblCellMar>
    </w:tblPr>
    <w:tcPr>
      <w:textDirection w:val="lrTb"/>
    </w:tcPr>
  </w:style>
  <w:style w:type="paragraph" w:styleId="2">
    <w:name w:val="annotation subject"/>
    <w:basedOn w:val="3"/>
    <w:next w:val="3"/>
    <w:link w:val="17"/>
    <w:qFormat/>
    <w:uiPriority w:val="0"/>
    <w:rPr>
      <w:b/>
      <w:bCs/>
    </w:rPr>
  </w:style>
  <w:style w:type="paragraph" w:styleId="3">
    <w:name w:val="annotation text"/>
    <w:basedOn w:val="1"/>
    <w:link w:val="16"/>
    <w:qFormat/>
    <w:uiPriority w:val="0"/>
    <w:pPr>
      <w:jc w:val="left"/>
    </w:pPr>
  </w:style>
  <w:style w:type="paragraph" w:styleId="4">
    <w:name w:val="Body Text Indent"/>
    <w:basedOn w:val="1"/>
    <w:unhideWhenUsed/>
    <w:qFormat/>
    <w:uiPriority w:val="0"/>
    <w:pPr>
      <w:ind w:firstLine="630"/>
    </w:pPr>
    <w:rPr>
      <w:kern w:val="0"/>
      <w:sz w:val="24"/>
    </w:rPr>
  </w:style>
  <w:style w:type="paragraph" w:styleId="5">
    <w:name w:val="Balloon Text"/>
    <w:basedOn w:val="1"/>
    <w:semiHidden/>
    <w:qFormat/>
    <w:uiPriority w:val="0"/>
    <w:rPr>
      <w:sz w:val="18"/>
      <w:szCs w:val="1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20"/>
    </w:rPr>
  </w:style>
  <w:style w:type="paragraph" w:styleId="8">
    <w:name w:val="Normal (Web)"/>
    <w:basedOn w:val="1"/>
    <w:uiPriority w:val="0"/>
    <w:pPr>
      <w:spacing w:beforeAutospacing="1" w:afterAutospacing="1"/>
      <w:jc w:val="left"/>
    </w:pPr>
    <w:rPr>
      <w:kern w:val="0"/>
      <w:sz w:val="24"/>
    </w:rPr>
  </w:style>
  <w:style w:type="character" w:styleId="10">
    <w:name w:val="FollowedHyperlink"/>
    <w:qFormat/>
    <w:uiPriority w:val="0"/>
    <w:rPr>
      <w:color w:val="000000"/>
      <w:u w:val="none"/>
    </w:rPr>
  </w:style>
  <w:style w:type="character" w:styleId="11">
    <w:name w:val="Hyperlink"/>
    <w:qFormat/>
    <w:uiPriority w:val="0"/>
    <w:rPr>
      <w:color w:val="000000"/>
      <w:u w:val="none"/>
    </w:rPr>
  </w:style>
  <w:style w:type="character" w:styleId="12">
    <w:name w:val="annotation reference"/>
    <w:qFormat/>
    <w:uiPriority w:val="0"/>
    <w:rPr>
      <w:sz w:val="21"/>
      <w:szCs w:val="21"/>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
    <w:name w:val="_Style 14"/>
    <w:basedOn w:val="1"/>
    <w:next w:val="1"/>
    <w:qFormat/>
    <w:uiPriority w:val="0"/>
    <w:pPr>
      <w:pBdr>
        <w:top w:val="single" w:color="auto" w:sz="6" w:space="1"/>
      </w:pBdr>
      <w:jc w:val="center"/>
    </w:pPr>
    <w:rPr>
      <w:rFonts w:ascii="Arial"/>
      <w:vanish/>
      <w:sz w:val="16"/>
    </w:rPr>
  </w:style>
  <w:style w:type="character" w:customStyle="1" w:styleId="16">
    <w:name w:val="批注文字 Char"/>
    <w:link w:val="3"/>
    <w:qFormat/>
    <w:uiPriority w:val="0"/>
    <w:rPr>
      <w:kern w:val="2"/>
      <w:sz w:val="21"/>
      <w:szCs w:val="24"/>
    </w:rPr>
  </w:style>
  <w:style w:type="character" w:customStyle="1" w:styleId="17">
    <w:name w:val="批注主题 Char"/>
    <w:link w:val="2"/>
    <w:qFormat/>
    <w:uiPriority w:val="0"/>
    <w:rPr>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华夏银行总行</Company>
  <Pages>15</Pages>
  <Words>2377</Words>
  <Characters>13550</Characters>
  <Lines>112</Lines>
  <Paragraphs>31</Paragraphs>
  <ScaleCrop>false</ScaleCrop>
  <LinksUpToDate>false</LinksUpToDate>
  <CharactersWithSpaces>0</CharactersWithSpaces>
  <Application>WPS Office 专业版_9.1.0.5026_F1E327BC-269C-435d-A152-05C5408002CA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2023-04-12T01:45:00Z</dcterms:created>
  <dc:creator>ylh</dc:creator>
  <cp:keywords>51</cp:keywords>
  <cp:lastModifiedBy>RORO</cp:lastModifiedBy>
  <cp:lastPrinted>2021-07-21T07:06:00Z</cp:lastPrinted>
  <dcterms:modified xsi:type="dcterms:W3CDTF">2023-05-22T07:37:11Z</dcterms:modified>
  <dc:title>华夏理财固定收益债权型封闭式</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y fmtid="{D5CDD505-2E9C-101B-9397-08002B2CF9AE}" pid="3" name="ICV">
    <vt:lpwstr>AABFD6ACA3EB4657B5186AEC0B9A73DC</vt:lpwstr>
  </property>
</Properties>
</file>