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
        <w:widowControl/>
        <w:spacing w:line="240" w:lineRule="auto"/>
        <w:ind w:firstLine="0"/>
        <w:jc w:val="center"/>
        <w:rPr>
          <w:rFonts w:eastAsia="黑体"/>
          <w:bCs/>
          <w:sz w:val="36"/>
          <w:szCs w:val="36"/>
        </w:rPr>
      </w:pPr>
      <w:r>
        <w:rPr>
          <w:rFonts w:hint="eastAsia" w:eastAsia="黑体"/>
          <w:bCs/>
          <w:sz w:val="36"/>
          <w:szCs w:val="36"/>
        </w:rPr>
        <w:t>华夏理财悦安封闭式理财产品1号说明书</w:t>
      </w:r>
    </w:p>
    <w:p>
      <w:pPr>
        <w:pStyle w:val="3"/>
        <w:widowControl/>
        <w:spacing w:line="240" w:lineRule="auto"/>
        <w:ind w:firstLine="0"/>
        <w:jc w:val="center"/>
        <w:rPr>
          <w:rFonts w:eastAsia="黑体"/>
          <w:bCs/>
          <w:sz w:val="36"/>
          <w:szCs w:val="36"/>
        </w:rPr>
      </w:pPr>
    </w:p>
    <w:tbl>
      <w:tblPr>
        <w:tblStyle w:val="8"/>
        <w:tblW w:w="856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3"/>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华夏理财悦安封闭式理财产品1号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A份额简称：“华夏理财悦安封闭式1号96天A”</w:t>
            </w:r>
          </w:p>
          <w:p>
            <w:pPr>
              <w:adjustRightInd w:val="0"/>
              <w:snapToGrid w:val="0"/>
              <w:spacing w:line="300" w:lineRule="exact"/>
              <w:jc w:val="center"/>
              <w:rPr>
                <w:rFonts w:ascii="仿宋" w:hAnsi="仿宋" w:eastAsia="仿宋"/>
                <w:b/>
                <w:bCs/>
                <w:szCs w:val="21"/>
              </w:rPr>
            </w:pPr>
            <w:r>
              <w:rPr>
                <w:rFonts w:ascii="仿宋" w:hAnsi="仿宋" w:eastAsia="仿宋"/>
                <w:b/>
                <w:bCs/>
                <w:szCs w:val="21"/>
              </w:rPr>
              <w:t>B</w:t>
            </w:r>
            <w:r>
              <w:rPr>
                <w:rFonts w:hint="eastAsia" w:ascii="仿宋" w:hAnsi="仿宋" w:eastAsia="仿宋"/>
                <w:b/>
                <w:bCs/>
                <w:szCs w:val="21"/>
              </w:rPr>
              <w:t>份额简称：“华夏理财悦安封闭式1号96天</w:t>
            </w:r>
            <w:r>
              <w:rPr>
                <w:rFonts w:ascii="仿宋" w:hAnsi="仿宋" w:eastAsia="仿宋"/>
                <w:b/>
                <w:bCs/>
                <w:szCs w:val="21"/>
              </w:rPr>
              <w:t>B</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23111</w:t>
            </w:r>
            <w:r>
              <w:rPr>
                <w:rFonts w:hint="eastAsia" w:ascii="仿宋" w:hAnsi="仿宋" w:eastAsia="仿宋"/>
                <w:bCs/>
                <w:szCs w:val="21"/>
              </w:rPr>
              <w:t>601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eastAsia="zh-CN"/>
              </w:rPr>
            </w:pPr>
            <w:r>
              <w:rPr>
                <w:rFonts w:hint="eastAsia" w:ascii="仿宋" w:hAnsi="仿宋" w:eastAsia="仿宋"/>
                <w:bCs/>
                <w:szCs w:val="21"/>
              </w:rPr>
              <w:t>A份额代码：</w:t>
            </w:r>
            <w:r>
              <w:rPr>
                <w:rFonts w:ascii="仿宋" w:hAnsi="仿宋" w:eastAsia="仿宋"/>
                <w:bCs/>
                <w:szCs w:val="21"/>
              </w:rPr>
              <w:t>23111</w:t>
            </w:r>
            <w:r>
              <w:rPr>
                <w:rFonts w:hint="eastAsia" w:ascii="仿宋" w:hAnsi="仿宋" w:eastAsia="仿宋"/>
                <w:bCs/>
                <w:szCs w:val="21"/>
              </w:rPr>
              <w:t>601A</w:t>
            </w:r>
            <w:r>
              <w:rPr>
                <w:rFonts w:hint="eastAsia" w:ascii="仿宋" w:hAnsi="仿宋" w:eastAsia="仿宋"/>
                <w:bCs/>
                <w:szCs w:val="21"/>
                <w:lang w:eastAsia="zh-CN"/>
              </w:rPr>
              <w:t>（</w:t>
            </w:r>
            <w:r>
              <w:rPr>
                <w:rFonts w:hint="eastAsia" w:ascii="仿宋" w:hAnsi="仿宋" w:eastAsia="仿宋"/>
                <w:bCs/>
                <w:szCs w:val="21"/>
                <w:lang w:val="en-US" w:eastAsia="zh-CN"/>
              </w:rPr>
              <w:t>招商银行销售代码：HX</w:t>
            </w:r>
            <w:bookmarkStart w:id="7" w:name="_GoBack"/>
            <w:bookmarkEnd w:id="7"/>
            <w:r>
              <w:rPr>
                <w:rFonts w:hint="eastAsia" w:ascii="仿宋" w:hAnsi="仿宋" w:eastAsia="仿宋"/>
                <w:bCs/>
                <w:szCs w:val="21"/>
                <w:lang w:val="en-US" w:eastAsia="zh-CN"/>
              </w:rPr>
              <w:t>010214</w:t>
            </w:r>
            <w:r>
              <w:rPr>
                <w:rFonts w:hint="eastAsia" w:ascii="仿宋" w:hAnsi="仿宋" w:eastAsia="仿宋"/>
                <w:bCs/>
                <w:szCs w:val="21"/>
                <w:lang w:eastAsia="zh-CN"/>
              </w:rPr>
              <w:t>）</w:t>
            </w:r>
          </w:p>
          <w:p>
            <w:pPr>
              <w:adjustRightInd w:val="0"/>
              <w:snapToGrid w:val="0"/>
              <w:spacing w:line="300" w:lineRule="exact"/>
              <w:jc w:val="center"/>
              <w:rPr>
                <w:rFonts w:ascii="仿宋" w:hAnsi="仿宋" w:eastAsia="仿宋"/>
                <w:bCs/>
                <w:szCs w:val="21"/>
              </w:rPr>
            </w:pPr>
            <w:r>
              <w:rPr>
                <w:rFonts w:ascii="仿宋" w:hAnsi="仿宋" w:eastAsia="仿宋"/>
                <w:bCs/>
                <w:szCs w:val="21"/>
              </w:rPr>
              <w:t>B</w:t>
            </w:r>
            <w:r>
              <w:rPr>
                <w:rFonts w:hint="eastAsia" w:ascii="仿宋" w:hAnsi="仿宋" w:eastAsia="仿宋"/>
                <w:bCs/>
                <w:szCs w:val="21"/>
              </w:rPr>
              <w:t>份额代码：</w:t>
            </w:r>
            <w:r>
              <w:rPr>
                <w:rFonts w:ascii="仿宋" w:hAnsi="仿宋" w:eastAsia="仿宋"/>
                <w:bCs/>
                <w:szCs w:val="21"/>
              </w:rPr>
              <w:t>23111</w:t>
            </w:r>
            <w:r>
              <w:rPr>
                <w:rFonts w:hint="eastAsia" w:ascii="仿宋" w:hAnsi="仿宋" w:eastAsia="仿宋"/>
                <w:bCs/>
                <w:szCs w:val="21"/>
              </w:rPr>
              <w:t>601</w:t>
            </w:r>
            <w:r>
              <w:rPr>
                <w:rFonts w:ascii="仿宋" w:hAnsi="仿宋" w:eastAsia="仿宋"/>
                <w:bCs/>
                <w:szCs w:val="21"/>
              </w:rPr>
              <w:t>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rPr>
              <w:t>5</w:t>
            </w:r>
            <w:r>
              <w:rPr>
                <w:rFonts w:ascii="仿宋" w:hAnsi="仿宋" w:eastAsia="仿宋"/>
                <w:bCs/>
                <w:szCs w:val="21"/>
              </w:rPr>
              <w:t>2</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PR1级（低风险）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w:t>
            </w:r>
            <w:r>
              <w:rPr>
                <w:rFonts w:hint="eastAsia" w:ascii="仿宋" w:hAnsi="仿宋" w:eastAsia="仿宋"/>
                <w:bCs/>
                <w:szCs w:val="21"/>
                <w:u w:val="single"/>
              </w:rPr>
              <w:t>CR1（谨慎型）、CR2（稳健型）、CR3（平衡型）、CR4（进取型）、CR5（激进型）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2.80%-2.90%</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2.75%-2.85%</w:t>
            </w:r>
            <w:r>
              <w:rPr>
                <w:rFonts w:hint="eastAsia" w:ascii="仿宋" w:hAnsi="仿宋" w:eastAsia="仿宋" w:cs="Cambria"/>
                <w:bCs/>
                <w:szCs w:val="21"/>
              </w:rPr>
              <w:t>（年化）。以产品投资存款类资产仓位100%为例，参考当前存款类资产收益水平，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_Hlk290294163"/>
            <w:bookmarkStart w:id="3" w:name="OLE_LINK2" w:colFirst="1" w:colLast="1"/>
            <w:bookmarkStart w:id="4"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2023年5月4日</w:t>
            </w:r>
            <w:r>
              <w:rPr>
                <w:rFonts w:ascii="仿宋" w:hAnsi="仿宋" w:eastAsia="仿宋"/>
                <w:bCs/>
                <w:szCs w:val="21"/>
              </w:rPr>
              <w:t>－</w:t>
            </w:r>
            <w:r>
              <w:rPr>
                <w:rFonts w:hint="eastAsia" w:ascii="仿宋" w:hAnsi="仿宋" w:eastAsia="仿宋"/>
                <w:bCs/>
                <w:szCs w:val="21"/>
              </w:rPr>
              <w:t>2023年5月10日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2023年5月11日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9</w:t>
            </w:r>
            <w:r>
              <w:rPr>
                <w:rFonts w:hint="eastAsia" w:ascii="仿宋" w:hAnsi="仿宋" w:eastAsia="仿宋"/>
                <w:bCs/>
                <w:szCs w:val="21"/>
              </w:rPr>
              <w:t>6天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2023年8月15日理财产品正常到期，到期日如为非工作日，则顺延至下一工作日。如理财产品因故提前或延迟到期的，则终止日以华夏理财发布的公告为准。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rPr>
              <w:t>10亿元，</w:t>
            </w:r>
            <w:r>
              <w:rPr>
                <w:rFonts w:ascii="仿宋" w:hAnsi="仿宋" w:eastAsia="仿宋"/>
                <w:bCs/>
                <w:szCs w:val="21"/>
              </w:rPr>
              <w:t>发行规模下限为</w:t>
            </w:r>
            <w:r>
              <w:rPr>
                <w:rFonts w:hint="eastAsia" w:ascii="仿宋" w:hAnsi="仿宋" w:eastAsia="仿宋"/>
                <w:bCs/>
                <w:szCs w:val="21"/>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B</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uto"/>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/当年天数。</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A份额：销售手续费率为</w:t>
            </w:r>
            <w:r>
              <w:rPr>
                <w:rFonts w:ascii="仿宋" w:hAnsi="仿宋" w:eastAsia="仿宋"/>
                <w:b/>
                <w:bCs/>
                <w:szCs w:val="21"/>
              </w:rPr>
              <w:t>0.05%</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B</w:t>
            </w:r>
            <w:r>
              <w:rPr>
                <w:rFonts w:hint="eastAsia" w:ascii="仿宋" w:hAnsi="仿宋" w:eastAsia="仿宋"/>
                <w:b/>
                <w:bCs/>
                <w:szCs w:val="21"/>
              </w:rPr>
              <w:t>份额：销售手续费率为</w:t>
            </w:r>
            <w:r>
              <w:rPr>
                <w:rFonts w:ascii="仿宋" w:hAnsi="仿宋" w:eastAsia="仿宋"/>
                <w:b/>
                <w:bCs/>
                <w:szCs w:val="21"/>
              </w:rPr>
              <w:t>0.10%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F=E×【各份额销售手续费率】/当年天数。F为各份额销售手续费；E为计算基数。</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0.05%</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0.05%</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A份额超额管理费计提基准为</w:t>
            </w:r>
            <w:r>
              <w:rPr>
                <w:rFonts w:ascii="仿宋" w:hAnsi="仿宋" w:eastAsia="仿宋" w:cs="Cambria"/>
                <w:b/>
                <w:bCs/>
                <w:szCs w:val="21"/>
              </w:rPr>
              <w:t>2.90%</w:t>
            </w:r>
            <w:r>
              <w:rPr>
                <w:rFonts w:hint="eastAsia" w:ascii="仿宋" w:hAnsi="仿宋" w:eastAsia="仿宋" w:cs="Cambria"/>
                <w:b/>
                <w:bCs/>
                <w:szCs w:val="21"/>
              </w:rPr>
              <w:t>（年化）；</w:t>
            </w:r>
            <w:r>
              <w:rPr>
                <w:rFonts w:ascii="仿宋" w:hAnsi="仿宋" w:eastAsia="仿宋" w:cs="Cambria"/>
                <w:b/>
                <w:bCs/>
                <w:szCs w:val="21"/>
              </w:rPr>
              <w:t>B</w:t>
            </w:r>
            <w:r>
              <w:rPr>
                <w:rFonts w:hint="eastAsia" w:ascii="仿宋" w:hAnsi="仿宋" w:eastAsia="仿宋" w:cs="Cambria"/>
                <w:b/>
                <w:bCs/>
                <w:szCs w:val="21"/>
              </w:rPr>
              <w:t>份额超额管理费计提基准为</w:t>
            </w:r>
            <w:r>
              <w:rPr>
                <w:rFonts w:ascii="仿宋" w:hAnsi="仿宋" w:eastAsia="仿宋" w:cs="Cambria"/>
                <w:b/>
                <w:bCs/>
                <w:szCs w:val="21"/>
              </w:rPr>
              <w:t>2.85%</w:t>
            </w:r>
            <w:r>
              <w:rPr>
                <w:rFonts w:hint="eastAsia" w:ascii="仿宋" w:hAnsi="仿宋" w:eastAsia="仿宋" w:cs="Cambria"/>
                <w:b/>
                <w:bCs/>
                <w:szCs w:val="21"/>
              </w:rPr>
              <w:t>（年化）。</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3"/>
        <w:snapToGrid w:val="0"/>
        <w:spacing w:after="156" w:afterLines="50" w:line="400" w:lineRule="exact"/>
        <w:ind w:firstLine="482" w:firstLineChars="200"/>
        <w:jc w:val="both"/>
        <w:rPr>
          <w:rFonts w:ascii="Times New Roman" w:eastAsia="黑体" w:cs="Times New Roman"/>
          <w:b/>
          <w:color w:val="auto"/>
        </w:rPr>
      </w:pPr>
    </w:p>
    <w:p>
      <w:pPr>
        <w:pStyle w:val="13"/>
        <w:keepNext/>
        <w:snapToGrid w:val="0"/>
        <w:spacing w:after="156" w:afterLines="50" w:line="400" w:lineRule="exact"/>
        <w:ind w:firstLine="482" w:firstLineChars="200"/>
        <w:jc w:val="both"/>
        <w:outlineLvl w:val="0"/>
        <w:rPr>
          <w:rFonts w:hint="eastAsia" w:ascii="仿宋" w:hAnsi="仿宋" w:eastAsia="仿宋" w:cs="宋体"/>
          <w:b w:val="0"/>
          <w:color w:val="000000"/>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20" w:firstLineChars="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本理财产品计划100%投资于银行</w:t>
      </w:r>
      <w:r>
        <w:rPr>
          <w:rFonts w:ascii="仿宋" w:hAnsi="仿宋" w:eastAsia="仿宋" w:cs="宋体"/>
          <w:color w:val="000000"/>
          <w:kern w:val="0"/>
          <w:sz w:val="24"/>
        </w:rPr>
        <w:t>存款</w:t>
      </w:r>
      <w:r>
        <w:rPr>
          <w:rFonts w:hint="eastAsia" w:ascii="仿宋" w:hAnsi="仿宋" w:eastAsia="仿宋" w:cs="宋体"/>
          <w:color w:val="000000"/>
          <w:kern w:val="0"/>
          <w:sz w:val="24"/>
        </w:rPr>
        <w:t>、同业存单等固定收益类资产。</w:t>
      </w:r>
      <w:r>
        <w:rPr>
          <w:rFonts w:hint="eastAsia" w:ascii="仿宋" w:hAnsi="仿宋" w:eastAsia="仿宋" w:cs="宋体"/>
          <w:kern w:val="0"/>
          <w:sz w:val="24"/>
        </w:rPr>
        <w:t>本理财产品可以按照监管部门相关规定开展回购</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逆回购</w:t>
      </w:r>
      <w:r>
        <w:rPr>
          <w:rFonts w:hint="eastAsia" w:ascii="仿宋" w:hAnsi="仿宋" w:eastAsia="仿宋" w:cs="宋体"/>
          <w:kern w:val="0"/>
          <w:sz w:val="24"/>
        </w:rPr>
        <w:t>业务。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3"/>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3"/>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本理财产品所投资的银行存款、货币市场工具等固定</w:t>
      </w:r>
      <w:r>
        <w:rPr>
          <w:rFonts w:ascii="仿宋" w:hAnsi="仿宋" w:eastAsia="仿宋" w:cs="仿宋"/>
        </w:rPr>
        <w:t>收益类</w:t>
      </w:r>
      <w:r>
        <w:rPr>
          <w:rFonts w:hint="eastAsia" w:ascii="仿宋" w:hAnsi="仿宋" w:eastAsia="仿宋" w:cs="仿宋"/>
        </w:rPr>
        <w:t>资产以及资产管理产品等资产。</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3"/>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3"/>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3"/>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auto"/>
    <w:pitch w:val="default"/>
    <w:sig w:usb0="E0002EFF" w:usb1="C000785B" w:usb2="00000009" w:usb3="00000000" w:csb0="400001FF" w:csb1="FFFF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oNotDisplayPageBoundaries w:val="1"/>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FjNGM4MTU2NGYwYzU4Yzk0YTM2ZWYxMjcxYjBmZTAifQ=="/>
  </w:docVars>
  <w:rsids>
    <w:rsidRoot w:val="003D0255"/>
    <w:rsid w:val="00001C1B"/>
    <w:rsid w:val="00010FE2"/>
    <w:rsid w:val="00013C4E"/>
    <w:rsid w:val="000161B5"/>
    <w:rsid w:val="00021827"/>
    <w:rsid w:val="00025F33"/>
    <w:rsid w:val="00033110"/>
    <w:rsid w:val="000337FD"/>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25851"/>
    <w:rsid w:val="0053489D"/>
    <w:rsid w:val="00541B21"/>
    <w:rsid w:val="00546540"/>
    <w:rsid w:val="005622E8"/>
    <w:rsid w:val="00567419"/>
    <w:rsid w:val="0058195A"/>
    <w:rsid w:val="00583E9D"/>
    <w:rsid w:val="00587F99"/>
    <w:rsid w:val="005902F0"/>
    <w:rsid w:val="005A1AD3"/>
    <w:rsid w:val="005B0C42"/>
    <w:rsid w:val="005B5A4F"/>
    <w:rsid w:val="005B7E09"/>
    <w:rsid w:val="005D1B39"/>
    <w:rsid w:val="005D5825"/>
    <w:rsid w:val="005E4F8D"/>
    <w:rsid w:val="005F69E2"/>
    <w:rsid w:val="006030F8"/>
    <w:rsid w:val="00603823"/>
    <w:rsid w:val="00623292"/>
    <w:rsid w:val="00627FD4"/>
    <w:rsid w:val="006309B4"/>
    <w:rsid w:val="0064430D"/>
    <w:rsid w:val="006609EB"/>
    <w:rsid w:val="00661DAE"/>
    <w:rsid w:val="00664F8D"/>
    <w:rsid w:val="00665902"/>
    <w:rsid w:val="00665BDD"/>
    <w:rsid w:val="006714E1"/>
    <w:rsid w:val="00681C15"/>
    <w:rsid w:val="00686350"/>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079B5"/>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47353"/>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45E28"/>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5C1E64"/>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610BFF"/>
    <w:rsid w:val="19953307"/>
    <w:rsid w:val="19A07D04"/>
    <w:rsid w:val="19EC565F"/>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7929AE"/>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A9A5574"/>
    <w:rsid w:val="2B2942A8"/>
    <w:rsid w:val="2B704201"/>
    <w:rsid w:val="2BBB2833"/>
    <w:rsid w:val="2BC42334"/>
    <w:rsid w:val="2C1011CD"/>
    <w:rsid w:val="2C40390A"/>
    <w:rsid w:val="2C4C703B"/>
    <w:rsid w:val="2C994559"/>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36359DD"/>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76CB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EE6E5E"/>
    <w:rsid w:val="42F60353"/>
    <w:rsid w:val="438556A7"/>
    <w:rsid w:val="43A6228A"/>
    <w:rsid w:val="43D63BB7"/>
    <w:rsid w:val="445A3B32"/>
    <w:rsid w:val="44814819"/>
    <w:rsid w:val="449B7167"/>
    <w:rsid w:val="44CC2C77"/>
    <w:rsid w:val="4524487F"/>
    <w:rsid w:val="45CC078F"/>
    <w:rsid w:val="462907D8"/>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B2334F"/>
    <w:rsid w:val="4FDD6C50"/>
    <w:rsid w:val="500C5A60"/>
    <w:rsid w:val="50461117"/>
    <w:rsid w:val="509A5F14"/>
    <w:rsid w:val="514B566F"/>
    <w:rsid w:val="515442E6"/>
    <w:rsid w:val="51954E8A"/>
    <w:rsid w:val="519B5496"/>
    <w:rsid w:val="52667895"/>
    <w:rsid w:val="52B20439"/>
    <w:rsid w:val="53140A76"/>
    <w:rsid w:val="5337488A"/>
    <w:rsid w:val="53735224"/>
    <w:rsid w:val="537D24F6"/>
    <w:rsid w:val="53AD73D7"/>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7D41D62"/>
    <w:rsid w:val="584667E1"/>
    <w:rsid w:val="5884596F"/>
    <w:rsid w:val="58E1781D"/>
    <w:rsid w:val="59471C07"/>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D76AF0"/>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C3F8C"/>
    <w:rsid w:val="6AFD414A"/>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BB30B7"/>
    <w:rsid w:val="6F0D185D"/>
    <w:rsid w:val="6F786BDA"/>
    <w:rsid w:val="6FA9351C"/>
    <w:rsid w:val="70786034"/>
    <w:rsid w:val="70851CBD"/>
    <w:rsid w:val="709573C6"/>
    <w:rsid w:val="709E2354"/>
    <w:rsid w:val="70E70772"/>
    <w:rsid w:val="71900429"/>
    <w:rsid w:val="719027A5"/>
    <w:rsid w:val="71930C34"/>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4"/>
    <w:qFormat/>
    <w:uiPriority w:val="0"/>
    <w:rPr>
      <w:b/>
      <w:bCs/>
    </w:rPr>
  </w:style>
  <w:style w:type="character" w:styleId="10">
    <w:name w:val="FollowedHyperlink"/>
    <w:basedOn w:val="9"/>
    <w:uiPriority w:val="0"/>
    <w:rPr>
      <w:color w:val="000000"/>
      <w:u w:val="none"/>
    </w:rPr>
  </w:style>
  <w:style w:type="character" w:styleId="11">
    <w:name w:val="Hyperlink"/>
    <w:basedOn w:val="9"/>
    <w:uiPriority w:val="0"/>
    <w:rPr>
      <w:color w:val="000000"/>
      <w:u w:val="none"/>
    </w:rPr>
  </w:style>
  <w:style w:type="character" w:styleId="12">
    <w:name w:val="annotation reference"/>
    <w:qFormat/>
    <w:uiPriority w:val="0"/>
    <w:rPr>
      <w:sz w:val="21"/>
      <w:szCs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4">
    <w:name w:val="批注主题 Char"/>
    <w:link w:val="7"/>
    <w:qFormat/>
    <w:uiPriority w:val="0"/>
    <w:rPr>
      <w:b/>
      <w:bCs/>
      <w:kern w:val="2"/>
      <w:sz w:val="21"/>
      <w:szCs w:val="24"/>
    </w:rPr>
  </w:style>
  <w:style w:type="character" w:customStyle="1" w:styleId="15">
    <w:name w:val="批注文字 Char"/>
    <w:link w:val="2"/>
    <w:qFormat/>
    <w:uiPriority w:val="0"/>
    <w:rPr>
      <w:kern w:val="2"/>
      <w:sz w:val="21"/>
      <w:szCs w:val="24"/>
    </w:rPr>
  </w:style>
  <w:style w:type="paragraph" w:styleId="16">
    <w:name w:val=""/>
    <w:basedOn w:val="1"/>
    <w:next w:val="1"/>
    <w:uiPriority w:val="0"/>
    <w:pPr>
      <w:pBdr>
        <w:bottom w:val="single" w:color="auto" w:sz="6" w:space="1"/>
      </w:pBdr>
      <w:jc w:val="center"/>
    </w:pPr>
    <w:rPr>
      <w:rFonts w:ascii="Arial" w:eastAsia="宋体"/>
      <w:vanish/>
      <w:sz w:val="16"/>
    </w:rPr>
  </w:style>
  <w:style w:type="paragraph" w:styleId="17">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14595</Words>
  <Characters>15011</Characters>
  <Lines>114</Lines>
  <Paragraphs>32</Paragraphs>
  <TotalTime>2</TotalTime>
  <ScaleCrop>false</ScaleCrop>
  <LinksUpToDate>false</LinksUpToDate>
  <CharactersWithSpaces>16076</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2023-04-26T06:48:00Z</dcterms:created>
  <dc:creator>ylh</dc:creator>
  <cp:keywords>稳健低波</cp:keywords>
  <cp:lastModifiedBy>RORO</cp:lastModifiedBy>
  <cp:lastPrinted>2023-03-20T06:17:00Z</cp:lastPrinted>
  <dcterms:modified xsi:type="dcterms:W3CDTF">2023-04-27T03:25:20Z</dcterms:modified>
  <dc:title>华夏理财固定收益纯债型封闭式</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7FD58229F76F425C97CE679FD6D5D50E</vt:lpwstr>
  </property>
</Properties>
</file>