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37D" w:rsidRDefault="00B25021">
      <w:pPr>
        <w:pStyle w:val="a4"/>
        <w:widowControl/>
        <w:spacing w:line="240" w:lineRule="auto"/>
        <w:ind w:firstLine="0"/>
        <w:jc w:val="center"/>
        <w:rPr>
          <w:rFonts w:eastAsia="黑体"/>
          <w:bCs/>
          <w:sz w:val="36"/>
          <w:szCs w:val="36"/>
        </w:rPr>
      </w:pPr>
      <w:r>
        <w:rPr>
          <w:rFonts w:eastAsia="黑体" w:hint="eastAsia"/>
          <w:bCs/>
          <w:sz w:val="36"/>
          <w:szCs w:val="36"/>
        </w:rPr>
        <w:t>华夏</w:t>
      </w:r>
      <w:proofErr w:type="gramStart"/>
      <w:r>
        <w:rPr>
          <w:rFonts w:eastAsia="黑体" w:hint="eastAsia"/>
          <w:bCs/>
          <w:sz w:val="36"/>
          <w:szCs w:val="36"/>
        </w:rPr>
        <w:t>理财跃盈封闭式</w:t>
      </w:r>
      <w:proofErr w:type="gramEnd"/>
      <w:r>
        <w:rPr>
          <w:rFonts w:eastAsia="黑体" w:hint="eastAsia"/>
          <w:bCs/>
          <w:sz w:val="36"/>
          <w:szCs w:val="36"/>
        </w:rPr>
        <w:t>理财产品</w:t>
      </w:r>
      <w:r w:rsidRPr="00B25021">
        <w:rPr>
          <w:rFonts w:eastAsia="黑体" w:hint="eastAsia"/>
          <w:bCs/>
          <w:sz w:val="36"/>
          <w:szCs w:val="36"/>
        </w:rPr>
        <w:t>11</w:t>
      </w:r>
      <w:r w:rsidRPr="00B25021">
        <w:rPr>
          <w:rFonts w:eastAsia="黑体" w:hint="eastAsia"/>
          <w:bCs/>
          <w:sz w:val="36"/>
          <w:szCs w:val="36"/>
        </w:rPr>
        <w:t>号</w:t>
      </w:r>
      <w:r>
        <w:rPr>
          <w:rFonts w:eastAsia="黑体" w:hint="eastAsia"/>
          <w:bCs/>
          <w:sz w:val="36"/>
          <w:szCs w:val="36"/>
        </w:rPr>
        <w:t>说明书</w:t>
      </w:r>
    </w:p>
    <w:p w:rsidR="007A237D" w:rsidRDefault="007A237D">
      <w:pPr>
        <w:pStyle w:val="a4"/>
        <w:widowControl/>
        <w:spacing w:line="240" w:lineRule="auto"/>
        <w:ind w:firstLine="0"/>
        <w:jc w:val="center"/>
        <w:rPr>
          <w:rFonts w:eastAsia="黑体"/>
          <w:bCs/>
          <w:sz w:val="36"/>
          <w:szCs w:val="36"/>
        </w:rPr>
      </w:pPr>
    </w:p>
    <w:tbl>
      <w:tblPr>
        <w:tblW w:w="856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69"/>
      </w:tblGrid>
      <w:tr w:rsidR="007A237D">
        <w:trPr>
          <w:trHeight w:val="6140"/>
          <w:jc w:val="center"/>
        </w:trPr>
        <w:tc>
          <w:tcPr>
            <w:tcW w:w="8569" w:type="dxa"/>
            <w:tcBorders>
              <w:top w:val="single" w:sz="4" w:space="0" w:color="auto"/>
              <w:left w:val="single" w:sz="4" w:space="0" w:color="auto"/>
              <w:right w:val="single" w:sz="4" w:space="0" w:color="auto"/>
            </w:tcBorders>
            <w:vAlign w:val="center"/>
          </w:tcPr>
          <w:p w:rsidR="007A237D" w:rsidRDefault="00B25021">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7A237D" w:rsidRDefault="00B25021">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7A237D" w:rsidRDefault="00B25021">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7A237D" w:rsidRDefault="00B25021">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w:t>
            </w:r>
            <w:r>
              <w:rPr>
                <w:rFonts w:ascii="黑体" w:eastAsia="黑体" w:hAnsi="黑体" w:hint="eastAsia"/>
                <w:b/>
                <w:sz w:val="28"/>
                <w:szCs w:val="28"/>
                <w:u w:val="single"/>
              </w:rPr>
              <w:t>华夏理财有限责任公司官方网站（www.hxwm.com.cn）、</w:t>
            </w:r>
            <w:r>
              <w:rPr>
                <w:rFonts w:ascii="黑体" w:eastAsia="黑体" w:hAnsi="黑体"/>
                <w:b/>
                <w:sz w:val="28"/>
                <w:szCs w:val="28"/>
                <w:u w:val="single"/>
              </w:rPr>
              <w:t>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0" w:name="_Hlk76301410"/>
            <w:r>
              <w:rPr>
                <w:rFonts w:ascii="黑体" w:eastAsia="黑体" w:hAnsi="黑体" w:hint="eastAsia"/>
                <w:b/>
                <w:sz w:val="28"/>
                <w:szCs w:val="28"/>
                <w:u w:val="single"/>
              </w:rPr>
              <w:t>华夏银行客户服务热线95577或其他代理销售机构客户服务热线</w:t>
            </w:r>
            <w:bookmarkEnd w:id="0"/>
            <w:r>
              <w:rPr>
                <w:rFonts w:ascii="黑体" w:eastAsia="黑体" w:hAnsi="黑体" w:hint="eastAsia"/>
                <w:b/>
                <w:sz w:val="28"/>
                <w:szCs w:val="28"/>
                <w:u w:val="single"/>
              </w:rPr>
              <w:t>。</w:t>
            </w:r>
          </w:p>
        </w:tc>
      </w:tr>
    </w:tbl>
    <w:p w:rsidR="007A237D" w:rsidRDefault="00B25021">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7A237D" w:rsidRDefault="00B2502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30"/>
        <w:gridCol w:w="7404"/>
      </w:tblGrid>
      <w:tr w:rsidR="007A237D">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w:t>
            </w:r>
            <w:proofErr w:type="gramStart"/>
            <w:r>
              <w:rPr>
                <w:rFonts w:ascii="仿宋" w:eastAsia="仿宋" w:hAnsi="仿宋" w:hint="eastAsia"/>
                <w:b/>
                <w:bCs/>
                <w:szCs w:val="21"/>
              </w:rPr>
              <w:t>理财跃盈封闭式</w:t>
            </w:r>
            <w:proofErr w:type="gramEnd"/>
            <w:r>
              <w:rPr>
                <w:rFonts w:ascii="仿宋" w:eastAsia="仿宋" w:hAnsi="仿宋" w:hint="eastAsia"/>
                <w:b/>
                <w:bCs/>
                <w:szCs w:val="21"/>
              </w:rPr>
              <w:t>理财产品</w:t>
            </w:r>
            <w:r w:rsidRPr="00B25021">
              <w:rPr>
                <w:rFonts w:ascii="仿宋" w:eastAsia="仿宋" w:hAnsi="仿宋" w:hint="eastAsia"/>
                <w:b/>
                <w:bCs/>
                <w:szCs w:val="21"/>
              </w:rPr>
              <w:t>11号</w:t>
            </w:r>
          </w:p>
          <w:p w:rsidR="007A237D" w:rsidRDefault="00B25021">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产品简称“华夏理财跃盈</w:t>
            </w:r>
            <w:r w:rsidRPr="00B25021">
              <w:rPr>
                <w:rFonts w:ascii="仿宋" w:eastAsia="仿宋" w:hAnsi="仿宋" w:hint="eastAsia"/>
                <w:b/>
                <w:bCs/>
                <w:szCs w:val="21"/>
              </w:rPr>
              <w:t>11号190天</w:t>
            </w:r>
            <w:r>
              <w:rPr>
                <w:rFonts w:ascii="仿宋" w:eastAsia="仿宋" w:hAnsi="仿宋" w:hint="eastAsia"/>
                <w:b/>
                <w:bCs/>
                <w:szCs w:val="21"/>
              </w:rPr>
              <w:t>（中证1000鲨鱼鳍）”</w:t>
            </w:r>
          </w:p>
        </w:tc>
      </w:tr>
      <w:tr w:rsidR="007A237D">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sidRPr="00B25021">
              <w:rPr>
                <w:rFonts w:ascii="仿宋" w:eastAsia="仿宋" w:hAnsi="仿宋"/>
                <w:bCs/>
                <w:szCs w:val="21"/>
              </w:rPr>
              <w:t>23141011</w:t>
            </w:r>
          </w:p>
        </w:tc>
      </w:tr>
      <w:tr w:rsidR="007A237D">
        <w:trPr>
          <w:jc w:val="center"/>
        </w:trPr>
        <w:tc>
          <w:tcPr>
            <w:tcW w:w="1730" w:type="dxa"/>
            <w:tcBorders>
              <w:left w:val="single" w:sz="4" w:space="0" w:color="auto"/>
              <w:bottom w:val="single" w:sz="4" w:space="0" w:color="auto"/>
              <w:right w:val="single" w:sz="4" w:space="0" w:color="auto"/>
            </w:tcBorders>
            <w:vAlign w:val="center"/>
          </w:tcPr>
          <w:p w:rsidR="007A237D" w:rsidRDefault="00B25021">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keepNext/>
              <w:adjustRightInd w:val="0"/>
              <w:snapToGrid w:val="0"/>
              <w:spacing w:line="300" w:lineRule="exact"/>
              <w:jc w:val="center"/>
              <w:rPr>
                <w:rFonts w:ascii="仿宋" w:eastAsia="仿宋" w:hAnsi="仿宋"/>
                <w:bCs/>
                <w:szCs w:val="21"/>
              </w:rPr>
            </w:pPr>
            <w:r w:rsidRPr="00B25021">
              <w:rPr>
                <w:rFonts w:ascii="仿宋" w:eastAsia="仿宋" w:hAnsi="仿宋"/>
                <w:bCs/>
                <w:szCs w:val="21"/>
              </w:rPr>
              <w:t>Z7003923000122</w:t>
            </w:r>
          </w:p>
          <w:p w:rsidR="007A237D" w:rsidRDefault="00B25021">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投资者可以依据该登记编码在中国理财网（www.chinawealth.com.cn）查询产品信息</w:t>
            </w:r>
          </w:p>
        </w:tc>
      </w:tr>
      <w:tr w:rsidR="007A237D">
        <w:trPr>
          <w:jc w:val="center"/>
        </w:trPr>
        <w:tc>
          <w:tcPr>
            <w:tcW w:w="1730" w:type="dxa"/>
            <w:tcBorders>
              <w:left w:val="single" w:sz="4" w:space="0" w:color="auto"/>
              <w:bottom w:val="single" w:sz="4" w:space="0" w:color="auto"/>
              <w:right w:val="single" w:sz="4" w:space="0" w:color="auto"/>
            </w:tcBorders>
            <w:vAlign w:val="center"/>
          </w:tcPr>
          <w:p w:rsidR="007A237D" w:rsidRDefault="00B25021">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7A237D" w:rsidRDefault="00B25021">
            <w:pPr>
              <w:adjustRightInd w:val="0"/>
              <w:snapToGrid w:val="0"/>
              <w:spacing w:line="240" w:lineRule="atLeast"/>
              <w:jc w:val="center"/>
              <w:rPr>
                <w:rFonts w:ascii="仿宋" w:eastAsia="仿宋" w:hAnsi="仿宋"/>
                <w:bCs/>
                <w:szCs w:val="21"/>
              </w:rP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240" w:lineRule="atLeast"/>
              <w:jc w:val="center"/>
              <w:rPr>
                <w:rFonts w:ascii="仿宋" w:eastAsia="仿宋" w:hAnsi="仿宋"/>
                <w:bCs/>
                <w:szCs w:val="21"/>
              </w:rPr>
            </w:pPr>
            <w:r>
              <w:rPr>
                <w:rFonts w:ascii="仿宋" w:eastAsia="仿宋" w:hAnsi="仿宋" w:hint="eastAsia"/>
                <w:bCs/>
                <w:szCs w:val="21"/>
              </w:rPr>
              <w:t>华夏理财</w:t>
            </w:r>
          </w:p>
        </w:tc>
      </w:tr>
      <w:tr w:rsidR="007A237D">
        <w:trPr>
          <w:jc w:val="center"/>
        </w:trPr>
        <w:tc>
          <w:tcPr>
            <w:tcW w:w="1730" w:type="dxa"/>
            <w:tcBorders>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hint="eastAsia"/>
                <w:bCs/>
                <w:szCs w:val="21"/>
              </w:rPr>
              <w:t>公募</w:t>
            </w:r>
          </w:p>
        </w:tc>
      </w:tr>
      <w:tr w:rsidR="007A237D">
        <w:trPr>
          <w:jc w:val="center"/>
        </w:trPr>
        <w:tc>
          <w:tcPr>
            <w:tcW w:w="1730" w:type="dxa"/>
            <w:tcBorders>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封闭式净值型</w:t>
            </w:r>
          </w:p>
        </w:tc>
      </w:tr>
      <w:tr w:rsidR="007A237D">
        <w:trPr>
          <w:jc w:val="center"/>
        </w:trPr>
        <w:tc>
          <w:tcPr>
            <w:tcW w:w="1730" w:type="dxa"/>
            <w:tcBorders>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固定收益类</w:t>
            </w:r>
          </w:p>
        </w:tc>
      </w:tr>
      <w:tr w:rsidR="007A237D">
        <w:trPr>
          <w:jc w:val="center"/>
        </w:trPr>
        <w:tc>
          <w:tcPr>
            <w:tcW w:w="1730" w:type="dxa"/>
            <w:tcBorders>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bCs/>
                <w:szCs w:val="21"/>
              </w:rPr>
              <w:t>非保本浮动收益</w:t>
            </w:r>
          </w:p>
        </w:tc>
      </w:tr>
      <w:tr w:rsidR="007A237D">
        <w:trPr>
          <w:jc w:val="center"/>
        </w:trPr>
        <w:tc>
          <w:tcPr>
            <w:tcW w:w="1730" w:type="dxa"/>
            <w:tcBorders>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hint="eastAsia"/>
                <w:bCs/>
                <w:szCs w:val="21"/>
              </w:rPr>
              <w:t>人民币</w:t>
            </w:r>
          </w:p>
        </w:tc>
      </w:tr>
      <w:tr w:rsidR="007A237D">
        <w:trPr>
          <w:jc w:val="center"/>
        </w:trPr>
        <w:tc>
          <w:tcPr>
            <w:tcW w:w="1730" w:type="dxa"/>
            <w:tcBorders>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PR2级（中低风险）</w:t>
            </w:r>
            <w:r>
              <w:rPr>
                <w:rFonts w:ascii="仿宋" w:eastAsia="仿宋" w:hAnsi="仿宋"/>
                <w:bCs/>
                <w:szCs w:val="21"/>
                <w:u w:val="single"/>
              </w:rPr>
              <w:t xml:space="preserve"> </w:t>
            </w:r>
            <w:r>
              <w:rPr>
                <w:rFonts w:ascii="仿宋" w:eastAsia="仿宋" w:hAnsi="仿宋"/>
                <w:bCs/>
                <w:szCs w:val="21"/>
              </w:rPr>
              <w:t>理财产品。</w:t>
            </w:r>
          </w:p>
          <w:p w:rsidR="007A237D" w:rsidRDefault="00B2502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7A237D" w:rsidRDefault="00B2502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本理财产品风险评级为华夏理财自主评定，仅供参考。</w:t>
            </w:r>
          </w:p>
        </w:tc>
      </w:tr>
      <w:tr w:rsidR="007A237D">
        <w:trPr>
          <w:jc w:val="center"/>
        </w:trPr>
        <w:tc>
          <w:tcPr>
            <w:tcW w:w="1730" w:type="dxa"/>
            <w:tcBorders>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ind w:firstLineChars="200" w:firstLine="420"/>
              <w:rPr>
                <w:rFonts w:ascii="仿宋" w:eastAsia="仿宋" w:hAnsi="仿宋"/>
                <w:b/>
                <w:bCs/>
                <w:szCs w:val="21"/>
              </w:rPr>
            </w:pPr>
            <w:r>
              <w:rPr>
                <w:rFonts w:ascii="仿宋" w:eastAsia="仿宋" w:hAnsi="仿宋" w:hint="eastAsia"/>
                <w:bCs/>
                <w:szCs w:val="21"/>
              </w:rPr>
              <w:t>本理财产品通过代理销售机构（以下简称“代销机构”）渠道销售的，理财产品评级应当以</w:t>
            </w:r>
            <w:bookmarkStart w:id="1" w:name="_Hlk76302700"/>
            <w:r>
              <w:rPr>
                <w:rFonts w:ascii="仿宋" w:eastAsia="仿宋" w:hAnsi="仿宋" w:hint="eastAsia"/>
                <w:bCs/>
                <w:szCs w:val="21"/>
              </w:rPr>
              <w:t>代销机构最终披露的评级结果</w:t>
            </w:r>
            <w:bookmarkEnd w:id="1"/>
            <w:r>
              <w:rPr>
                <w:rFonts w:ascii="仿宋" w:eastAsia="仿宋" w:hAnsi="仿宋" w:hint="eastAsia"/>
                <w:bCs/>
                <w:szCs w:val="21"/>
              </w:rPr>
              <w:t>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7A237D">
        <w:trPr>
          <w:jc w:val="center"/>
        </w:trPr>
        <w:tc>
          <w:tcPr>
            <w:tcW w:w="1730" w:type="dxa"/>
            <w:tcBorders>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7A237D">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bCs/>
                <w:szCs w:val="21"/>
                <w:u w:val="single"/>
              </w:rPr>
              <w:t xml:space="preserve"> </w:t>
            </w:r>
            <w:r>
              <w:rPr>
                <w:rFonts w:ascii="仿宋" w:eastAsia="仿宋" w:hAnsi="仿宋" w:hint="eastAsia"/>
                <w:bCs/>
                <w:szCs w:val="21"/>
                <w:u w:val="single"/>
              </w:rPr>
              <w:t>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7A237D" w:rsidRDefault="00B2502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7A237D" w:rsidRDefault="00B2502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7A237D" w:rsidRDefault="00B2502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华夏理财/代销机构根据</w:t>
            </w:r>
            <w:proofErr w:type="gramStart"/>
            <w:r>
              <w:rPr>
                <w:rFonts w:ascii="仿宋" w:eastAsia="仿宋" w:hAnsi="仿宋" w:hint="eastAsia"/>
                <w:b/>
                <w:bCs/>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7A237D">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hint="eastAsia"/>
                <w:bCs/>
                <w:szCs w:val="21"/>
              </w:rPr>
              <w:t>若观察日产品关联指数发生敲出事件，</w:t>
            </w:r>
            <w:proofErr w:type="gramStart"/>
            <w:r>
              <w:rPr>
                <w:rFonts w:ascii="仿宋" w:eastAsia="仿宋" w:hAnsi="仿宋" w:cs="Cambria" w:hint="eastAsia"/>
                <w:bCs/>
                <w:szCs w:val="21"/>
              </w:rPr>
              <w:t>则业绩</w:t>
            </w:r>
            <w:proofErr w:type="gramEnd"/>
            <w:r>
              <w:rPr>
                <w:rFonts w:ascii="仿宋" w:eastAsia="仿宋" w:hAnsi="仿宋" w:cs="Cambria" w:hint="eastAsia"/>
                <w:bCs/>
                <w:szCs w:val="21"/>
              </w:rPr>
              <w:t>比较基准（年化）为</w:t>
            </w:r>
            <w:r>
              <w:rPr>
                <w:rFonts w:ascii="仿宋" w:eastAsia="仿宋" w:hAnsi="仿宋" w:cs="Cambria"/>
                <w:bCs/>
                <w:szCs w:val="21"/>
              </w:rPr>
              <w:t>4.20%</w:t>
            </w:r>
            <w:r>
              <w:rPr>
                <w:rFonts w:ascii="仿宋" w:eastAsia="仿宋" w:hAnsi="仿宋" w:cs="Cambria" w:hint="eastAsia"/>
                <w:bCs/>
                <w:szCs w:val="21"/>
              </w:rPr>
              <w:t>；若观察日产品关联指数未发生敲出事件，则产品业绩比较基准（年化）为1.50%-</w:t>
            </w:r>
            <w:r>
              <w:rPr>
                <w:rFonts w:ascii="仿宋" w:eastAsia="仿宋" w:hAnsi="仿宋" w:cs="Cambria"/>
                <w:bCs/>
                <w:szCs w:val="21"/>
              </w:rPr>
              <w:t>5.50%</w:t>
            </w:r>
            <w:r>
              <w:rPr>
                <w:rFonts w:ascii="仿宋" w:eastAsia="仿宋" w:hAnsi="仿宋" w:cs="Cambria" w:hint="eastAsia"/>
                <w:bCs/>
                <w:szCs w:val="21"/>
              </w:rPr>
              <w:t>。以产品债券类资产</w:t>
            </w:r>
            <w:proofErr w:type="gramStart"/>
            <w:r>
              <w:rPr>
                <w:rFonts w:ascii="仿宋" w:eastAsia="仿宋" w:hAnsi="仿宋" w:cs="Cambria" w:hint="eastAsia"/>
                <w:bCs/>
                <w:szCs w:val="21"/>
              </w:rPr>
              <w:t>仓位</w:t>
            </w:r>
            <w:proofErr w:type="gramEnd"/>
            <w:r>
              <w:rPr>
                <w:rFonts w:ascii="仿宋" w:eastAsia="仿宋" w:hAnsi="仿宋" w:cs="Cambria" w:hint="eastAsia"/>
                <w:bCs/>
                <w:szCs w:val="21"/>
              </w:rPr>
              <w:t>60%-70%，收益凭证等非标债权类资产</w:t>
            </w:r>
            <w:proofErr w:type="gramStart"/>
            <w:r>
              <w:rPr>
                <w:rFonts w:ascii="仿宋" w:eastAsia="仿宋" w:hAnsi="仿宋" w:cs="Cambria" w:hint="eastAsia"/>
                <w:bCs/>
                <w:szCs w:val="21"/>
              </w:rPr>
              <w:t>仓位</w:t>
            </w:r>
            <w:proofErr w:type="gramEnd"/>
            <w:r>
              <w:rPr>
                <w:rFonts w:ascii="仿宋" w:eastAsia="仿宋" w:hAnsi="仿宋" w:cs="Cambria" w:hint="eastAsia"/>
                <w:bCs/>
                <w:szCs w:val="21"/>
              </w:rPr>
              <w:t>30%-40%为例，</w:t>
            </w:r>
            <w:proofErr w:type="gramStart"/>
            <w:r>
              <w:rPr>
                <w:rFonts w:ascii="仿宋" w:eastAsia="仿宋" w:hAnsi="仿宋" w:cs="Cambria" w:hint="eastAsia"/>
                <w:bCs/>
                <w:szCs w:val="21"/>
              </w:rPr>
              <w:t>参考久期匹配</w:t>
            </w:r>
            <w:proofErr w:type="gramEnd"/>
            <w:r>
              <w:rPr>
                <w:rFonts w:ascii="仿宋" w:eastAsia="仿宋" w:hAnsi="仿宋" w:cs="Cambria" w:hint="eastAsia"/>
                <w:bCs/>
                <w:szCs w:val="21"/>
              </w:rPr>
              <w:t>的目标债券到期收益率、收益凭证的收益结构，结合产品投资策略并扣除各项费用后，综合测算得出上述业绩比较基准。测算示例仅供参考，具体资产投资比例可根据各类资产的收益水平、流动性特征、信用风险等因素动态调整。</w:t>
            </w:r>
          </w:p>
          <w:p w:rsidR="007A237D" w:rsidRDefault="00B25021">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7A237D" w:rsidRDefault="00B25021">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华夏理财有权根据市场情况及产品运作情况调整业绩比较基准，并至少于新业绩比较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p>
          <w:p w:rsidR="007A237D" w:rsidRDefault="00B25021">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7A237D" w:rsidRDefault="00B25021">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7A237D" w:rsidRDefault="00B2502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3.理财产品过往业绩不代表其未来表现，不等于理财产品实际收益，投资须谨慎。</w:t>
            </w:r>
          </w:p>
        </w:tc>
      </w:tr>
      <w:tr w:rsidR="007A237D">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bookmarkStart w:id="2" w:name="OLE_LINK3" w:colFirst="1" w:colLast="1"/>
            <w:bookmarkStart w:id="3" w:name="_Hlk290294163"/>
            <w:bookmarkStart w:id="4" w:name="OLE_LINK2" w:colFirst="1" w:colLast="1"/>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ind w:firstLineChars="200" w:firstLine="420"/>
              <w:rPr>
                <w:rFonts w:ascii="仿宋" w:eastAsia="仿宋" w:hAnsi="仿宋"/>
                <w:bCs/>
                <w:szCs w:val="21"/>
              </w:rPr>
            </w:pPr>
            <w:r w:rsidRPr="00B25021">
              <w:rPr>
                <w:rFonts w:ascii="仿宋" w:eastAsia="仿宋" w:hAnsi="仿宋" w:hint="eastAsia"/>
                <w:bCs/>
                <w:szCs w:val="21"/>
              </w:rPr>
              <w:t>2023年4月19日</w:t>
            </w:r>
            <w:r>
              <w:rPr>
                <w:rFonts w:ascii="仿宋" w:eastAsia="仿宋" w:hAnsi="仿宋"/>
                <w:bCs/>
                <w:szCs w:val="21"/>
              </w:rPr>
              <w:t>－</w:t>
            </w:r>
            <w:r w:rsidRPr="00B25021">
              <w:rPr>
                <w:rFonts w:ascii="仿宋" w:eastAsia="仿宋" w:hAnsi="仿宋" w:hint="eastAsia"/>
                <w:bCs/>
                <w:szCs w:val="21"/>
              </w:rPr>
              <w:t>2023年4月24日</w:t>
            </w:r>
            <w:r>
              <w:rPr>
                <w:rFonts w:ascii="仿宋" w:eastAsia="仿宋" w:hAnsi="仿宋"/>
                <w:bCs/>
                <w:szCs w:val="21"/>
              </w:rPr>
              <w:t>（含）</w:t>
            </w:r>
            <w:r>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eastAsia="仿宋" w:hAnsi="仿宋"/>
                <w:bCs/>
                <w:szCs w:val="21"/>
              </w:rPr>
              <w:t>）</w:t>
            </w:r>
          </w:p>
        </w:tc>
      </w:tr>
      <w:bookmarkEnd w:id="2"/>
      <w:bookmarkEnd w:id="3"/>
      <w:bookmarkEnd w:id="4"/>
      <w:tr w:rsidR="007A237D">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ind w:firstLineChars="200" w:firstLine="420"/>
              <w:rPr>
                <w:rFonts w:ascii="仿宋" w:eastAsia="仿宋" w:hAnsi="仿宋"/>
                <w:bCs/>
                <w:szCs w:val="21"/>
              </w:rPr>
            </w:pPr>
            <w:r w:rsidRPr="00B25021">
              <w:rPr>
                <w:rFonts w:ascii="仿宋" w:eastAsia="仿宋" w:hAnsi="仿宋" w:hint="eastAsia"/>
                <w:bCs/>
                <w:szCs w:val="21"/>
              </w:rPr>
              <w:t>2023年4月25日</w:t>
            </w:r>
          </w:p>
        </w:tc>
      </w:tr>
      <w:tr w:rsidR="007A237D">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ind w:firstLineChars="200" w:firstLine="420"/>
              <w:rPr>
                <w:rFonts w:ascii="仿宋" w:eastAsia="仿宋" w:hAnsi="仿宋"/>
                <w:bCs/>
                <w:szCs w:val="21"/>
              </w:rPr>
            </w:pPr>
            <w:r w:rsidRPr="00B25021">
              <w:rPr>
                <w:rFonts w:ascii="仿宋" w:eastAsia="仿宋" w:hAnsi="仿宋"/>
                <w:bCs/>
                <w:szCs w:val="21"/>
              </w:rPr>
              <w:t>190</w:t>
            </w:r>
            <w:r>
              <w:rPr>
                <w:rFonts w:ascii="仿宋" w:eastAsia="仿宋" w:hAnsi="仿宋" w:hint="eastAsia"/>
                <w:bCs/>
                <w:szCs w:val="21"/>
              </w:rPr>
              <w:t>天</w:t>
            </w:r>
          </w:p>
        </w:tc>
      </w:tr>
      <w:tr w:rsidR="007A237D">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ind w:firstLineChars="200" w:firstLine="420"/>
              <w:rPr>
                <w:rFonts w:ascii="仿宋" w:eastAsia="仿宋" w:hAnsi="仿宋"/>
                <w:bCs/>
                <w:szCs w:val="21"/>
              </w:rPr>
            </w:pPr>
            <w:r w:rsidRPr="00B25021">
              <w:rPr>
                <w:rFonts w:ascii="仿宋" w:eastAsia="仿宋" w:hAnsi="仿宋" w:hint="eastAsia"/>
                <w:bCs/>
                <w:szCs w:val="21"/>
              </w:rPr>
              <w:t>2023年11月1日</w:t>
            </w:r>
            <w:r>
              <w:rPr>
                <w:rFonts w:ascii="仿宋" w:eastAsia="仿宋" w:hAnsi="仿宋" w:hint="eastAsia"/>
                <w:bCs/>
                <w:szCs w:val="21"/>
              </w:rPr>
              <w:t>理财产品正常到期，到期日如为非工作日，则顺延至下一工作日。如理财产品因故提前或延迟到期的，则终止日以华夏理财发布的公告为准。</w:t>
            </w:r>
          </w:p>
        </w:tc>
      </w:tr>
      <w:tr w:rsidR="007A237D">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A237D" w:rsidRDefault="00B25021">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keepNext/>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7A237D" w:rsidRDefault="00B25021">
            <w:pPr>
              <w:keepNext/>
              <w:adjustRightInd w:val="0"/>
              <w:snapToGrid w:val="0"/>
              <w:spacing w:line="300" w:lineRule="exact"/>
              <w:ind w:firstLineChars="200" w:firstLine="422"/>
              <w:rPr>
                <w:rFonts w:ascii="仿宋" w:eastAsia="仿宋" w:hAnsi="仿宋"/>
                <w:bCs/>
                <w:szCs w:val="21"/>
              </w:rPr>
            </w:pPr>
            <w:r>
              <w:rPr>
                <w:rFonts w:ascii="仿宋" w:eastAsia="仿宋" w:hAnsi="仿宋" w:hint="eastAsia"/>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7A237D">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7A237D" w:rsidRDefault="00B2502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7A237D">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hint="eastAsia"/>
                <w:bCs/>
                <w:szCs w:val="21"/>
              </w:rPr>
              <w:t>面向全国发行</w:t>
            </w:r>
          </w:p>
        </w:tc>
      </w:tr>
      <w:tr w:rsidR="007A237D">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本产品</w:t>
            </w:r>
            <w:r>
              <w:rPr>
                <w:rFonts w:ascii="仿宋" w:eastAsia="仿宋" w:hAnsi="仿宋"/>
                <w:bCs/>
                <w:szCs w:val="21"/>
              </w:rPr>
              <w:t>计划发行规模上限为</w:t>
            </w:r>
            <w:r w:rsidRPr="00B25021">
              <w:rPr>
                <w:rFonts w:ascii="仿宋" w:eastAsia="仿宋" w:hAnsi="仿宋" w:hint="eastAsia"/>
                <w:bCs/>
                <w:szCs w:val="21"/>
              </w:rPr>
              <w:t>2亿</w:t>
            </w:r>
            <w:r>
              <w:rPr>
                <w:rFonts w:ascii="仿宋" w:eastAsia="仿宋" w:hAnsi="仿宋" w:hint="eastAsia"/>
                <w:bCs/>
                <w:szCs w:val="21"/>
              </w:rPr>
              <w:t>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7A237D">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7A237D" w:rsidRDefault="00B2502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7A237D">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7A237D" w:rsidRDefault="00B25021">
            <w:pPr>
              <w:adjustRightInd w:val="0"/>
              <w:snapToGrid w:val="0"/>
              <w:spacing w:line="300" w:lineRule="exact"/>
              <w:ind w:firstLineChars="200" w:firstLine="420"/>
              <w:rPr>
                <w:rFonts w:ascii="仿宋" w:eastAsia="仿宋" w:hAnsi="仿宋"/>
              </w:rPr>
            </w:pPr>
            <w:r>
              <w:rPr>
                <w:rFonts w:ascii="仿宋" w:eastAsia="仿宋" w:hAnsi="仿宋" w:hint="eastAsia"/>
              </w:rPr>
              <w:t>如代销机构规定与本规则不一致的，则以各代销机构规定为准，但不得低于本起点金额。</w:t>
            </w:r>
          </w:p>
          <w:p w:rsidR="007A237D" w:rsidRDefault="00B25021">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具体详见“五、认购”。</w:t>
            </w:r>
          </w:p>
        </w:tc>
      </w:tr>
      <w:tr w:rsidR="007A237D">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7A237D" w:rsidRDefault="00B25021">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7A237D">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7A237D" w:rsidRDefault="00B25021">
            <w:pPr>
              <w:adjustRightInd w:val="0"/>
              <w:snapToGrid w:val="0"/>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如代销机构规定与本规则不一致，则以各代销机构规定为准，但不得低于本追加起点金额。</w:t>
            </w:r>
          </w:p>
        </w:tc>
      </w:tr>
      <w:tr w:rsidR="007A237D">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认购份额=认购金额/1元。</w:t>
            </w:r>
          </w:p>
        </w:tc>
      </w:tr>
      <w:tr w:rsidR="007A237D">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jc w:val="center"/>
              <w:rPr>
                <w:rFonts w:ascii="仿宋" w:eastAsia="仿宋" w:hAnsi="仿宋"/>
                <w:bCs/>
                <w:szCs w:val="21"/>
              </w:rP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7A237D" w:rsidRDefault="00B25021">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华夏理财认为接受大额认购申请可能会影响或损害理财产品投资者权益时，有权拒绝或暂停该认购申请。</w:t>
            </w:r>
          </w:p>
          <w:p w:rsidR="007A237D" w:rsidRDefault="00B25021">
            <w:pPr>
              <w:tabs>
                <w:tab w:val="left" w:pos="720"/>
              </w:tabs>
              <w:autoSpaceDE w:val="0"/>
              <w:autoSpaceDN w:val="0"/>
              <w:adjustRightInd w:val="0"/>
              <w:snapToGrid w:val="0"/>
              <w:spacing w:line="240" w:lineRule="atLeast"/>
              <w:ind w:right="18" w:firstLineChars="200" w:firstLine="420"/>
              <w:rPr>
                <w:rFonts w:ascii="仿宋" w:eastAsia="仿宋" w:hAnsi="仿宋"/>
                <w:b/>
                <w:bCs/>
                <w:szCs w:val="21"/>
              </w:rPr>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 xml:space="preserve">华夏理财将于 3 </w:t>
            </w:r>
            <w:proofErr w:type="gramStart"/>
            <w:r>
              <w:rPr>
                <w:rFonts w:ascii="仿宋" w:eastAsia="仿宋" w:hAnsi="仿宋" w:hint="eastAsia"/>
                <w:bCs/>
                <w:szCs w:val="21"/>
              </w:rPr>
              <w:t>个</w:t>
            </w:r>
            <w:proofErr w:type="gramEnd"/>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7A237D">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7A237D" w:rsidRDefault="00B2502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7A237D" w:rsidRDefault="00B2502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7A237D" w:rsidRDefault="00B2502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w:t>
            </w:r>
            <w:r>
              <w:rPr>
                <w:rFonts w:ascii="仿宋" w:eastAsia="仿宋" w:hAnsi="仿宋" w:hint="eastAsia"/>
                <w:bCs/>
                <w:szCs w:val="21"/>
              </w:rPr>
              <w:lastRenderedPageBreak/>
              <w:t>销。</w:t>
            </w:r>
          </w:p>
          <w:p w:rsidR="007A237D" w:rsidRDefault="00B2502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7A237D" w:rsidRDefault="00B2502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通过代销机构认购的，撤销规定以代销机构规定为准。</w:t>
            </w:r>
          </w:p>
        </w:tc>
      </w:tr>
      <w:tr w:rsidR="007A237D">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7A237D">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
                <w:szCs w:val="21"/>
              </w:rPr>
            </w:pPr>
            <w:r>
              <w:rPr>
                <w:rFonts w:ascii="仿宋" w:eastAsia="仿宋" w:hAnsi="仿宋" w:hint="eastAsia"/>
                <w:b/>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ind w:firstLine="420"/>
              <w:rPr>
                <w:rFonts w:ascii="仿宋" w:eastAsia="仿宋" w:hAnsi="仿宋"/>
                <w:b/>
                <w:szCs w:val="21"/>
              </w:rPr>
            </w:pPr>
            <w:r>
              <w:rPr>
                <w:rFonts w:ascii="仿宋" w:eastAsia="仿宋" w:hAnsi="仿宋" w:hint="eastAsia"/>
                <w:b/>
                <w:szCs w:val="21"/>
              </w:rPr>
              <w:t>本理财产品不收取认购费。</w:t>
            </w:r>
          </w:p>
        </w:tc>
      </w:tr>
      <w:tr w:rsidR="007A237D">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240" w:lineRule="auto"/>
              <w:jc w:val="center"/>
              <w:rPr>
                <w:rFonts w:ascii="仿宋" w:eastAsia="仿宋" w:hAnsi="仿宋"/>
                <w:b/>
                <w:szCs w:val="21"/>
              </w:rPr>
            </w:pPr>
            <w:r>
              <w:rPr>
                <w:rFonts w:ascii="仿宋" w:eastAsia="仿宋" w:hAnsi="仿宋" w:hint="eastAsia"/>
                <w:b/>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0.03%/年，以前一日资产净值为基数，每日计提。</w:t>
            </w:r>
          </w:p>
          <w:p w:rsidR="007A237D" w:rsidRDefault="00B2502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7A237D" w:rsidRDefault="00B25021">
            <w:pPr>
              <w:adjustRightInd w:val="0"/>
              <w:snapToGrid w:val="0"/>
              <w:spacing w:line="240" w:lineRule="auto"/>
              <w:ind w:firstLine="420"/>
              <w:jc w:val="left"/>
              <w:rPr>
                <w:rFonts w:ascii="仿宋" w:eastAsia="仿宋" w:hAnsi="仿宋"/>
                <w:b/>
                <w:szCs w:val="21"/>
              </w:rPr>
            </w:pPr>
            <w:r>
              <w:rPr>
                <w:rFonts w:ascii="仿宋" w:eastAsia="仿宋" w:hAnsi="仿宋" w:hint="eastAsia"/>
                <w:b/>
                <w:szCs w:val="21"/>
              </w:rPr>
              <w:t>F=E×【0.03%】/当年天数。F为托管费；E为计算</w:t>
            </w:r>
            <w:r>
              <w:rPr>
                <w:rFonts w:ascii="仿宋" w:eastAsia="仿宋" w:hAnsi="仿宋"/>
                <w:b/>
                <w:szCs w:val="21"/>
              </w:rPr>
              <w:t>基数</w:t>
            </w:r>
            <w:r>
              <w:rPr>
                <w:rFonts w:ascii="仿宋" w:eastAsia="仿宋" w:hAnsi="仿宋" w:hint="eastAsia"/>
                <w:b/>
                <w:szCs w:val="21"/>
              </w:rPr>
              <w:t>。</w:t>
            </w:r>
          </w:p>
        </w:tc>
      </w:tr>
      <w:tr w:rsidR="007A237D">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
                <w:szCs w:val="21"/>
              </w:rPr>
            </w:pPr>
            <w:r>
              <w:rPr>
                <w:rFonts w:ascii="仿宋" w:eastAsia="仿宋" w:hAnsi="仿宋" w:hint="eastAsia"/>
                <w:b/>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ind w:firstLineChars="200" w:firstLine="422"/>
              <w:jc w:val="left"/>
              <w:rPr>
                <w:rFonts w:ascii="仿宋" w:eastAsia="仿宋" w:hAnsi="仿宋"/>
                <w:b/>
                <w:szCs w:val="21"/>
              </w:rPr>
            </w:pP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Pr>
                <w:rFonts w:ascii="仿宋" w:eastAsia="仿宋" w:hAnsi="仿宋"/>
                <w:b/>
                <w:szCs w:val="21"/>
              </w:rPr>
              <w:t>0.20%</w:t>
            </w:r>
            <w:r>
              <w:rPr>
                <w:rFonts w:ascii="仿宋" w:eastAsia="仿宋" w:hAnsi="仿宋" w:hint="eastAsia"/>
                <w:b/>
                <w:szCs w:val="21"/>
              </w:rPr>
              <w:t>/年，以前一日资产净值为基数，每日计提。</w:t>
            </w:r>
          </w:p>
          <w:p w:rsidR="007A237D" w:rsidRDefault="00B2502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7A237D" w:rsidRDefault="00B2502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F=E×【</w:t>
            </w:r>
            <w:r>
              <w:rPr>
                <w:rFonts w:ascii="仿宋" w:eastAsia="仿宋" w:hAnsi="仿宋"/>
                <w:b/>
                <w:szCs w:val="21"/>
              </w:rPr>
              <w:t>0.20%</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。F为销售</w:t>
            </w:r>
            <w:r>
              <w:rPr>
                <w:rFonts w:ascii="仿宋" w:eastAsia="仿宋" w:hAnsi="仿宋"/>
                <w:b/>
                <w:szCs w:val="21"/>
              </w:rPr>
              <w:t>手续费</w:t>
            </w:r>
            <w:r>
              <w:rPr>
                <w:rFonts w:ascii="仿宋" w:eastAsia="仿宋" w:hAnsi="仿宋" w:hint="eastAsia"/>
                <w:b/>
                <w:szCs w:val="21"/>
              </w:rPr>
              <w:t>；E为计算</w:t>
            </w:r>
            <w:r>
              <w:rPr>
                <w:rFonts w:ascii="仿宋" w:eastAsia="仿宋" w:hAnsi="仿宋"/>
                <w:b/>
                <w:szCs w:val="21"/>
              </w:rPr>
              <w:t>基数</w:t>
            </w:r>
            <w:r>
              <w:rPr>
                <w:rFonts w:ascii="仿宋" w:eastAsia="仿宋" w:hAnsi="仿宋" w:hint="eastAsia"/>
                <w:b/>
                <w:szCs w:val="21"/>
              </w:rPr>
              <w:t>。（销售手续费由销售服务机构收取。）</w:t>
            </w:r>
          </w:p>
        </w:tc>
      </w:tr>
      <w:tr w:rsidR="007A237D">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
                <w:szCs w:val="21"/>
              </w:rPr>
            </w:pPr>
            <w:r>
              <w:rPr>
                <w:rFonts w:ascii="仿宋" w:eastAsia="仿宋" w:hAnsi="仿宋" w:hint="eastAsia"/>
                <w:b/>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240" w:lineRule="atLeast"/>
              <w:ind w:firstLine="420"/>
              <w:jc w:val="left"/>
              <w:rPr>
                <w:rFonts w:ascii="仿宋" w:eastAsia="仿宋" w:hAnsi="仿宋"/>
                <w:b/>
                <w:szCs w:val="21"/>
              </w:rPr>
            </w:pPr>
            <w:r>
              <w:rPr>
                <w:rFonts w:ascii="仿宋" w:eastAsia="仿宋" w:hAnsi="仿宋"/>
                <w:b/>
                <w:szCs w:val="21"/>
              </w:rPr>
              <w:t>0.20%</w:t>
            </w:r>
            <w:r>
              <w:rPr>
                <w:rFonts w:ascii="仿宋" w:eastAsia="仿宋" w:hAnsi="仿宋" w:hint="eastAsia"/>
                <w:b/>
                <w:szCs w:val="21"/>
              </w:rPr>
              <w:t>/年，以前一日资产净值为基数，每日计提。</w:t>
            </w:r>
          </w:p>
          <w:p w:rsidR="007A237D" w:rsidRDefault="00B2502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7A237D" w:rsidRDefault="00B25021">
            <w:pPr>
              <w:adjustRightInd w:val="0"/>
              <w:snapToGrid w:val="0"/>
              <w:spacing w:line="300" w:lineRule="exact"/>
              <w:ind w:firstLine="420"/>
              <w:rPr>
                <w:rFonts w:ascii="仿宋" w:eastAsia="仿宋" w:hAnsi="仿宋"/>
                <w:b/>
                <w:szCs w:val="21"/>
              </w:rPr>
            </w:pPr>
            <w:r>
              <w:rPr>
                <w:rFonts w:ascii="仿宋" w:eastAsia="仿宋" w:hAnsi="仿宋" w:hint="eastAsia"/>
                <w:b/>
                <w:szCs w:val="21"/>
              </w:rPr>
              <w:t>F=E×【</w:t>
            </w:r>
            <w:r>
              <w:rPr>
                <w:rFonts w:ascii="仿宋" w:eastAsia="仿宋" w:hAnsi="仿宋"/>
                <w:b/>
                <w:szCs w:val="21"/>
              </w:rPr>
              <w:t>0.20%</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。F为固定管理费；E为计算</w:t>
            </w:r>
            <w:r>
              <w:rPr>
                <w:rFonts w:ascii="仿宋" w:eastAsia="仿宋" w:hAnsi="仿宋"/>
                <w:b/>
                <w:szCs w:val="21"/>
              </w:rPr>
              <w:t>基数</w:t>
            </w:r>
            <w:r>
              <w:rPr>
                <w:rFonts w:ascii="仿宋" w:eastAsia="仿宋" w:hAnsi="仿宋" w:hint="eastAsia"/>
                <w:b/>
                <w:szCs w:val="21"/>
              </w:rPr>
              <w:t>。</w:t>
            </w:r>
          </w:p>
        </w:tc>
      </w:tr>
      <w:tr w:rsidR="007A237D">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
                <w:szCs w:val="21"/>
              </w:rPr>
            </w:pPr>
            <w:r>
              <w:rPr>
                <w:rFonts w:ascii="仿宋" w:eastAsia="仿宋" w:hAnsi="仿宋" w:hint="eastAsia"/>
                <w:b/>
                <w:szCs w:val="21"/>
              </w:rPr>
              <w:t>超额</w:t>
            </w:r>
            <w:r>
              <w:rPr>
                <w:rFonts w:ascii="仿宋" w:eastAsia="仿宋" w:hAnsi="仿宋"/>
                <w:b/>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本产品扣除各项费用（包括销售手续费、托管费、固定管理费及其他费用等）后，</w:t>
            </w:r>
            <w:proofErr w:type="gramStart"/>
            <w:r>
              <w:rPr>
                <w:rFonts w:ascii="仿宋" w:eastAsia="仿宋" w:hAnsi="仿宋" w:cs="Cambria" w:hint="eastAsia"/>
                <w:b/>
                <w:bCs/>
                <w:szCs w:val="21"/>
              </w:rPr>
              <w:t>年化收益率</w:t>
            </w:r>
            <w:proofErr w:type="gramEnd"/>
            <w:r>
              <w:rPr>
                <w:rFonts w:ascii="仿宋" w:eastAsia="仿宋" w:hAnsi="仿宋" w:cs="Cambria" w:hint="eastAsia"/>
                <w:b/>
                <w:bCs/>
                <w:szCs w:val="21"/>
              </w:rPr>
              <w:t>低于或等于超额管理费计提基准，则管理人不收取超额管理费；超过超额管理费计提基准的部分，50%归投资人所有，其余作为管理人的超额管理费。</w:t>
            </w:r>
          </w:p>
          <w:p w:rsidR="007A237D" w:rsidRDefault="00B25021">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超额管理费计提基准为</w:t>
            </w:r>
            <w:r>
              <w:rPr>
                <w:rFonts w:ascii="仿宋" w:eastAsia="仿宋" w:hAnsi="仿宋" w:cs="Cambria"/>
                <w:b/>
                <w:bCs/>
                <w:szCs w:val="21"/>
              </w:rPr>
              <w:t>4.20%</w:t>
            </w:r>
            <w:r>
              <w:rPr>
                <w:rFonts w:ascii="仿宋" w:eastAsia="仿宋" w:hAnsi="仿宋" w:cs="Cambria" w:hint="eastAsia"/>
                <w:b/>
                <w:bCs/>
                <w:szCs w:val="21"/>
              </w:rPr>
              <w:t>（年化）。</w:t>
            </w:r>
          </w:p>
          <w:p w:rsidR="007A237D" w:rsidRDefault="00B25021">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本产品超额管理费的计算公式：</w:t>
            </w:r>
          </w:p>
          <w:p w:rsidR="007A237D" w:rsidRDefault="00B25021">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超额管理费=（</w:t>
            </w:r>
            <w:proofErr w:type="gramStart"/>
            <w:r>
              <w:rPr>
                <w:rFonts w:ascii="仿宋" w:eastAsia="仿宋" w:hAnsi="仿宋" w:cs="Cambria" w:hint="eastAsia"/>
                <w:b/>
                <w:bCs/>
                <w:szCs w:val="21"/>
              </w:rPr>
              <w:t>年化收益率</w:t>
            </w:r>
            <w:proofErr w:type="gramEnd"/>
            <w:r>
              <w:rPr>
                <w:rFonts w:ascii="仿宋" w:eastAsia="仿宋" w:hAnsi="仿宋" w:cs="Cambria" w:hint="eastAsia"/>
                <w:b/>
                <w:bCs/>
                <w:szCs w:val="21"/>
              </w:rPr>
              <w:t>-超额管理费计提基准）×当期持有天数÷365×50%×产品份额×1.0000</w:t>
            </w:r>
          </w:p>
          <w:p w:rsidR="007A237D" w:rsidRDefault="00B25021">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其中：</w:t>
            </w:r>
          </w:p>
          <w:p w:rsidR="007A237D" w:rsidRDefault="00B25021">
            <w:pPr>
              <w:adjustRightInd w:val="0"/>
              <w:snapToGrid w:val="0"/>
              <w:spacing w:line="300" w:lineRule="exact"/>
              <w:ind w:firstLine="420"/>
              <w:rPr>
                <w:rFonts w:ascii="仿宋" w:eastAsia="仿宋" w:hAnsi="仿宋" w:cs="Cambria"/>
                <w:b/>
                <w:bCs/>
                <w:szCs w:val="21"/>
              </w:rPr>
            </w:pPr>
            <w:proofErr w:type="gramStart"/>
            <w:r>
              <w:rPr>
                <w:rFonts w:ascii="仿宋" w:eastAsia="仿宋" w:hAnsi="仿宋" w:cs="Cambria" w:hint="eastAsia"/>
                <w:b/>
                <w:bCs/>
                <w:szCs w:val="21"/>
              </w:rPr>
              <w:t>年化收益率</w:t>
            </w:r>
            <w:proofErr w:type="gramEnd"/>
            <w:r>
              <w:rPr>
                <w:rFonts w:ascii="仿宋" w:eastAsia="仿宋" w:hAnsi="仿宋" w:cs="Cambria" w:hint="eastAsia"/>
                <w:b/>
                <w:bCs/>
                <w:szCs w:val="21"/>
              </w:rPr>
              <w:t>=（计提日累计单位净值-1.0000）÷1.0000×365÷当期持有天数。</w:t>
            </w:r>
          </w:p>
          <w:p w:rsidR="007A237D" w:rsidRDefault="00B25021">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“产品份额”为产品份额，若有红利再投时，将剔除红利再投产生份额的影响。</w:t>
            </w:r>
          </w:p>
          <w:p w:rsidR="007A237D" w:rsidRDefault="00B25021">
            <w:pPr>
              <w:adjustRightInd w:val="0"/>
              <w:snapToGrid w:val="0"/>
              <w:spacing w:line="300" w:lineRule="exact"/>
              <w:ind w:firstLine="420"/>
              <w:rPr>
                <w:rFonts w:ascii="仿宋" w:eastAsia="仿宋" w:hAnsi="仿宋" w:cs="Cambria"/>
                <w:b/>
                <w:szCs w:val="21"/>
              </w:rPr>
            </w:pPr>
            <w:r>
              <w:rPr>
                <w:rFonts w:ascii="仿宋" w:eastAsia="仿宋" w:hAnsi="仿宋" w:cs="Cambria" w:hint="eastAsia"/>
                <w:b/>
                <w:bCs/>
                <w:szCs w:val="21"/>
              </w:rPr>
              <w:t>投资周期内每个估值日计提超额管理费，仅</w:t>
            </w:r>
            <w:proofErr w:type="gramStart"/>
            <w:r>
              <w:rPr>
                <w:rFonts w:ascii="仿宋" w:eastAsia="仿宋" w:hAnsi="仿宋" w:cs="Cambria" w:hint="eastAsia"/>
                <w:b/>
                <w:bCs/>
                <w:szCs w:val="21"/>
              </w:rPr>
              <w:t>作为暂估数据</w:t>
            </w:r>
            <w:proofErr w:type="gramEnd"/>
            <w:r>
              <w:rPr>
                <w:rFonts w:ascii="仿宋" w:eastAsia="仿宋" w:hAnsi="仿宋" w:cs="Cambria" w:hint="eastAsia"/>
                <w:b/>
                <w:bCs/>
                <w:szCs w:val="21"/>
              </w:rPr>
              <w:t>，用于本产品会计核算和估值日估值。仅到期/终止日为本产品超额管理费实际计提和收取日。</w:t>
            </w:r>
          </w:p>
          <w:p w:rsidR="007A237D" w:rsidRDefault="00B25021">
            <w:pPr>
              <w:adjustRightInd w:val="0"/>
              <w:snapToGrid w:val="0"/>
              <w:spacing w:line="300" w:lineRule="exact"/>
              <w:ind w:firstLine="420"/>
              <w:rPr>
                <w:rFonts w:ascii="仿宋" w:eastAsia="仿宋" w:hAnsi="仿宋"/>
                <w:b/>
                <w:szCs w:val="21"/>
                <w:u w:val="single"/>
              </w:rPr>
            </w:pPr>
            <w:r>
              <w:rPr>
                <w:rFonts w:ascii="仿宋" w:eastAsia="仿宋" w:hAnsi="仿宋" w:hint="eastAsia"/>
                <w:b/>
                <w:szCs w:val="21"/>
              </w:rPr>
              <w:t>华夏理财有权根据市场及产品运作情况调整上述规则，并至少于生效前3个工作日通过本产品说明书约定的信息披露渠道进行公告。</w:t>
            </w:r>
          </w:p>
        </w:tc>
      </w:tr>
      <w:tr w:rsidR="007A237D">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
                <w:szCs w:val="21"/>
              </w:rPr>
            </w:pPr>
            <w:r>
              <w:rPr>
                <w:rFonts w:ascii="仿宋" w:eastAsia="仿宋" w:hAnsi="仿宋" w:hint="eastAsia"/>
                <w:b/>
                <w:szCs w:val="21"/>
              </w:rPr>
              <w:t>其他</w:t>
            </w:r>
            <w:r>
              <w:rPr>
                <w:rFonts w:ascii="仿宋" w:eastAsia="仿宋" w:hAnsi="仿宋"/>
                <w:b/>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ind w:firstLine="420"/>
              <w:jc w:val="left"/>
              <w:rPr>
                <w:rFonts w:ascii="仿宋" w:eastAsia="仿宋" w:hAnsi="仿宋"/>
                <w:b/>
                <w:szCs w:val="21"/>
              </w:rPr>
            </w:pPr>
            <w:r>
              <w:rPr>
                <w:rFonts w:ascii="仿宋" w:eastAsia="仿宋" w:hAnsi="仿宋" w:hint="eastAsia"/>
                <w:b/>
                <w:szCs w:val="21"/>
              </w:rPr>
              <w:t>理财资金运作期间以及追索理财资金可能产生的诉讼费、保全费、信托费、税费、审计费、律师费、公证费、清算费、执行费等，按其实际发生数额从理财资产中支取。</w:t>
            </w:r>
          </w:p>
        </w:tc>
      </w:tr>
      <w:tr w:rsidR="007A237D">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7A237D">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jc w:val="center"/>
              <w:rPr>
                <w:rFonts w:ascii="仿宋" w:eastAsia="仿宋" w:hAnsi="仿宋"/>
                <w:bCs/>
                <w:szCs w:val="21"/>
              </w:rP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7A237D" w:rsidRDefault="00B25021">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7A237D">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240" w:lineRule="auto"/>
              <w:jc w:val="center"/>
              <w:rPr>
                <w:rFonts w:ascii="仿宋" w:eastAsia="仿宋" w:hAnsi="仿宋"/>
                <w:bCs/>
                <w:szCs w:val="21"/>
              </w:rPr>
            </w:pPr>
            <w:r>
              <w:rPr>
                <w:rFonts w:ascii="仿宋" w:eastAsia="仿宋" w:hAnsi="仿宋" w:hint="eastAsia"/>
                <w:bCs/>
                <w:szCs w:val="21"/>
              </w:rPr>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240" w:lineRule="auto"/>
              <w:ind w:firstLineChars="200" w:firstLine="420"/>
              <w:jc w:val="left"/>
              <w:rPr>
                <w:rFonts w:ascii="仿宋" w:eastAsia="仿宋" w:hAnsi="仿宋" w:cs="宋体"/>
                <w:kern w:val="0"/>
                <w:szCs w:val="21"/>
              </w:rPr>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hint="eastAsia"/>
                <w:bCs/>
                <w:szCs w:val="21"/>
              </w:rPr>
              <w:t>。</w:t>
            </w:r>
          </w:p>
        </w:tc>
      </w:tr>
      <w:tr w:rsidR="007A237D">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7A237D" w:rsidRDefault="00B25021">
            <w:pPr>
              <w:adjustRightInd w:val="0"/>
              <w:snapToGrid w:val="0"/>
              <w:spacing w:line="300" w:lineRule="exact"/>
              <w:ind w:right="-44" w:firstLineChars="200" w:firstLine="420"/>
              <w:rPr>
                <w:rFonts w:ascii="仿宋" w:eastAsia="仿宋" w:hAnsi="仿宋"/>
                <w:bCs/>
                <w:szCs w:val="21"/>
              </w:rPr>
            </w:pPr>
            <w:r>
              <w:rPr>
                <w:rFonts w:ascii="仿宋" w:eastAsia="仿宋" w:hAnsi="仿宋" w:hint="eastAsia"/>
                <w:bCs/>
                <w:szCs w:val="21"/>
              </w:rPr>
              <w:lastRenderedPageBreak/>
              <w:t>指上海证券交易所和深圳证券交易所的交易日，且同时为银行对外办理一般对公业务的工作日。</w:t>
            </w:r>
          </w:p>
        </w:tc>
      </w:tr>
      <w:tr w:rsidR="007A237D">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bCs/>
                <w:szCs w:val="21"/>
              </w:rPr>
              <w:lastRenderedPageBreak/>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7A237D" w:rsidRDefault="00B25021">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7A237D" w:rsidRDefault="00B2502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7A237D" w:rsidRDefault="00B25021">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7A237D" w:rsidRDefault="00B2502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7A237D" w:rsidRDefault="00B2502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7A237D" w:rsidRDefault="00B2502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7A237D" w:rsidRDefault="00B2502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7A237D" w:rsidRDefault="00B2502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7A237D">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bCs/>
                <w:szCs w:val="21"/>
              </w:rP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7A237D" w:rsidRDefault="00B2502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7A237D">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300" w:lineRule="exact"/>
              <w:jc w:val="center"/>
              <w:rPr>
                <w:rFonts w:ascii="仿宋" w:eastAsia="仿宋" w:hAnsi="仿宋" w:cs="宋体"/>
                <w:kern w:val="0"/>
                <w:szCs w:val="21"/>
              </w:rP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7A237D" w:rsidRDefault="00B25021">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7A237D" w:rsidRDefault="00B25021">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7A237D" w:rsidRDefault="00B25021">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7A237D" w:rsidRDefault="00B25021">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7A237D" w:rsidRDefault="007A237D">
      <w:pPr>
        <w:pStyle w:val="Default"/>
        <w:snapToGrid w:val="0"/>
        <w:spacing w:afterLines="50" w:after="156" w:line="400" w:lineRule="exact"/>
        <w:ind w:firstLineChars="200" w:firstLine="482"/>
        <w:jc w:val="both"/>
        <w:rPr>
          <w:rFonts w:ascii="Times New Roman" w:eastAsia="黑体" w:cs="Times New Roman"/>
          <w:b/>
          <w:color w:val="auto"/>
        </w:rPr>
      </w:pPr>
    </w:p>
    <w:p w:rsidR="007A237D" w:rsidRDefault="00B25021">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二、</w:t>
      </w:r>
      <w:r>
        <w:rPr>
          <w:rFonts w:ascii="Times New Roman" w:eastAsia="黑体" w:cs="Times New Roman"/>
          <w:b/>
          <w:color w:val="auto"/>
        </w:rPr>
        <w:t>投资</w:t>
      </w:r>
      <w:r>
        <w:rPr>
          <w:rFonts w:ascii="Times New Roman" w:eastAsia="黑体" w:cs="Times New Roman" w:hint="eastAsia"/>
          <w:b/>
          <w:color w:val="auto"/>
        </w:rPr>
        <w:t>对象</w:t>
      </w:r>
    </w:p>
    <w:p w:rsidR="007A237D" w:rsidRDefault="00B2502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本理财产品将100%投资于固定收益类资产，主要投资于货币市场工具、标准化债权类资产、非标准化债权类资产等固定收益类资产。</w:t>
      </w:r>
    </w:p>
    <w:p w:rsidR="007A237D" w:rsidRDefault="00B2502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本产品可通过信托、证券、基金、期货、保险资产管理机构等依法设立的资产管理产品以及其他符合国家相关政策、法律法规的投资渠道和方式实现对上述投资品种的投资。</w:t>
      </w:r>
    </w:p>
    <w:p w:rsidR="007A237D" w:rsidRDefault="00B2502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w:t>
      </w:r>
      <w:r>
        <w:rPr>
          <w:rFonts w:ascii="仿宋" w:eastAsia="仿宋" w:hAnsi="仿宋" w:cs="宋体" w:hint="eastAsia"/>
          <w:color w:val="000000"/>
          <w:kern w:val="0"/>
          <w:sz w:val="24"/>
        </w:rPr>
        <w:lastRenderedPageBreak/>
        <w:t>以内（含一年）的债券回购、期限在一年以内（含一年）的中央银行票据以及中国人民银行、中国银保监会认可的其他具有良好流动性的金融工具。</w:t>
      </w:r>
    </w:p>
    <w:p w:rsidR="007A237D" w:rsidRDefault="00B2502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7A237D" w:rsidRDefault="00B2502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非标债权类资产包括中证机构间报价系统股份有限公司的收益凭证等《标准化债权类资产认定规则》认定的非标准化债权类资产。</w:t>
      </w:r>
    </w:p>
    <w:p w:rsidR="007A237D" w:rsidRDefault="00B2502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7A237D" w:rsidRDefault="00B25021">
      <w:pPr>
        <w:keepNext/>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7900" w:type="dxa"/>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439"/>
        <w:gridCol w:w="3461"/>
      </w:tblGrid>
      <w:tr w:rsidR="007A237D">
        <w:trPr>
          <w:trHeight w:val="447"/>
          <w:tblCellSpacing w:w="0" w:type="dxa"/>
        </w:trPr>
        <w:tc>
          <w:tcPr>
            <w:tcW w:w="4439" w:type="dxa"/>
            <w:vAlign w:val="center"/>
          </w:tcPr>
          <w:p w:rsidR="007A237D" w:rsidRDefault="00B25021">
            <w:pPr>
              <w:adjustRightInd w:val="0"/>
              <w:snapToGrid w:val="0"/>
              <w:spacing w:line="40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3461" w:type="dxa"/>
            <w:vAlign w:val="center"/>
          </w:tcPr>
          <w:p w:rsidR="007A237D" w:rsidRDefault="00B25021">
            <w:pPr>
              <w:adjustRightInd w:val="0"/>
              <w:snapToGrid w:val="0"/>
              <w:spacing w:line="400" w:lineRule="atLeast"/>
              <w:jc w:val="center"/>
              <w:rPr>
                <w:rFonts w:eastAsia="仿宋"/>
                <w:color w:val="000000"/>
                <w:kern w:val="0"/>
                <w:sz w:val="24"/>
              </w:rPr>
            </w:pPr>
            <w:r>
              <w:rPr>
                <w:rFonts w:eastAsia="仿宋"/>
                <w:color w:val="000000"/>
                <w:kern w:val="0"/>
                <w:sz w:val="24"/>
              </w:rPr>
              <w:t>投资比例</w:t>
            </w:r>
          </w:p>
        </w:tc>
      </w:tr>
      <w:tr w:rsidR="007A237D">
        <w:trPr>
          <w:trHeight w:val="447"/>
          <w:tblCellSpacing w:w="0" w:type="dxa"/>
        </w:trPr>
        <w:tc>
          <w:tcPr>
            <w:tcW w:w="4439" w:type="dxa"/>
            <w:vAlign w:val="center"/>
          </w:tcPr>
          <w:p w:rsidR="007A237D" w:rsidRDefault="00B25021">
            <w:pPr>
              <w:adjustRightInd w:val="0"/>
              <w:snapToGrid w:val="0"/>
              <w:spacing w:line="40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非标债权类资产</w:t>
            </w:r>
          </w:p>
          <w:p w:rsidR="007A237D" w:rsidRDefault="00B25021">
            <w:pPr>
              <w:adjustRightInd w:val="0"/>
              <w:snapToGrid w:val="0"/>
              <w:spacing w:line="40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（券商收益凭证）</w:t>
            </w:r>
          </w:p>
        </w:tc>
        <w:tc>
          <w:tcPr>
            <w:tcW w:w="3461" w:type="dxa"/>
            <w:vAlign w:val="center"/>
          </w:tcPr>
          <w:p w:rsidR="007A237D" w:rsidRDefault="00B25021">
            <w:pPr>
              <w:adjustRightInd w:val="0"/>
              <w:snapToGrid w:val="0"/>
              <w:spacing w:line="400" w:lineRule="atLeast"/>
              <w:jc w:val="center"/>
              <w:rPr>
                <w:rFonts w:eastAsia="仿宋"/>
                <w:color w:val="000000"/>
                <w:kern w:val="0"/>
                <w:sz w:val="24"/>
              </w:rPr>
            </w:pPr>
            <w:r>
              <w:rPr>
                <w:rFonts w:ascii="仿宋" w:eastAsia="仿宋" w:hAnsi="仿宋" w:cs="宋体" w:hint="eastAsia"/>
                <w:color w:val="000000"/>
                <w:kern w:val="0"/>
                <w:sz w:val="24"/>
              </w:rPr>
              <w:t>0%-</w:t>
            </w:r>
            <w:r>
              <w:rPr>
                <w:rFonts w:ascii="仿宋" w:eastAsia="仿宋" w:hAnsi="仿宋" w:cs="宋体"/>
                <w:color w:val="000000"/>
                <w:kern w:val="0"/>
                <w:sz w:val="24"/>
              </w:rPr>
              <w:t>40</w:t>
            </w:r>
            <w:r>
              <w:rPr>
                <w:rFonts w:ascii="仿宋" w:eastAsia="仿宋" w:hAnsi="仿宋" w:cs="宋体" w:hint="eastAsia"/>
                <w:color w:val="000000"/>
                <w:kern w:val="0"/>
                <w:sz w:val="24"/>
              </w:rPr>
              <w:t>%</w:t>
            </w:r>
          </w:p>
        </w:tc>
      </w:tr>
      <w:tr w:rsidR="007A237D">
        <w:trPr>
          <w:trHeight w:val="447"/>
          <w:tblCellSpacing w:w="0" w:type="dxa"/>
        </w:trPr>
        <w:tc>
          <w:tcPr>
            <w:tcW w:w="4439" w:type="dxa"/>
            <w:vAlign w:val="center"/>
          </w:tcPr>
          <w:p w:rsidR="007A237D" w:rsidRDefault="00B25021">
            <w:pPr>
              <w:adjustRightInd w:val="0"/>
              <w:snapToGrid w:val="0"/>
              <w:spacing w:line="40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货币市场工具、标准化债权类资产</w:t>
            </w:r>
          </w:p>
        </w:tc>
        <w:tc>
          <w:tcPr>
            <w:tcW w:w="3461" w:type="dxa"/>
            <w:vAlign w:val="center"/>
          </w:tcPr>
          <w:p w:rsidR="007A237D" w:rsidRDefault="00B25021">
            <w:pPr>
              <w:adjustRightInd w:val="0"/>
              <w:snapToGrid w:val="0"/>
              <w:spacing w:line="400" w:lineRule="atLeast"/>
              <w:jc w:val="center"/>
              <w:rPr>
                <w:rFonts w:ascii="仿宋" w:eastAsia="仿宋" w:hAnsi="仿宋" w:cs="宋体"/>
                <w:color w:val="000000"/>
                <w:kern w:val="0"/>
                <w:sz w:val="24"/>
              </w:rPr>
            </w:pPr>
            <w:r>
              <w:rPr>
                <w:rFonts w:ascii="仿宋" w:eastAsia="仿宋" w:hAnsi="仿宋" w:cs="宋体"/>
                <w:color w:val="000000"/>
                <w:kern w:val="0"/>
                <w:sz w:val="24"/>
              </w:rPr>
              <w:t>60</w:t>
            </w:r>
            <w:r>
              <w:rPr>
                <w:rFonts w:ascii="仿宋" w:eastAsia="仿宋" w:hAnsi="仿宋" w:cs="宋体" w:hint="eastAsia"/>
                <w:color w:val="000000"/>
                <w:kern w:val="0"/>
                <w:sz w:val="24"/>
              </w:rPr>
              <w:t>%-100%</w:t>
            </w:r>
          </w:p>
        </w:tc>
      </w:tr>
    </w:tbl>
    <w:p w:rsidR="007A237D" w:rsidRDefault="00B25021">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7A237D" w:rsidRDefault="00B25021">
      <w:pPr>
        <w:widowControl/>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bCs/>
          <w:color w:val="000000"/>
          <w:kern w:val="0"/>
          <w:sz w:val="24"/>
        </w:rPr>
        <w:t>底层资产介绍</w:t>
      </w:r>
    </w:p>
    <w:p w:rsidR="007A237D" w:rsidRDefault="00B2502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本理财产品拟</w:t>
      </w:r>
      <w:r>
        <w:rPr>
          <w:rFonts w:ascii="仿宋" w:eastAsia="仿宋" w:hAnsi="仿宋" w:cs="宋体"/>
          <w:kern w:val="0"/>
          <w:sz w:val="24"/>
        </w:rPr>
        <w:t>以</w:t>
      </w:r>
      <w:r>
        <w:rPr>
          <w:rFonts w:ascii="仿宋" w:eastAsia="仿宋" w:hAnsi="仿宋" w:cs="宋体" w:hint="eastAsia"/>
          <w:kern w:val="0"/>
          <w:sz w:val="24"/>
        </w:rPr>
        <w:t>不超过</w:t>
      </w:r>
      <w:r w:rsidR="004F0BBE">
        <w:rPr>
          <w:rFonts w:ascii="仿宋" w:eastAsia="仿宋" w:hAnsi="仿宋" w:cs="宋体"/>
          <w:kern w:val="0"/>
          <w:sz w:val="24"/>
        </w:rPr>
        <w:t>4</w:t>
      </w:r>
      <w:r w:rsidR="004F0BBE">
        <w:rPr>
          <w:rFonts w:ascii="仿宋" w:eastAsia="仿宋" w:hAnsi="仿宋" w:cs="宋体" w:hint="eastAsia"/>
          <w:kern w:val="0"/>
          <w:sz w:val="24"/>
        </w:rPr>
        <w:t>0</w:t>
      </w:r>
      <w:r>
        <w:rPr>
          <w:rFonts w:ascii="仿宋" w:eastAsia="仿宋" w:hAnsi="仿宋" w:cs="宋体"/>
          <w:kern w:val="0"/>
          <w:sz w:val="24"/>
        </w:rPr>
        <w:t>%的资金投资于券商发行的浮动收益凭证</w:t>
      </w:r>
      <w:r>
        <w:rPr>
          <w:rFonts w:ascii="仿宋" w:eastAsia="仿宋" w:hAnsi="仿宋" w:cs="宋体" w:hint="eastAsia"/>
          <w:kern w:val="0"/>
          <w:sz w:val="24"/>
        </w:rPr>
        <w:t>。为便于投资者了解拟投资浮动收益凭证的概要，理财产品管理人列举以下浮动收益凭证核心要素，但本要素表信息并非本理财产品投资信息之全部。</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9"/>
        <w:gridCol w:w="6143"/>
      </w:tblGrid>
      <w:tr w:rsidR="007A237D">
        <w:tc>
          <w:tcPr>
            <w:tcW w:w="2379" w:type="dxa"/>
            <w:vAlign w:val="center"/>
          </w:tcPr>
          <w:p w:rsidR="007A237D" w:rsidRDefault="007A237D">
            <w:pPr>
              <w:spacing w:line="240" w:lineRule="auto"/>
              <w:jc w:val="center"/>
              <w:rPr>
                <w:rFonts w:ascii="仿宋" w:eastAsia="仿宋" w:hAnsi="仿宋" w:cs="微软简仿宋"/>
                <w:sz w:val="22"/>
              </w:rPr>
            </w:pPr>
          </w:p>
        </w:tc>
        <w:tc>
          <w:tcPr>
            <w:tcW w:w="6143" w:type="dxa"/>
          </w:tcPr>
          <w:p w:rsidR="007A237D" w:rsidRDefault="00B25021">
            <w:pPr>
              <w:spacing w:line="240" w:lineRule="auto"/>
              <w:jc w:val="center"/>
              <w:rPr>
                <w:rFonts w:ascii="仿宋" w:eastAsia="仿宋" w:hAnsi="仿宋" w:cs="微软简仿宋"/>
                <w:b/>
                <w:bCs/>
                <w:sz w:val="22"/>
              </w:rPr>
            </w:pPr>
            <w:r>
              <w:rPr>
                <w:rFonts w:ascii="仿宋" w:eastAsia="仿宋" w:hAnsi="仿宋" w:cs="微软简仿宋" w:hint="eastAsia"/>
                <w:b/>
                <w:bCs/>
                <w:sz w:val="22"/>
              </w:rPr>
              <w:t>鲨鱼</w:t>
            </w:r>
            <w:proofErr w:type="gramStart"/>
            <w:r>
              <w:rPr>
                <w:rFonts w:ascii="仿宋" w:eastAsia="仿宋" w:hAnsi="仿宋" w:cs="微软简仿宋" w:hint="eastAsia"/>
                <w:b/>
                <w:bCs/>
                <w:sz w:val="22"/>
              </w:rPr>
              <w:t>鳍</w:t>
            </w:r>
            <w:proofErr w:type="gramEnd"/>
            <w:r>
              <w:rPr>
                <w:rFonts w:ascii="仿宋" w:eastAsia="仿宋" w:hAnsi="仿宋" w:cs="微软简仿宋" w:hint="eastAsia"/>
                <w:b/>
                <w:bCs/>
                <w:sz w:val="22"/>
              </w:rPr>
              <w:t>结构</w:t>
            </w:r>
          </w:p>
        </w:tc>
      </w:tr>
      <w:tr w:rsidR="007A237D">
        <w:tc>
          <w:tcPr>
            <w:tcW w:w="2379" w:type="dxa"/>
            <w:vAlign w:val="center"/>
          </w:tcPr>
          <w:p w:rsidR="007A237D" w:rsidRDefault="00B25021">
            <w:pPr>
              <w:spacing w:line="240" w:lineRule="auto"/>
              <w:jc w:val="center"/>
              <w:rPr>
                <w:rFonts w:ascii="仿宋" w:eastAsia="仿宋" w:hAnsi="仿宋" w:cs="微软简仿宋"/>
                <w:b/>
                <w:bCs/>
                <w:sz w:val="22"/>
              </w:rPr>
            </w:pPr>
            <w:r>
              <w:rPr>
                <w:rFonts w:ascii="仿宋" w:eastAsia="仿宋" w:hAnsi="仿宋" w:cs="微软简仿宋" w:hint="eastAsia"/>
                <w:b/>
                <w:bCs/>
                <w:sz w:val="22"/>
              </w:rPr>
              <w:t>挂钩标的</w:t>
            </w:r>
          </w:p>
        </w:tc>
        <w:tc>
          <w:tcPr>
            <w:tcW w:w="6143" w:type="dxa"/>
          </w:tcPr>
          <w:p w:rsidR="007A237D" w:rsidRDefault="00B25021">
            <w:pPr>
              <w:spacing w:line="240" w:lineRule="auto"/>
              <w:rPr>
                <w:rFonts w:ascii="仿宋" w:eastAsia="仿宋" w:hAnsi="仿宋" w:cs="微软简仿宋"/>
                <w:sz w:val="22"/>
              </w:rPr>
            </w:pPr>
            <w:r>
              <w:rPr>
                <w:rFonts w:ascii="仿宋" w:eastAsia="仿宋" w:hAnsi="仿宋" w:cs="微软简仿宋" w:hint="eastAsia"/>
                <w:sz w:val="22"/>
              </w:rPr>
              <w:t>中证1</w:t>
            </w:r>
            <w:r>
              <w:rPr>
                <w:rFonts w:ascii="仿宋" w:eastAsia="仿宋" w:hAnsi="仿宋" w:cs="微软简仿宋"/>
                <w:sz w:val="22"/>
              </w:rPr>
              <w:t>000</w:t>
            </w:r>
            <w:r>
              <w:rPr>
                <w:rFonts w:ascii="仿宋" w:eastAsia="仿宋" w:hAnsi="仿宋" w:cs="微软简仿宋" w:hint="eastAsia"/>
                <w:sz w:val="22"/>
              </w:rPr>
              <w:t>指数</w:t>
            </w:r>
          </w:p>
        </w:tc>
      </w:tr>
      <w:tr w:rsidR="007A237D">
        <w:tc>
          <w:tcPr>
            <w:tcW w:w="2379" w:type="dxa"/>
            <w:vAlign w:val="center"/>
          </w:tcPr>
          <w:p w:rsidR="007A237D" w:rsidRDefault="00B25021">
            <w:pPr>
              <w:spacing w:line="240" w:lineRule="auto"/>
              <w:jc w:val="center"/>
              <w:rPr>
                <w:rFonts w:ascii="仿宋" w:eastAsia="仿宋" w:hAnsi="仿宋" w:cs="微软简仿宋"/>
                <w:b/>
                <w:bCs/>
                <w:sz w:val="22"/>
              </w:rPr>
            </w:pPr>
            <w:r>
              <w:rPr>
                <w:rFonts w:ascii="仿宋" w:eastAsia="仿宋" w:hAnsi="仿宋" w:cs="微软简仿宋" w:hint="eastAsia"/>
                <w:b/>
                <w:bCs/>
                <w:sz w:val="22"/>
              </w:rPr>
              <w:t>初始观察日</w:t>
            </w:r>
          </w:p>
        </w:tc>
        <w:tc>
          <w:tcPr>
            <w:tcW w:w="6143" w:type="dxa"/>
          </w:tcPr>
          <w:p w:rsidR="007A237D" w:rsidRDefault="00B25021">
            <w:pPr>
              <w:spacing w:line="240" w:lineRule="auto"/>
              <w:rPr>
                <w:rFonts w:ascii="仿宋" w:eastAsia="仿宋" w:hAnsi="仿宋" w:cs="微软简仿宋"/>
                <w:sz w:val="22"/>
              </w:rPr>
            </w:pPr>
            <w:r>
              <w:rPr>
                <w:rFonts w:ascii="仿宋" w:eastAsia="仿宋" w:hAnsi="仿宋" w:cs="微软简仿宋" w:hint="eastAsia"/>
                <w:sz w:val="22"/>
              </w:rPr>
              <w:t>收益凭证投资起始日</w:t>
            </w:r>
          </w:p>
        </w:tc>
      </w:tr>
      <w:tr w:rsidR="007A237D">
        <w:tc>
          <w:tcPr>
            <w:tcW w:w="2379" w:type="dxa"/>
            <w:vAlign w:val="center"/>
          </w:tcPr>
          <w:p w:rsidR="007A237D" w:rsidRDefault="00B25021">
            <w:pPr>
              <w:spacing w:line="240" w:lineRule="auto"/>
              <w:jc w:val="center"/>
              <w:rPr>
                <w:rFonts w:ascii="仿宋" w:eastAsia="仿宋" w:hAnsi="仿宋" w:cs="微软简仿宋"/>
                <w:b/>
                <w:bCs/>
                <w:sz w:val="22"/>
              </w:rPr>
            </w:pPr>
            <w:r>
              <w:rPr>
                <w:rFonts w:ascii="仿宋" w:eastAsia="仿宋" w:hAnsi="仿宋" w:cs="微软简仿宋" w:hint="eastAsia"/>
                <w:b/>
                <w:bCs/>
                <w:sz w:val="22"/>
              </w:rPr>
              <w:t>初始价格</w:t>
            </w:r>
          </w:p>
        </w:tc>
        <w:tc>
          <w:tcPr>
            <w:tcW w:w="6143" w:type="dxa"/>
          </w:tcPr>
          <w:p w:rsidR="007A237D" w:rsidRDefault="00B25021">
            <w:pPr>
              <w:spacing w:line="240" w:lineRule="auto"/>
              <w:rPr>
                <w:rFonts w:ascii="仿宋" w:eastAsia="仿宋" w:hAnsi="仿宋" w:cs="微软简仿宋"/>
                <w:sz w:val="22"/>
              </w:rPr>
            </w:pPr>
            <w:r>
              <w:rPr>
                <w:rFonts w:ascii="仿宋" w:eastAsia="仿宋" w:hAnsi="仿宋" w:cs="微软简仿宋" w:hint="eastAsia"/>
                <w:sz w:val="22"/>
              </w:rPr>
              <w:t>初始观察日的指数价格</w:t>
            </w:r>
          </w:p>
        </w:tc>
      </w:tr>
      <w:tr w:rsidR="007A237D">
        <w:tc>
          <w:tcPr>
            <w:tcW w:w="2379" w:type="dxa"/>
            <w:vAlign w:val="center"/>
          </w:tcPr>
          <w:p w:rsidR="007A237D" w:rsidRDefault="00B25021">
            <w:pPr>
              <w:spacing w:line="240" w:lineRule="auto"/>
              <w:jc w:val="center"/>
              <w:rPr>
                <w:rFonts w:ascii="仿宋" w:eastAsia="仿宋" w:hAnsi="仿宋" w:cs="微软简仿宋"/>
                <w:b/>
                <w:bCs/>
                <w:sz w:val="22"/>
              </w:rPr>
            </w:pPr>
            <w:r>
              <w:rPr>
                <w:rFonts w:ascii="仿宋" w:eastAsia="仿宋" w:hAnsi="仿宋" w:cs="微软简仿宋" w:hint="eastAsia"/>
                <w:b/>
                <w:bCs/>
                <w:sz w:val="22"/>
              </w:rPr>
              <w:t>观察日</w:t>
            </w:r>
          </w:p>
        </w:tc>
        <w:tc>
          <w:tcPr>
            <w:tcW w:w="6143" w:type="dxa"/>
          </w:tcPr>
          <w:p w:rsidR="007A237D" w:rsidRDefault="00B25021">
            <w:pPr>
              <w:spacing w:line="240" w:lineRule="auto"/>
              <w:rPr>
                <w:rFonts w:ascii="仿宋" w:eastAsia="仿宋" w:hAnsi="仿宋" w:cs="微软简仿宋"/>
                <w:sz w:val="22"/>
              </w:rPr>
            </w:pPr>
            <w:r>
              <w:rPr>
                <w:rFonts w:ascii="仿宋" w:eastAsia="仿宋" w:hAnsi="仿宋" w:cs="微软简仿宋" w:hint="eastAsia"/>
                <w:sz w:val="22"/>
              </w:rPr>
              <w:t>收益</w:t>
            </w:r>
            <w:r>
              <w:rPr>
                <w:rFonts w:ascii="仿宋" w:eastAsia="仿宋" w:hAnsi="仿宋" w:cs="微软简仿宋"/>
                <w:sz w:val="22"/>
              </w:rPr>
              <w:t>凭证</w:t>
            </w:r>
            <w:r>
              <w:rPr>
                <w:rFonts w:ascii="仿宋" w:eastAsia="仿宋" w:hAnsi="仿宋" w:cs="微软简仿宋" w:hint="eastAsia"/>
                <w:sz w:val="22"/>
              </w:rPr>
              <w:t>到期</w:t>
            </w:r>
            <w:proofErr w:type="gramStart"/>
            <w:r>
              <w:rPr>
                <w:rFonts w:ascii="仿宋" w:eastAsia="仿宋" w:hAnsi="仿宋" w:cs="微软简仿宋" w:hint="eastAsia"/>
                <w:sz w:val="22"/>
              </w:rPr>
              <w:t>日观察</w:t>
            </w:r>
            <w:proofErr w:type="gramEnd"/>
            <w:r>
              <w:rPr>
                <w:rFonts w:ascii="仿宋" w:eastAsia="仿宋" w:hAnsi="仿宋" w:cs="微软简仿宋" w:hint="eastAsia"/>
                <w:sz w:val="22"/>
              </w:rPr>
              <w:t>一次</w:t>
            </w:r>
          </w:p>
        </w:tc>
      </w:tr>
      <w:tr w:rsidR="007A237D">
        <w:tc>
          <w:tcPr>
            <w:tcW w:w="2379" w:type="dxa"/>
            <w:vAlign w:val="center"/>
          </w:tcPr>
          <w:p w:rsidR="007A237D" w:rsidRDefault="00B25021">
            <w:pPr>
              <w:spacing w:line="240" w:lineRule="auto"/>
              <w:jc w:val="center"/>
              <w:rPr>
                <w:rFonts w:ascii="仿宋" w:eastAsia="仿宋" w:hAnsi="仿宋" w:cs="微软简仿宋"/>
                <w:b/>
                <w:bCs/>
                <w:sz w:val="22"/>
              </w:rPr>
            </w:pPr>
            <w:r>
              <w:rPr>
                <w:rFonts w:ascii="仿宋" w:eastAsia="仿宋" w:hAnsi="仿宋" w:cs="微软简仿宋" w:hint="eastAsia"/>
                <w:b/>
                <w:bCs/>
                <w:sz w:val="22"/>
              </w:rPr>
              <w:t>行权价</w:t>
            </w:r>
          </w:p>
        </w:tc>
        <w:tc>
          <w:tcPr>
            <w:tcW w:w="6143" w:type="dxa"/>
          </w:tcPr>
          <w:p w:rsidR="007A237D" w:rsidRDefault="00B25021">
            <w:pPr>
              <w:spacing w:line="240" w:lineRule="auto"/>
              <w:rPr>
                <w:rFonts w:ascii="仿宋" w:eastAsia="仿宋" w:hAnsi="仿宋" w:cs="微软简仿宋"/>
                <w:sz w:val="22"/>
              </w:rPr>
            </w:pPr>
            <w:r>
              <w:rPr>
                <w:rFonts w:ascii="仿宋" w:eastAsia="仿宋" w:hAnsi="仿宋" w:cs="微软简仿宋" w:hint="eastAsia"/>
                <w:sz w:val="22"/>
              </w:rPr>
              <w:t>初始价格*</w:t>
            </w:r>
            <w:r>
              <w:rPr>
                <w:rFonts w:ascii="仿宋" w:eastAsia="仿宋" w:hAnsi="仿宋" w:cs="微软简仿宋"/>
                <w:sz w:val="22"/>
              </w:rPr>
              <w:t>1</w:t>
            </w:r>
            <w:r>
              <w:rPr>
                <w:rFonts w:ascii="仿宋" w:eastAsia="仿宋" w:hAnsi="仿宋" w:cs="微软简仿宋" w:hint="eastAsia"/>
                <w:sz w:val="22"/>
              </w:rPr>
              <w:t>0</w:t>
            </w:r>
            <w:r>
              <w:rPr>
                <w:rFonts w:ascii="仿宋" w:eastAsia="仿宋" w:hAnsi="仿宋" w:cs="微软简仿宋"/>
                <w:sz w:val="22"/>
              </w:rPr>
              <w:t>0</w:t>
            </w:r>
            <w:r>
              <w:rPr>
                <w:rFonts w:ascii="仿宋" w:eastAsia="仿宋" w:hAnsi="仿宋" w:cs="微软简仿宋" w:hint="eastAsia"/>
                <w:sz w:val="22"/>
              </w:rPr>
              <w:t>%</w:t>
            </w:r>
          </w:p>
        </w:tc>
      </w:tr>
      <w:tr w:rsidR="007A237D">
        <w:tc>
          <w:tcPr>
            <w:tcW w:w="2379" w:type="dxa"/>
            <w:vAlign w:val="center"/>
          </w:tcPr>
          <w:p w:rsidR="007A237D" w:rsidRDefault="00B25021">
            <w:pPr>
              <w:spacing w:line="240" w:lineRule="auto"/>
              <w:jc w:val="center"/>
              <w:rPr>
                <w:rFonts w:ascii="仿宋" w:eastAsia="仿宋" w:hAnsi="仿宋" w:cs="微软简仿宋"/>
                <w:b/>
                <w:bCs/>
                <w:sz w:val="22"/>
              </w:rPr>
            </w:pPr>
            <w:proofErr w:type="gramStart"/>
            <w:r>
              <w:rPr>
                <w:rFonts w:ascii="仿宋" w:eastAsia="仿宋" w:hAnsi="仿宋" w:cs="微软简仿宋" w:hint="eastAsia"/>
                <w:b/>
                <w:bCs/>
                <w:sz w:val="22"/>
              </w:rPr>
              <w:t>障碍价</w:t>
            </w:r>
            <w:proofErr w:type="gramEnd"/>
          </w:p>
        </w:tc>
        <w:tc>
          <w:tcPr>
            <w:tcW w:w="6143" w:type="dxa"/>
          </w:tcPr>
          <w:p w:rsidR="007A237D" w:rsidRDefault="00B25021">
            <w:pPr>
              <w:spacing w:line="240" w:lineRule="auto"/>
              <w:rPr>
                <w:rFonts w:ascii="仿宋" w:eastAsia="仿宋" w:hAnsi="仿宋" w:cs="微软简仿宋"/>
                <w:sz w:val="22"/>
              </w:rPr>
            </w:pPr>
            <w:r>
              <w:rPr>
                <w:rFonts w:ascii="仿宋" w:eastAsia="仿宋" w:hAnsi="仿宋" w:cs="微软简仿宋" w:hint="eastAsia"/>
                <w:sz w:val="22"/>
              </w:rPr>
              <w:t>初始价格*</w:t>
            </w:r>
            <w:r>
              <w:rPr>
                <w:rFonts w:ascii="仿宋" w:eastAsia="仿宋" w:hAnsi="仿宋" w:cs="微软简仿宋"/>
                <w:sz w:val="22"/>
              </w:rPr>
              <w:t>110</w:t>
            </w:r>
            <w:r>
              <w:rPr>
                <w:rFonts w:ascii="仿宋" w:eastAsia="仿宋" w:hAnsi="仿宋" w:cs="微软简仿宋" w:hint="eastAsia"/>
                <w:sz w:val="22"/>
              </w:rPr>
              <w:t>%</w:t>
            </w:r>
          </w:p>
        </w:tc>
      </w:tr>
      <w:tr w:rsidR="007A237D">
        <w:tc>
          <w:tcPr>
            <w:tcW w:w="2379" w:type="dxa"/>
            <w:vAlign w:val="center"/>
          </w:tcPr>
          <w:p w:rsidR="007A237D" w:rsidRDefault="00B25021">
            <w:pPr>
              <w:spacing w:line="240" w:lineRule="auto"/>
              <w:jc w:val="center"/>
              <w:rPr>
                <w:rFonts w:ascii="仿宋" w:eastAsia="仿宋" w:hAnsi="仿宋" w:cs="微软简仿宋"/>
                <w:b/>
                <w:bCs/>
                <w:sz w:val="22"/>
              </w:rPr>
            </w:pPr>
            <w:r>
              <w:rPr>
                <w:rFonts w:ascii="仿宋" w:eastAsia="仿宋" w:hAnsi="仿宋" w:cs="微软简仿宋" w:hint="eastAsia"/>
                <w:b/>
                <w:bCs/>
                <w:sz w:val="22"/>
              </w:rPr>
              <w:t>参与率</w:t>
            </w:r>
          </w:p>
        </w:tc>
        <w:tc>
          <w:tcPr>
            <w:tcW w:w="6143" w:type="dxa"/>
          </w:tcPr>
          <w:p w:rsidR="007A237D" w:rsidRDefault="00B25021">
            <w:pPr>
              <w:spacing w:line="240" w:lineRule="auto"/>
              <w:rPr>
                <w:rFonts w:ascii="仿宋" w:eastAsia="仿宋" w:hAnsi="仿宋" w:cs="微软简仿宋"/>
                <w:sz w:val="22"/>
              </w:rPr>
            </w:pPr>
            <w:r>
              <w:rPr>
                <w:rFonts w:ascii="仿宋" w:eastAsia="仿宋" w:hAnsi="仿宋" w:cs="微软简仿宋" w:hint="eastAsia"/>
                <w:sz w:val="22"/>
              </w:rPr>
              <w:t>100%</w:t>
            </w:r>
          </w:p>
        </w:tc>
      </w:tr>
      <w:tr w:rsidR="007A237D">
        <w:tc>
          <w:tcPr>
            <w:tcW w:w="2379" w:type="dxa"/>
            <w:vAlign w:val="center"/>
          </w:tcPr>
          <w:p w:rsidR="007A237D" w:rsidRDefault="00B25021">
            <w:pPr>
              <w:spacing w:line="240" w:lineRule="auto"/>
              <w:jc w:val="center"/>
              <w:rPr>
                <w:rFonts w:ascii="仿宋" w:eastAsia="仿宋" w:hAnsi="仿宋" w:cs="微软简仿宋"/>
                <w:b/>
                <w:bCs/>
                <w:sz w:val="22"/>
              </w:rPr>
            </w:pPr>
            <w:r>
              <w:rPr>
                <w:rFonts w:ascii="仿宋" w:eastAsia="仿宋" w:hAnsi="仿宋" w:cs="微软简仿宋" w:hint="eastAsia"/>
                <w:b/>
                <w:bCs/>
                <w:sz w:val="22"/>
              </w:rPr>
              <w:t>敲出事件</w:t>
            </w:r>
          </w:p>
        </w:tc>
        <w:tc>
          <w:tcPr>
            <w:tcW w:w="6143" w:type="dxa"/>
          </w:tcPr>
          <w:p w:rsidR="007A237D" w:rsidRDefault="00B25021" w:rsidP="00A17147">
            <w:pPr>
              <w:spacing w:line="240" w:lineRule="auto"/>
              <w:rPr>
                <w:rFonts w:ascii="仿宋" w:eastAsia="仿宋" w:hAnsi="仿宋" w:cs="微软简仿宋"/>
                <w:sz w:val="22"/>
              </w:rPr>
            </w:pPr>
            <w:r>
              <w:rPr>
                <w:rFonts w:ascii="仿宋" w:eastAsia="仿宋" w:hAnsi="仿宋" w:cs="微软简仿宋" w:hint="eastAsia"/>
                <w:sz w:val="22"/>
              </w:rPr>
              <w:t>观察日的指数价格大于</w:t>
            </w:r>
            <w:proofErr w:type="gramStart"/>
            <w:r>
              <w:rPr>
                <w:rFonts w:ascii="仿宋" w:eastAsia="仿宋" w:hAnsi="仿宋" w:cs="微软简仿宋" w:hint="eastAsia"/>
                <w:sz w:val="22"/>
              </w:rPr>
              <w:t>障碍价</w:t>
            </w:r>
            <w:proofErr w:type="gramEnd"/>
          </w:p>
        </w:tc>
      </w:tr>
    </w:tbl>
    <w:p w:rsidR="007A237D" w:rsidRDefault="007A237D">
      <w:pPr>
        <w:widowControl/>
        <w:adjustRightInd w:val="0"/>
        <w:snapToGrid w:val="0"/>
        <w:spacing w:line="276" w:lineRule="auto"/>
        <w:ind w:firstLineChars="200" w:firstLine="480"/>
        <w:contextualSpacing/>
        <w:rPr>
          <w:rFonts w:ascii="仿宋" w:eastAsia="仿宋" w:hAnsi="仿宋" w:cs="宋体"/>
          <w:kern w:val="0"/>
          <w:sz w:val="24"/>
        </w:rPr>
      </w:pPr>
    </w:p>
    <w:p w:rsidR="007A237D" w:rsidRDefault="007A237D">
      <w:pPr>
        <w:widowControl/>
        <w:adjustRightInd w:val="0"/>
        <w:snapToGrid w:val="0"/>
        <w:spacing w:line="276" w:lineRule="auto"/>
        <w:ind w:firstLineChars="200" w:firstLine="482"/>
        <w:contextualSpacing/>
        <w:rPr>
          <w:rFonts w:ascii="仿宋" w:eastAsia="仿宋" w:hAnsi="仿宋" w:cs="宋体"/>
          <w:b/>
          <w:bCs/>
          <w:color w:val="000000"/>
          <w:kern w:val="0"/>
          <w:sz w:val="24"/>
        </w:rPr>
      </w:pPr>
      <w:bookmarkStart w:id="5" w:name="_GoBack"/>
      <w:bookmarkEnd w:id="5"/>
    </w:p>
    <w:p w:rsidR="007A237D" w:rsidRDefault="00B25021">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7A237D" w:rsidRDefault="00B25021">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lastRenderedPageBreak/>
        <w:t>本理财产品如投资不存在活跃交易市场且需要采用估值技术确定公允价值的资产，则对</w:t>
      </w:r>
      <w:r>
        <w:rPr>
          <w:rFonts w:ascii="仿宋" w:eastAsia="仿宋" w:hAnsi="仿宋" w:cs="宋体"/>
          <w:b/>
          <w:bCs/>
          <w:color w:val="000000"/>
          <w:kern w:val="0"/>
          <w:sz w:val="24"/>
        </w:rPr>
        <w:t>上述资产的投资</w:t>
      </w:r>
      <w:r>
        <w:rPr>
          <w:rFonts w:ascii="仿宋" w:eastAsia="仿宋" w:hAnsi="仿宋" w:cs="宋体" w:hint="eastAsia"/>
          <w:b/>
          <w:bCs/>
          <w:color w:val="000000"/>
          <w:kern w:val="0"/>
          <w:sz w:val="24"/>
        </w:rPr>
        <w:t>比例将不超过本产品净资产的50%。非因管理人主观因素导致突破前款约定的比例限制的，</w:t>
      </w:r>
      <w:r>
        <w:rPr>
          <w:rFonts w:ascii="仿宋" w:eastAsia="仿宋" w:hAnsi="仿宋" w:cs="宋体"/>
          <w:b/>
          <w:bCs/>
          <w:color w:val="000000"/>
          <w:kern w:val="0"/>
          <w:sz w:val="24"/>
        </w:rPr>
        <w:t>在上述因素</w:t>
      </w:r>
      <w:r>
        <w:rPr>
          <w:rFonts w:ascii="仿宋" w:eastAsia="仿宋" w:hAnsi="仿宋" w:cs="宋体" w:hint="eastAsia"/>
          <w:b/>
          <w:bCs/>
          <w:color w:val="000000"/>
          <w:kern w:val="0"/>
          <w:sz w:val="24"/>
        </w:rPr>
        <w:t>的</w:t>
      </w:r>
      <w:r>
        <w:rPr>
          <w:rFonts w:ascii="仿宋" w:eastAsia="仿宋" w:hAnsi="仿宋" w:cs="宋体"/>
          <w:b/>
          <w:bCs/>
          <w:color w:val="000000"/>
          <w:kern w:val="0"/>
          <w:sz w:val="24"/>
        </w:rPr>
        <w:t>影响消除前</w:t>
      </w:r>
      <w:r>
        <w:rPr>
          <w:rFonts w:ascii="仿宋" w:eastAsia="仿宋" w:hAnsi="仿宋" w:cs="宋体" w:hint="eastAsia"/>
          <w:b/>
          <w:bCs/>
          <w:color w:val="000000"/>
          <w:kern w:val="0"/>
          <w:sz w:val="24"/>
        </w:rPr>
        <w:t>本产品将不再新增投资上述资产。</w:t>
      </w:r>
    </w:p>
    <w:p w:rsidR="007A237D" w:rsidRDefault="00B25021">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color w:val="000000"/>
          <w:kern w:val="0"/>
          <w:sz w:val="24"/>
        </w:rPr>
        <w:t>管理人应当自本理财产品成立日起1</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7A237D" w:rsidRDefault="00B25021">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7A237D" w:rsidRDefault="00B2502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7A237D" w:rsidRDefault="00B25021">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7A237D" w:rsidRDefault="00B2502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7A237D" w:rsidRDefault="00B2502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7A237D" w:rsidRDefault="00B2502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7A237D" w:rsidRDefault="00B2502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7A237D" w:rsidRDefault="00B2502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7A237D" w:rsidRDefault="00B2502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7A237D" w:rsidRDefault="00B2502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7A237D" w:rsidRDefault="00B2502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7A237D" w:rsidRDefault="00B2502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7A237D" w:rsidRDefault="00B2502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7A237D" w:rsidRDefault="00B2502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7A237D" w:rsidRDefault="00B2502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7A237D" w:rsidRDefault="00B2502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7A237D" w:rsidRDefault="00B2502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7A237D" w:rsidRDefault="00B2502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（9）银行业监督管理机构规定的其他职责。</w:t>
      </w:r>
    </w:p>
    <w:p w:rsidR="007A237D" w:rsidRDefault="00B2502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7A237D" w:rsidRDefault="00B2502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7A237D" w:rsidRDefault="00B25021">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7A237D" w:rsidRDefault="00B2502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五</w:t>
      </w:r>
      <w:r>
        <w:rPr>
          <w:rFonts w:ascii="Times New Roman" w:eastAsia="黑体" w:cs="Times New Roman"/>
          <w:b/>
          <w:color w:val="auto"/>
        </w:rPr>
        <w:t>、认购</w:t>
      </w:r>
    </w:p>
    <w:p w:rsidR="007A237D" w:rsidRDefault="00B2502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柜台、手机银行、网上银行等渠道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7A237D" w:rsidRDefault="00B25021">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2．本理财产品单一投资者持有产品份额数不得超过产品份额总数的50%。</w:t>
      </w:r>
    </w:p>
    <w:p w:rsidR="007A237D" w:rsidRDefault="00B2502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7A237D" w:rsidRDefault="00B25021">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7A237D" w:rsidRDefault="00B25021">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7A237D" w:rsidRDefault="00B2502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7A237D" w:rsidRDefault="00B2502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7A237D" w:rsidRDefault="00B2502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hint="eastAsia"/>
          <w:color w:val="000000"/>
          <w:kern w:val="0"/>
          <w:sz w:val="24"/>
          <w:szCs w:val="20"/>
        </w:rPr>
        <w:t>超过本理财产品规模上限部分的认购申请。</w:t>
      </w:r>
    </w:p>
    <w:p w:rsidR="007A237D" w:rsidRDefault="00B2502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7A237D" w:rsidRDefault="00B2502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w:t>
      </w:r>
      <w:proofErr w:type="gramStart"/>
      <w:r>
        <w:rPr>
          <w:rFonts w:ascii="仿宋" w:eastAsia="仿宋" w:hAnsi="仿宋" w:cs="宋体" w:hint="eastAsia"/>
          <w:color w:val="000000"/>
          <w:kern w:val="0"/>
          <w:sz w:val="24"/>
        </w:rPr>
        <w:t>申请总</w:t>
      </w:r>
      <w:proofErr w:type="gramEnd"/>
      <w:r>
        <w:rPr>
          <w:rFonts w:ascii="仿宋" w:eastAsia="仿宋" w:hAnsi="仿宋" w:cs="宋体" w:hint="eastAsia"/>
          <w:color w:val="000000"/>
          <w:kern w:val="0"/>
          <w:sz w:val="24"/>
        </w:rPr>
        <w:t>金额超过设定的认购最高金额。</w:t>
      </w:r>
    </w:p>
    <w:p w:rsidR="007A237D" w:rsidRDefault="00B2502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7A237D" w:rsidRDefault="00B2502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7A237D" w:rsidRDefault="00B25021">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7A237D" w:rsidRDefault="007A237D">
      <w:pPr>
        <w:pStyle w:val="Default"/>
        <w:snapToGrid w:val="0"/>
        <w:spacing w:line="276" w:lineRule="auto"/>
        <w:ind w:firstLineChars="200" w:firstLine="480"/>
        <w:jc w:val="both"/>
        <w:rPr>
          <w:rFonts w:ascii="仿宋" w:eastAsia="仿宋" w:hAnsi="仿宋"/>
        </w:rPr>
      </w:pPr>
    </w:p>
    <w:p w:rsidR="007A237D" w:rsidRDefault="00B2502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7A237D" w:rsidRDefault="00B25021">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7A237D" w:rsidRDefault="00B25021">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w:t>
      </w:r>
      <w:r>
        <w:rPr>
          <w:rFonts w:ascii="仿宋" w:eastAsia="仿宋" w:hAnsi="仿宋" w:cs="仿宋" w:hint="eastAsia"/>
          <w:sz w:val="24"/>
        </w:rPr>
        <w:lastRenderedPageBreak/>
        <w:t>费，扣除超额管理费后的产品到期日份额净值为</w:t>
      </w:r>
      <w:r>
        <w:rPr>
          <w:rFonts w:ascii="仿宋" w:eastAsia="仿宋" w:hAnsi="仿宋" w:cs="仿宋"/>
          <w:sz w:val="24"/>
        </w:rPr>
        <w:t>1.0800</w:t>
      </w:r>
      <w:r>
        <w:rPr>
          <w:rFonts w:ascii="仿宋" w:eastAsia="仿宋" w:hAnsi="仿宋" w:cs="仿宋" w:hint="eastAsia"/>
          <w:sz w:val="24"/>
        </w:rPr>
        <w:t>，客户到期获得的金额为：</w:t>
      </w:r>
      <w:r>
        <w:rPr>
          <w:rFonts w:ascii="仿宋" w:eastAsia="仿宋" w:hAnsi="仿宋" w:cs="仿宋"/>
          <w:sz w:val="24"/>
        </w:rPr>
        <w:t>100,000*1.0800=108,000.00</w:t>
      </w:r>
      <w:r>
        <w:rPr>
          <w:rFonts w:ascii="仿宋" w:eastAsia="仿宋" w:hAnsi="仿宋" w:cs="仿宋" w:hint="eastAsia"/>
          <w:sz w:val="24"/>
        </w:rPr>
        <w:t>元。</w:t>
      </w:r>
    </w:p>
    <w:p w:rsidR="007A237D" w:rsidRDefault="00B25021">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1.0100</w:t>
      </w:r>
      <w:r>
        <w:rPr>
          <w:rFonts w:ascii="仿宋" w:eastAsia="仿宋" w:hAnsi="仿宋" w:cs="仿宋" w:hint="eastAsia"/>
          <w:sz w:val="24"/>
        </w:rPr>
        <w:t>，客户到期获得的金额为：</w:t>
      </w:r>
      <w:r>
        <w:rPr>
          <w:rFonts w:ascii="仿宋" w:eastAsia="仿宋" w:hAnsi="仿宋" w:cs="仿宋"/>
          <w:sz w:val="24"/>
        </w:rPr>
        <w:t>100,000*1.0100=101,000.00</w:t>
      </w:r>
      <w:r>
        <w:rPr>
          <w:rFonts w:ascii="仿宋" w:eastAsia="仿宋" w:hAnsi="仿宋" w:cs="仿宋" w:hint="eastAsia"/>
          <w:sz w:val="24"/>
        </w:rPr>
        <w:t>元</w:t>
      </w:r>
    </w:p>
    <w:p w:rsidR="007A237D" w:rsidRDefault="00B25021">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7A237D" w:rsidRDefault="00B25021">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7A237D" w:rsidRDefault="00B25021">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7A237D" w:rsidRDefault="00B25021">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终止时投资者可能无法获得理财产品投资收益，甚至损失全部理财本金，投资者应在对此风险有充分认识基础上谨慎投资。</w:t>
      </w:r>
    </w:p>
    <w:p w:rsidR="007A237D" w:rsidRDefault="00B25021">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7A237D" w:rsidRDefault="00B2502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7A237D" w:rsidRDefault="00B25021">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7A237D" w:rsidRDefault="00B25021">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本理财产品所投资的银行存款、货币市场工具等标准化债权类资产、非标准化债权类资产以及资产管理产品等资产。</w:t>
      </w:r>
    </w:p>
    <w:p w:rsidR="007A237D" w:rsidRDefault="00B25021">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7A237D" w:rsidRDefault="00B2502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7A237D" w:rsidRDefault="00B25021">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7A237D" w:rsidRDefault="00B2502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7A237D" w:rsidRDefault="00B2502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7A237D" w:rsidRDefault="00B2502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7A237D" w:rsidRDefault="00B2502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w:t>
      </w:r>
      <w:r>
        <w:rPr>
          <w:rFonts w:ascii="仿宋" w:eastAsia="仿宋" w:hAnsi="仿宋" w:hint="eastAsia"/>
          <w:color w:val="auto"/>
        </w:rPr>
        <w:lastRenderedPageBreak/>
        <w:t>选取每日收盘价减去所含的应收利息得到的净价进行估值。</w:t>
      </w:r>
    </w:p>
    <w:p w:rsidR="007A237D" w:rsidRDefault="00B2502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7A237D" w:rsidRDefault="00B2502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（1）送股、转增股、配股和公开增发的新股，按估值日在证券交易所挂牌的同一股票的市价（收盘价）估值；该日无交易的，以最近一日的市价（收盘价）估值；</w:t>
      </w:r>
    </w:p>
    <w:p w:rsidR="007A237D" w:rsidRDefault="00B2502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rsidR="007A237D" w:rsidRDefault="00B2502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（3）优先股采用估值技术确认公允价值，在估值技术难以可靠计量公允价值的情况下，采用管理人和托管人共同认可的第三方机构提供的估值，或双方共同认可的估值；</w:t>
      </w:r>
    </w:p>
    <w:p w:rsidR="007A237D" w:rsidRDefault="00B2502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等流通受限股票，应以证券交易所上市交易的同一股票的公允价值为基础，引入第三方机构提供的流动性折扣进行估值。</w:t>
      </w:r>
    </w:p>
    <w:p w:rsidR="007A237D" w:rsidRDefault="00B2502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估值中心有限公司未提供价格数据，应采用估值技术确认公允价值，或者管理人和托管人共同认可的估值。</w:t>
      </w:r>
    </w:p>
    <w:p w:rsidR="007A237D" w:rsidRDefault="00B2502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7A237D" w:rsidRDefault="00B2502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7A237D" w:rsidRDefault="00B2502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Pr>
          <w:rFonts w:ascii="仿宋" w:eastAsia="仿宋" w:hAnsi="仿宋" w:hint="eastAsia"/>
          <w:color w:val="auto"/>
        </w:rPr>
        <w:t>场外申赎</w:t>
      </w:r>
      <w:proofErr w:type="gramEnd"/>
      <w:r>
        <w:rPr>
          <w:rFonts w:ascii="仿宋" w:eastAsia="仿宋" w:hAnsi="仿宋" w:hint="eastAsia"/>
          <w:color w:val="auto"/>
        </w:rPr>
        <w:t>的开放式非货币基金以估值日可获取的基金管理人公布的最新基金份额净值估值；</w:t>
      </w:r>
    </w:p>
    <w:p w:rsidR="007A237D" w:rsidRDefault="00B2502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7A237D" w:rsidRDefault="00B2502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（3）货币基金以估值日可获取的基金管理人公布的最新万份收益计提红利。</w:t>
      </w:r>
    </w:p>
    <w:p w:rsidR="007A237D" w:rsidRDefault="00B2502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7A237D" w:rsidRDefault="00B2502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7A237D" w:rsidRDefault="00B2502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期货以估值日期货交易所的当日结算价估值，估值当日无结算价的，且最近交易日后经济环境未发生重大变化的，采用最近交易日结算价估值。</w:t>
      </w:r>
    </w:p>
    <w:p w:rsidR="007A237D" w:rsidRDefault="00B2502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7A237D" w:rsidRDefault="00B2502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lastRenderedPageBreak/>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7A237D" w:rsidRDefault="00B2502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7A237D" w:rsidRDefault="00B25021">
      <w:pPr>
        <w:pStyle w:val="Default"/>
        <w:snapToGrid w:val="0"/>
        <w:spacing w:line="276" w:lineRule="auto"/>
        <w:ind w:firstLineChars="200" w:firstLine="480"/>
        <w:contextualSpacing/>
        <w:rPr>
          <w:rFonts w:ascii="仿宋" w:eastAsia="仿宋" w:hAnsi="仿宋"/>
          <w:color w:val="auto"/>
        </w:rPr>
      </w:pPr>
      <w:r>
        <w:rPr>
          <w:rFonts w:ascii="仿宋" w:eastAsia="仿宋" w:hAnsi="仿宋"/>
          <w:color w:val="auto"/>
        </w:rPr>
        <w:t xml:space="preserve">11. </w:t>
      </w:r>
      <w:r>
        <w:rPr>
          <w:rFonts w:ascii="仿宋" w:eastAsia="仿宋" w:hAnsi="仿宋" w:hint="eastAsia"/>
          <w:color w:val="auto"/>
        </w:rPr>
        <w:t>非标准化债权类资产采用估值技术确认公允价值或在相关法律法规以及监管部门允许的情况下采用摊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法估值。在估值技术难以可靠计量公允价值的情况下，采用管理人和托管人共同认可的估值。</w:t>
      </w:r>
    </w:p>
    <w:p w:rsidR="007A237D" w:rsidRDefault="00B2502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7A237D" w:rsidRDefault="00B2502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13. 本系列产品所投资的资产管理产品以估值日公布的产品单位净值进行估值，估值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7A237D" w:rsidRDefault="00B2502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相关法律法规以及监管部门有强制规定的，从其规定。如有新增事项或变更事项，依法按最新规定计算。没有相关规定的，由产品管理人与托管人协商确定计算方法。</w:t>
      </w:r>
    </w:p>
    <w:p w:rsidR="007A237D" w:rsidRDefault="00B2502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7A237D" w:rsidRDefault="00B25021">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7A237D" w:rsidRDefault="00B25021">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7A237D" w:rsidRDefault="00B25021">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7A237D" w:rsidRDefault="00B25021">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7A237D" w:rsidRDefault="00B25021">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7A237D" w:rsidRDefault="00B25021">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7A237D" w:rsidRDefault="00B25021">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7A237D" w:rsidRDefault="00B25021">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w:t>
      </w:r>
      <w:r>
        <w:rPr>
          <w:rFonts w:ascii="仿宋" w:eastAsia="仿宋" w:hAnsi="仿宋" w:cs="仿宋" w:hint="eastAsia"/>
          <w:b/>
          <w:bCs/>
        </w:rPr>
        <w:lastRenderedPageBreak/>
        <w:t>得不当得利的投资者负有及时返还不当得利的义务。</w:t>
      </w:r>
    </w:p>
    <w:p w:rsidR="007A237D" w:rsidRDefault="00B2502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7A237D" w:rsidRDefault="00B25021">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7A237D" w:rsidRDefault="00B2502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终止时投资者可能无法获得理财产品投资收益，甚至损失全部理财本金</w:t>
      </w:r>
      <w:r>
        <w:rPr>
          <w:rFonts w:ascii="Times New Roman" w:eastAsia="黑体" w:cs="Times New Roman" w:hint="eastAsia"/>
          <w:b/>
          <w:color w:val="auto"/>
        </w:rPr>
        <w:t>，由此产生的风险由投资者自行承担。</w:t>
      </w:r>
    </w:p>
    <w:p w:rsidR="007A237D" w:rsidRDefault="00B2502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6" w:name="_Hlk76300274"/>
      <w:r>
        <w:rPr>
          <w:rFonts w:ascii="Times New Roman" w:eastAsia="黑体" w:cs="Times New Roman" w:hint="eastAsia"/>
          <w:b/>
          <w:color w:val="auto"/>
        </w:rPr>
        <w:t>所投资的资产</w:t>
      </w:r>
      <w:bookmarkEnd w:id="6"/>
      <w:r>
        <w:rPr>
          <w:rFonts w:ascii="Times New Roman" w:eastAsia="黑体" w:cs="Times New Roman" w:hint="eastAsia"/>
          <w:b/>
          <w:color w:val="auto"/>
        </w:rPr>
        <w:t>发行人、资产管理计划管理人、信托受托人、债务人、担保人（如有）等相关主体发生违约，可能导致无法按时支付本金及理财收益，进而导致本理财产品收益为零甚至本金遭受损失。</w:t>
      </w:r>
    </w:p>
    <w:p w:rsidR="007A237D" w:rsidRDefault="00B2502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7A237D" w:rsidRDefault="00B2502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7A237D" w:rsidRDefault="00B2502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7A237D" w:rsidRDefault="00B2502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7A237D" w:rsidRDefault="00B2502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7A237D" w:rsidRDefault="00B2502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lastRenderedPageBreak/>
        <w:t>有权宣布本理财产品不成立。</w:t>
      </w:r>
    </w:p>
    <w:p w:rsidR="007A237D" w:rsidRDefault="00B2502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7A237D" w:rsidRDefault="00B25021">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信托受托人、债务人、担保人（如有）等主体发生违约，导致本理财产品不能按时偿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7A237D" w:rsidRDefault="00B2502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7"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7"/>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7A237D" w:rsidRDefault="00B25021">
      <w:pPr>
        <w:spacing w:line="360" w:lineRule="exact"/>
        <w:ind w:firstLineChars="200" w:firstLine="482"/>
        <w:contextualSpacing/>
        <w:rPr>
          <w:rFonts w:eastAsia="黑体"/>
          <w:b/>
          <w:kern w:val="0"/>
          <w:sz w:val="24"/>
        </w:rPr>
      </w:pPr>
      <w:r>
        <w:rPr>
          <w:rFonts w:eastAsia="黑体" w:hint="eastAsia"/>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7A237D" w:rsidRDefault="00B25021">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7A237D" w:rsidRDefault="00B2502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7A237D" w:rsidRDefault="00B2502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7A237D" w:rsidRDefault="00B2502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7A237D" w:rsidRDefault="00B2502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w:t>
      </w:r>
      <w:r>
        <w:rPr>
          <w:rFonts w:ascii="Times New Roman" w:eastAsia="黑体" w:cs="Times New Roman" w:hint="eastAsia"/>
          <w:b/>
        </w:rPr>
        <w:lastRenderedPageBreak/>
        <w:t>应对措施，作为特定情形下流动性风险管理的辅助手段，包括但不限于：设定单一投资者认购金额上限、拒绝大额认购、暂停认购，以及监管机构规定的其他风险应对措施。</w:t>
      </w:r>
    </w:p>
    <w:p w:rsidR="007A237D" w:rsidRDefault="00B2502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当管理人实施流动性应对措施时，可能对投资者具有一定的潜在影响，包括但不限于不能认购本理财产品、认购交易确认失败等。</w:t>
      </w:r>
    </w:p>
    <w:p w:rsidR="007A237D" w:rsidRDefault="00B25021">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color w:val="auto"/>
        </w:rPr>
        <w:t>导致理财产品所投资资产收益降低或损失，甚至影响理财产品的受理、投资、偿还等的正常进行，进而影响理财产品的投资收益和本金安全。</w:t>
      </w:r>
    </w:p>
    <w:p w:rsidR="007A237D" w:rsidRDefault="00B2502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7A237D" w:rsidRDefault="00B2502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7A237D" w:rsidRDefault="00B25021">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披露本理财产品信息，披露事项包括理财产品成立、不成立、净值、收益分配、到期、提前终止、延期、调整等内容。</w:t>
      </w:r>
    </w:p>
    <w:p w:rsidR="007A237D" w:rsidRDefault="00B2502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7A237D" w:rsidRDefault="00B2502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7A237D" w:rsidRDefault="00B2502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7A237D" w:rsidRDefault="00B2502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7A237D" w:rsidRDefault="00B2502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7A237D" w:rsidRDefault="00B2502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7A237D" w:rsidRDefault="00B2502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7A237D" w:rsidRDefault="00B2502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7A237D" w:rsidRDefault="00B2502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7A237D" w:rsidRDefault="00B2502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7A237D" w:rsidRDefault="00B2502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lastRenderedPageBreak/>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7A237D" w:rsidRDefault="00B2502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7A237D" w:rsidRDefault="00B25021">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7A237D" w:rsidRDefault="00B2502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7A237D" w:rsidRDefault="00B2502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7A237D" w:rsidRDefault="00B25021">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管理人将通过华夏理财有限责任公司官方网站（www.hxwm.com.cn）、</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7A237D" w:rsidRDefault="00B2502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7A237D" w:rsidRDefault="00B25021">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7A237D" w:rsidRDefault="00B2502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7A237D" w:rsidRDefault="00B25021">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ascii="仿宋" w:eastAsia="仿宋" w:hAnsi="仿宋" w:cs="宋体" w:hint="eastAsia"/>
          <w:b/>
          <w:bCs/>
          <w:kern w:val="0"/>
          <w:sz w:val="24"/>
        </w:rPr>
        <w:t>华夏理财有限责任公司官方网站（www.hxwm.com.cn）、</w:t>
      </w:r>
      <w:r>
        <w:rPr>
          <w:rFonts w:ascii="仿宋" w:eastAsia="仿宋" w:hAnsi="仿宋" w:cs="宋体"/>
          <w:b/>
          <w:bCs/>
          <w:kern w:val="0"/>
          <w:sz w:val="24"/>
        </w:rPr>
        <w:t>华夏银行官方网站公告的方式通知投资者。</w:t>
      </w:r>
    </w:p>
    <w:p w:rsidR="007A237D" w:rsidRDefault="00B2502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7A237D" w:rsidRDefault="00B25021">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7A237D" w:rsidRDefault="00B2502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7A237D" w:rsidRDefault="00B2502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w:t>
      </w:r>
      <w:r>
        <w:rPr>
          <w:rFonts w:ascii="仿宋" w:eastAsia="仿宋" w:hAnsi="仿宋" w:cs="宋体" w:hint="eastAsia"/>
          <w:kern w:val="0"/>
          <w:sz w:val="24"/>
        </w:rPr>
        <w:lastRenderedPageBreak/>
        <w:t>盖公章、成功缴纳购买资金，并经华夏理财系统确认购买份额之日起生效。</w:t>
      </w:r>
    </w:p>
    <w:p w:rsidR="007A237D" w:rsidRDefault="00B25021">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如客户通过华夏理财/代销机构电子渠道购买本理财产品，本产品说明书自客户通过电子渠道确认同意，完成购买资金划付，并经华夏理财系统确认购买份额之日起生效。</w:t>
      </w:r>
    </w:p>
    <w:p w:rsidR="007A237D" w:rsidRDefault="007A237D">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7A237D" w:rsidRDefault="007A237D">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7A237D" w:rsidRDefault="007A237D">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7A237D" w:rsidRDefault="00B2502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7A237D" w:rsidRDefault="00B2502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7A237D" w:rsidRDefault="00B2502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7A237D" w:rsidRDefault="00B2502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7A237D" w:rsidRDefault="00B2502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7A237D" w:rsidRDefault="007A237D">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7A237D" w:rsidRDefault="00B2502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7A237D" w:rsidRDefault="007A237D">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7A237D" w:rsidRDefault="00B25021">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7A237D" w:rsidRDefault="00B25021">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7A237D">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微软简仿宋">
    <w:panose1 w:val="00000000000000000000"/>
    <w:charset w:val="86"/>
    <w:family w:val="auto"/>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5F33"/>
    <w:rsid w:val="00033110"/>
    <w:rsid w:val="0003409D"/>
    <w:rsid w:val="000431D6"/>
    <w:rsid w:val="00056226"/>
    <w:rsid w:val="00063AA0"/>
    <w:rsid w:val="00066824"/>
    <w:rsid w:val="00080678"/>
    <w:rsid w:val="0008310E"/>
    <w:rsid w:val="00096678"/>
    <w:rsid w:val="000A088E"/>
    <w:rsid w:val="000A6ED7"/>
    <w:rsid w:val="000B0F79"/>
    <w:rsid w:val="000C03A9"/>
    <w:rsid w:val="000C784C"/>
    <w:rsid w:val="000D02FE"/>
    <w:rsid w:val="000D0355"/>
    <w:rsid w:val="000F06E2"/>
    <w:rsid w:val="000F0814"/>
    <w:rsid w:val="000F42B8"/>
    <w:rsid w:val="00103712"/>
    <w:rsid w:val="00112345"/>
    <w:rsid w:val="0012371E"/>
    <w:rsid w:val="0013018C"/>
    <w:rsid w:val="00133FA8"/>
    <w:rsid w:val="0013677C"/>
    <w:rsid w:val="0016435C"/>
    <w:rsid w:val="00165B63"/>
    <w:rsid w:val="0017498E"/>
    <w:rsid w:val="0017523A"/>
    <w:rsid w:val="00186079"/>
    <w:rsid w:val="00187334"/>
    <w:rsid w:val="00190BB4"/>
    <w:rsid w:val="0019200F"/>
    <w:rsid w:val="001D2415"/>
    <w:rsid w:val="001E1606"/>
    <w:rsid w:val="001E3E69"/>
    <w:rsid w:val="001E41AD"/>
    <w:rsid w:val="001F7D2D"/>
    <w:rsid w:val="00215C06"/>
    <w:rsid w:val="00216AB4"/>
    <w:rsid w:val="002318DF"/>
    <w:rsid w:val="00244A8F"/>
    <w:rsid w:val="002553C2"/>
    <w:rsid w:val="00257913"/>
    <w:rsid w:val="00257999"/>
    <w:rsid w:val="00262B55"/>
    <w:rsid w:val="00280398"/>
    <w:rsid w:val="00282182"/>
    <w:rsid w:val="002960B6"/>
    <w:rsid w:val="002A05D2"/>
    <w:rsid w:val="002A2ED1"/>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161FB"/>
    <w:rsid w:val="00420E68"/>
    <w:rsid w:val="004259BA"/>
    <w:rsid w:val="00432CD8"/>
    <w:rsid w:val="00443D10"/>
    <w:rsid w:val="00460001"/>
    <w:rsid w:val="00463DC3"/>
    <w:rsid w:val="00482583"/>
    <w:rsid w:val="0048600F"/>
    <w:rsid w:val="00493909"/>
    <w:rsid w:val="004A2CEA"/>
    <w:rsid w:val="004B2316"/>
    <w:rsid w:val="004B3C7D"/>
    <w:rsid w:val="004C7E7D"/>
    <w:rsid w:val="004D72E5"/>
    <w:rsid w:val="004E4564"/>
    <w:rsid w:val="004E46BF"/>
    <w:rsid w:val="004E7458"/>
    <w:rsid w:val="004F0BBE"/>
    <w:rsid w:val="004F3054"/>
    <w:rsid w:val="00511A6C"/>
    <w:rsid w:val="00511F92"/>
    <w:rsid w:val="0051737C"/>
    <w:rsid w:val="00520E98"/>
    <w:rsid w:val="005228EC"/>
    <w:rsid w:val="0053489D"/>
    <w:rsid w:val="00541B21"/>
    <w:rsid w:val="005622E8"/>
    <w:rsid w:val="0058195A"/>
    <w:rsid w:val="00587F99"/>
    <w:rsid w:val="005902F0"/>
    <w:rsid w:val="005A1AD3"/>
    <w:rsid w:val="005B0C42"/>
    <w:rsid w:val="005B5A4F"/>
    <w:rsid w:val="005B7070"/>
    <w:rsid w:val="005B7E09"/>
    <w:rsid w:val="005D1B39"/>
    <w:rsid w:val="005D5825"/>
    <w:rsid w:val="005E041A"/>
    <w:rsid w:val="005E0594"/>
    <w:rsid w:val="005E4F8D"/>
    <w:rsid w:val="005E772E"/>
    <w:rsid w:val="006030F8"/>
    <w:rsid w:val="00603823"/>
    <w:rsid w:val="006120F9"/>
    <w:rsid w:val="006144F1"/>
    <w:rsid w:val="00623292"/>
    <w:rsid w:val="006309B4"/>
    <w:rsid w:val="0064430D"/>
    <w:rsid w:val="0066001D"/>
    <w:rsid w:val="006609EB"/>
    <w:rsid w:val="00661DAE"/>
    <w:rsid w:val="00664F8D"/>
    <w:rsid w:val="00665902"/>
    <w:rsid w:val="00665BDD"/>
    <w:rsid w:val="006714E1"/>
    <w:rsid w:val="00697279"/>
    <w:rsid w:val="006A3BD2"/>
    <w:rsid w:val="006B7A12"/>
    <w:rsid w:val="006C3AB4"/>
    <w:rsid w:val="006D1929"/>
    <w:rsid w:val="006D5CC0"/>
    <w:rsid w:val="006D61F9"/>
    <w:rsid w:val="006E465C"/>
    <w:rsid w:val="006E5108"/>
    <w:rsid w:val="006F108E"/>
    <w:rsid w:val="0070057F"/>
    <w:rsid w:val="00712D65"/>
    <w:rsid w:val="00714FA0"/>
    <w:rsid w:val="00734FCC"/>
    <w:rsid w:val="0075453D"/>
    <w:rsid w:val="00755C63"/>
    <w:rsid w:val="00757C4D"/>
    <w:rsid w:val="007660D1"/>
    <w:rsid w:val="0077151B"/>
    <w:rsid w:val="0078068C"/>
    <w:rsid w:val="0078428F"/>
    <w:rsid w:val="007930D6"/>
    <w:rsid w:val="00794BCC"/>
    <w:rsid w:val="007A237D"/>
    <w:rsid w:val="007A782E"/>
    <w:rsid w:val="007B16C0"/>
    <w:rsid w:val="007D7E45"/>
    <w:rsid w:val="007E69F8"/>
    <w:rsid w:val="007F34D2"/>
    <w:rsid w:val="007F5C98"/>
    <w:rsid w:val="008111D2"/>
    <w:rsid w:val="00813D80"/>
    <w:rsid w:val="008207C1"/>
    <w:rsid w:val="008218B0"/>
    <w:rsid w:val="00826EBE"/>
    <w:rsid w:val="00827E04"/>
    <w:rsid w:val="00832FBF"/>
    <w:rsid w:val="00836DCD"/>
    <w:rsid w:val="0084396D"/>
    <w:rsid w:val="00846542"/>
    <w:rsid w:val="00852297"/>
    <w:rsid w:val="00853BBD"/>
    <w:rsid w:val="00854406"/>
    <w:rsid w:val="0087356D"/>
    <w:rsid w:val="00875B22"/>
    <w:rsid w:val="00881449"/>
    <w:rsid w:val="00881AFC"/>
    <w:rsid w:val="00891BE8"/>
    <w:rsid w:val="008A758D"/>
    <w:rsid w:val="008C587B"/>
    <w:rsid w:val="008C5F1D"/>
    <w:rsid w:val="008C7FC7"/>
    <w:rsid w:val="008D32C9"/>
    <w:rsid w:val="008D4672"/>
    <w:rsid w:val="008E0E7F"/>
    <w:rsid w:val="008E7C57"/>
    <w:rsid w:val="00904F66"/>
    <w:rsid w:val="0091544A"/>
    <w:rsid w:val="0092398B"/>
    <w:rsid w:val="009266ED"/>
    <w:rsid w:val="00926B88"/>
    <w:rsid w:val="00940AE1"/>
    <w:rsid w:val="00950B58"/>
    <w:rsid w:val="0096591A"/>
    <w:rsid w:val="009707BD"/>
    <w:rsid w:val="009767AD"/>
    <w:rsid w:val="00991585"/>
    <w:rsid w:val="0099257B"/>
    <w:rsid w:val="009A1572"/>
    <w:rsid w:val="009B40CA"/>
    <w:rsid w:val="009B5749"/>
    <w:rsid w:val="009B654D"/>
    <w:rsid w:val="009C25C2"/>
    <w:rsid w:val="009E64E1"/>
    <w:rsid w:val="009F3291"/>
    <w:rsid w:val="00A10AA6"/>
    <w:rsid w:val="00A148B3"/>
    <w:rsid w:val="00A17147"/>
    <w:rsid w:val="00A23D14"/>
    <w:rsid w:val="00A40B5C"/>
    <w:rsid w:val="00A55BA0"/>
    <w:rsid w:val="00A762A9"/>
    <w:rsid w:val="00AA20BC"/>
    <w:rsid w:val="00AB6C5C"/>
    <w:rsid w:val="00AC051A"/>
    <w:rsid w:val="00AC0C84"/>
    <w:rsid w:val="00AC28C2"/>
    <w:rsid w:val="00AD1A8E"/>
    <w:rsid w:val="00AD5773"/>
    <w:rsid w:val="00AE3F67"/>
    <w:rsid w:val="00AE55A6"/>
    <w:rsid w:val="00AF0D6A"/>
    <w:rsid w:val="00AF2148"/>
    <w:rsid w:val="00AF4114"/>
    <w:rsid w:val="00AF79D6"/>
    <w:rsid w:val="00B017EB"/>
    <w:rsid w:val="00B12B80"/>
    <w:rsid w:val="00B13FB3"/>
    <w:rsid w:val="00B15AEA"/>
    <w:rsid w:val="00B25021"/>
    <w:rsid w:val="00B2549A"/>
    <w:rsid w:val="00B26E45"/>
    <w:rsid w:val="00B302D6"/>
    <w:rsid w:val="00B33142"/>
    <w:rsid w:val="00B34C10"/>
    <w:rsid w:val="00B37587"/>
    <w:rsid w:val="00B64A10"/>
    <w:rsid w:val="00B7068C"/>
    <w:rsid w:val="00B75E52"/>
    <w:rsid w:val="00B835AA"/>
    <w:rsid w:val="00B86087"/>
    <w:rsid w:val="00B90CDB"/>
    <w:rsid w:val="00B960A6"/>
    <w:rsid w:val="00B97A5C"/>
    <w:rsid w:val="00BC7FC9"/>
    <w:rsid w:val="00BE486A"/>
    <w:rsid w:val="00C07B9F"/>
    <w:rsid w:val="00C2501F"/>
    <w:rsid w:val="00C26621"/>
    <w:rsid w:val="00C34AF2"/>
    <w:rsid w:val="00C34C70"/>
    <w:rsid w:val="00C461D7"/>
    <w:rsid w:val="00C7590C"/>
    <w:rsid w:val="00C8002D"/>
    <w:rsid w:val="00CA6243"/>
    <w:rsid w:val="00CB07A0"/>
    <w:rsid w:val="00CB300C"/>
    <w:rsid w:val="00CC6613"/>
    <w:rsid w:val="00CD1AC8"/>
    <w:rsid w:val="00CD75FB"/>
    <w:rsid w:val="00CE795C"/>
    <w:rsid w:val="00CF453E"/>
    <w:rsid w:val="00CF4EE5"/>
    <w:rsid w:val="00D03E60"/>
    <w:rsid w:val="00D06EC1"/>
    <w:rsid w:val="00D07C3B"/>
    <w:rsid w:val="00D10CA5"/>
    <w:rsid w:val="00D20E48"/>
    <w:rsid w:val="00D224A0"/>
    <w:rsid w:val="00D54E89"/>
    <w:rsid w:val="00D62515"/>
    <w:rsid w:val="00D62EAE"/>
    <w:rsid w:val="00D633D2"/>
    <w:rsid w:val="00D64CD6"/>
    <w:rsid w:val="00D7194A"/>
    <w:rsid w:val="00D74E35"/>
    <w:rsid w:val="00D81EE7"/>
    <w:rsid w:val="00D842DC"/>
    <w:rsid w:val="00D92F2F"/>
    <w:rsid w:val="00D96806"/>
    <w:rsid w:val="00DA1051"/>
    <w:rsid w:val="00DB3201"/>
    <w:rsid w:val="00DB6A3F"/>
    <w:rsid w:val="00DC5F87"/>
    <w:rsid w:val="00DE1803"/>
    <w:rsid w:val="00DE30BD"/>
    <w:rsid w:val="00DE7DB8"/>
    <w:rsid w:val="00DF01F0"/>
    <w:rsid w:val="00E01C5E"/>
    <w:rsid w:val="00E02F1C"/>
    <w:rsid w:val="00E064E3"/>
    <w:rsid w:val="00E254D4"/>
    <w:rsid w:val="00E32C0D"/>
    <w:rsid w:val="00E51A3D"/>
    <w:rsid w:val="00E52D92"/>
    <w:rsid w:val="00E53D13"/>
    <w:rsid w:val="00E62046"/>
    <w:rsid w:val="00E65F0B"/>
    <w:rsid w:val="00E8067C"/>
    <w:rsid w:val="00E844E1"/>
    <w:rsid w:val="00E86945"/>
    <w:rsid w:val="00E91719"/>
    <w:rsid w:val="00E93A95"/>
    <w:rsid w:val="00E97A4D"/>
    <w:rsid w:val="00EA4EFE"/>
    <w:rsid w:val="00EC1941"/>
    <w:rsid w:val="00EC5FFD"/>
    <w:rsid w:val="00ED51B9"/>
    <w:rsid w:val="00ED5CA8"/>
    <w:rsid w:val="00EE0EFC"/>
    <w:rsid w:val="00EE2805"/>
    <w:rsid w:val="00EE4B28"/>
    <w:rsid w:val="00EE5ED9"/>
    <w:rsid w:val="00F02D76"/>
    <w:rsid w:val="00F045C3"/>
    <w:rsid w:val="00F05127"/>
    <w:rsid w:val="00F208BA"/>
    <w:rsid w:val="00F512E9"/>
    <w:rsid w:val="00F54606"/>
    <w:rsid w:val="00F67A6A"/>
    <w:rsid w:val="00F67A9C"/>
    <w:rsid w:val="00F72DB1"/>
    <w:rsid w:val="00F77DC9"/>
    <w:rsid w:val="00F82368"/>
    <w:rsid w:val="00FA70D5"/>
    <w:rsid w:val="00FB10EC"/>
    <w:rsid w:val="00FB60EA"/>
    <w:rsid w:val="00FC0983"/>
    <w:rsid w:val="00FC21F8"/>
    <w:rsid w:val="00FC5119"/>
    <w:rsid w:val="00FC6689"/>
    <w:rsid w:val="00FC72F2"/>
    <w:rsid w:val="00FF1A4F"/>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9EF471A"/>
    <w:rsid w:val="0A01440A"/>
    <w:rsid w:val="0A513B0D"/>
    <w:rsid w:val="0A5478A3"/>
    <w:rsid w:val="0CF0675C"/>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4E3B0B"/>
    <w:rsid w:val="11585397"/>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C01B0"/>
    <w:rsid w:val="1584793E"/>
    <w:rsid w:val="15874EAA"/>
    <w:rsid w:val="15C47445"/>
    <w:rsid w:val="15DF45C9"/>
    <w:rsid w:val="15E41B70"/>
    <w:rsid w:val="162E0DFB"/>
    <w:rsid w:val="16440A35"/>
    <w:rsid w:val="16577530"/>
    <w:rsid w:val="167255CF"/>
    <w:rsid w:val="16840173"/>
    <w:rsid w:val="16FB6F37"/>
    <w:rsid w:val="170D06E0"/>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4D1B"/>
    <w:rsid w:val="1BCE5D96"/>
    <w:rsid w:val="1BDE2098"/>
    <w:rsid w:val="1BE069CA"/>
    <w:rsid w:val="1C465E86"/>
    <w:rsid w:val="1C726314"/>
    <w:rsid w:val="1C8B0511"/>
    <w:rsid w:val="1CE252F3"/>
    <w:rsid w:val="1D104FDC"/>
    <w:rsid w:val="1D117096"/>
    <w:rsid w:val="1D4E59B7"/>
    <w:rsid w:val="1DE516B8"/>
    <w:rsid w:val="1E047274"/>
    <w:rsid w:val="1E433C85"/>
    <w:rsid w:val="1E890F40"/>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324AF8"/>
    <w:rsid w:val="25C3267A"/>
    <w:rsid w:val="25D568B4"/>
    <w:rsid w:val="25F33B9E"/>
    <w:rsid w:val="260C731E"/>
    <w:rsid w:val="26103F21"/>
    <w:rsid w:val="26ED1684"/>
    <w:rsid w:val="27C604DA"/>
    <w:rsid w:val="27EA63D1"/>
    <w:rsid w:val="287A5D0E"/>
    <w:rsid w:val="28B05EE9"/>
    <w:rsid w:val="28D30187"/>
    <w:rsid w:val="28E571A8"/>
    <w:rsid w:val="294C4E21"/>
    <w:rsid w:val="295264D7"/>
    <w:rsid w:val="296D4B02"/>
    <w:rsid w:val="2A103412"/>
    <w:rsid w:val="2A1E1418"/>
    <w:rsid w:val="2A770C99"/>
    <w:rsid w:val="2B2942A8"/>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4746F38"/>
    <w:rsid w:val="35034F52"/>
    <w:rsid w:val="352C602C"/>
    <w:rsid w:val="35B16527"/>
    <w:rsid w:val="36774E48"/>
    <w:rsid w:val="36B76A85"/>
    <w:rsid w:val="36B82ADE"/>
    <w:rsid w:val="37174190"/>
    <w:rsid w:val="376879F0"/>
    <w:rsid w:val="378F057D"/>
    <w:rsid w:val="37EC4B4C"/>
    <w:rsid w:val="383529C2"/>
    <w:rsid w:val="387B665C"/>
    <w:rsid w:val="39690814"/>
    <w:rsid w:val="39B76C90"/>
    <w:rsid w:val="39C37A55"/>
    <w:rsid w:val="39C53B44"/>
    <w:rsid w:val="39EF39C3"/>
    <w:rsid w:val="3A021304"/>
    <w:rsid w:val="3A23092B"/>
    <w:rsid w:val="3A35598B"/>
    <w:rsid w:val="3A595F4B"/>
    <w:rsid w:val="3A9D0C11"/>
    <w:rsid w:val="3AE57AB9"/>
    <w:rsid w:val="3B4C73CF"/>
    <w:rsid w:val="3BC55932"/>
    <w:rsid w:val="3C7826C2"/>
    <w:rsid w:val="3C8F2051"/>
    <w:rsid w:val="3CD87A38"/>
    <w:rsid w:val="3D83215E"/>
    <w:rsid w:val="3DF76443"/>
    <w:rsid w:val="3DFF3A1A"/>
    <w:rsid w:val="3EA946F7"/>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6E93EA5"/>
    <w:rsid w:val="476049FD"/>
    <w:rsid w:val="47802A85"/>
    <w:rsid w:val="47E65D23"/>
    <w:rsid w:val="47F6480D"/>
    <w:rsid w:val="4801691C"/>
    <w:rsid w:val="483003A5"/>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4F8F4B84"/>
    <w:rsid w:val="4FC031BD"/>
    <w:rsid w:val="500C5A60"/>
    <w:rsid w:val="501E233E"/>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DC1578"/>
    <w:rsid w:val="5EE6353D"/>
    <w:rsid w:val="5F0310B7"/>
    <w:rsid w:val="5F0C287E"/>
    <w:rsid w:val="5F1655AE"/>
    <w:rsid w:val="5F5952B0"/>
    <w:rsid w:val="602E28A2"/>
    <w:rsid w:val="603E2C23"/>
    <w:rsid w:val="60C0423D"/>
    <w:rsid w:val="60E7450D"/>
    <w:rsid w:val="6166406C"/>
    <w:rsid w:val="618F3AF2"/>
    <w:rsid w:val="61DA68DC"/>
    <w:rsid w:val="622708C6"/>
    <w:rsid w:val="62460A47"/>
    <w:rsid w:val="627931BD"/>
    <w:rsid w:val="63554C8E"/>
    <w:rsid w:val="63890B77"/>
    <w:rsid w:val="63970830"/>
    <w:rsid w:val="639D1EC4"/>
    <w:rsid w:val="63A13700"/>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26D33"/>
    <w:rsid w:val="6AAC3F8C"/>
    <w:rsid w:val="6AFD414A"/>
    <w:rsid w:val="6B4C2F45"/>
    <w:rsid w:val="6B6E4269"/>
    <w:rsid w:val="6B961612"/>
    <w:rsid w:val="6B966680"/>
    <w:rsid w:val="6C161AD0"/>
    <w:rsid w:val="6D157AE9"/>
    <w:rsid w:val="6D275220"/>
    <w:rsid w:val="6D2E7D50"/>
    <w:rsid w:val="6DD90E21"/>
    <w:rsid w:val="6DE0162F"/>
    <w:rsid w:val="6DFA3383"/>
    <w:rsid w:val="6E1A49C5"/>
    <w:rsid w:val="6E254EA7"/>
    <w:rsid w:val="6E4B2AEB"/>
    <w:rsid w:val="6EBB30B7"/>
    <w:rsid w:val="6F0D185D"/>
    <w:rsid w:val="6F786BDA"/>
    <w:rsid w:val="6F7F6679"/>
    <w:rsid w:val="6FA9351C"/>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37D3686"/>
    <w:rsid w:val="73E20E2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994D54"/>
    <w:rsid w:val="7CDB4C9F"/>
    <w:rsid w:val="7D016D57"/>
    <w:rsid w:val="7D2B624D"/>
    <w:rsid w:val="7D6F00D9"/>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544D4F8-25B3-4ED1-86D2-87B5AD31C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Body Text Inden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ody Text Indent"/>
    <w:basedOn w:val="a"/>
    <w:unhideWhenUsed/>
    <w:qFormat/>
    <w:pPr>
      <w:ind w:firstLine="630"/>
    </w:pPr>
    <w:rPr>
      <w:kern w:val="0"/>
      <w:sz w:val="24"/>
    </w:rPr>
  </w:style>
  <w:style w:type="paragraph" w:styleId="a5">
    <w:name w:val="Balloon Text"/>
    <w:basedOn w:val="a"/>
    <w:semiHidden/>
    <w:qFormat/>
    <w:rPr>
      <w:sz w:val="18"/>
      <w:szCs w:val="18"/>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20"/>
    </w:rPr>
  </w:style>
  <w:style w:type="paragraph" w:styleId="a8">
    <w:name w:val="annotation subject"/>
    <w:basedOn w:val="a3"/>
    <w:next w:val="a3"/>
    <w:link w:val="Char0"/>
    <w:qFormat/>
    <w:rPr>
      <w:b/>
      <w:bCs/>
    </w:rPr>
  </w:style>
  <w:style w:type="table" w:styleId="a9">
    <w:name w:val="Table Grid"/>
    <w:basedOn w:val="a1"/>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qFormat/>
    <w:rPr>
      <w:sz w:val="21"/>
      <w:szCs w:val="21"/>
    </w:rPr>
  </w:style>
  <w:style w:type="character" w:customStyle="1" w:styleId="Char0">
    <w:name w:val="批注主题 Char"/>
    <w:link w:val="a8"/>
    <w:qFormat/>
    <w:rPr>
      <w:b/>
      <w:bCs/>
      <w:kern w:val="2"/>
      <w:sz w:val="21"/>
      <w:szCs w:val="24"/>
    </w:rPr>
  </w:style>
  <w:style w:type="character" w:customStyle="1" w:styleId="Char">
    <w:name w:val="批注文字 Char"/>
    <w:link w:val="a3"/>
    <w:qFormat/>
    <w:rPr>
      <w:kern w:val="2"/>
      <w:sz w:val="21"/>
      <w:szCs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16</Pages>
  <Words>2421</Words>
  <Characters>13806</Characters>
  <Application>Microsoft Office Word</Application>
  <DocSecurity>0</DocSecurity>
  <Lines>115</Lines>
  <Paragraphs>32</Paragraphs>
  <ScaleCrop>false</ScaleCrop>
  <Company>华夏银行总行</Company>
  <LinksUpToDate>false</LinksUpToDate>
  <CharactersWithSpaces>16195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华夏理财跃盈封闭式</dc:title>
  <dc:subject/>
  <dc:creator>ylh</dc:creator>
  <cp:keywords>跃盈</cp:keywords>
  <cp:lastModifiedBy>产品营销部</cp:lastModifiedBy>
  <cp:revision>4</cp:revision>
  <cp:lastPrinted>2023-04-18T02:22:00Z</cp:lastPrinted>
  <dcterms:created xsi:type="dcterms:W3CDTF">2023-04-18T02:20:00Z</dcterms:created>
  <dcterms:modified xsi:type="dcterms:W3CDTF">2023-04-18T02:35:00Z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7FD58229F76F425C97CE679FD6D5D50E</vt:lpwstr>
  </property>
</Properties>
</file>