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739" w:rsidRDefault="00812191">
      <w:pPr>
        <w:pStyle w:val="a5"/>
        <w:widowControl/>
        <w:spacing w:line="240" w:lineRule="auto"/>
        <w:ind w:firstLine="0"/>
        <w:jc w:val="center"/>
        <w:rPr>
          <w:rFonts w:eastAsia="黑体"/>
          <w:bCs/>
          <w:sz w:val="36"/>
          <w:szCs w:val="36"/>
        </w:rPr>
      </w:pPr>
      <w:r>
        <w:rPr>
          <w:rFonts w:eastAsia="黑体" w:hint="eastAsia"/>
          <w:bCs/>
          <w:sz w:val="36"/>
          <w:szCs w:val="36"/>
        </w:rPr>
        <w:t>华夏理财固定收益债权型封闭式理财产品</w:t>
      </w:r>
      <w:r w:rsidR="00BB69FA" w:rsidRPr="00BB69FA">
        <w:rPr>
          <w:rFonts w:eastAsia="黑体" w:hint="eastAsia"/>
          <w:bCs/>
          <w:sz w:val="36"/>
          <w:szCs w:val="36"/>
        </w:rPr>
        <w:t>96</w:t>
      </w:r>
      <w:r w:rsidR="00BB69FA" w:rsidRPr="00BB69FA">
        <w:rPr>
          <w:rFonts w:eastAsia="黑体" w:hint="eastAsia"/>
          <w:bCs/>
          <w:sz w:val="36"/>
          <w:szCs w:val="36"/>
        </w:rPr>
        <w:t>号</w:t>
      </w:r>
    </w:p>
    <w:p w:rsidR="004E0739" w:rsidRDefault="00812191">
      <w:pPr>
        <w:pStyle w:val="a5"/>
        <w:widowControl/>
        <w:spacing w:line="240" w:lineRule="auto"/>
        <w:ind w:firstLine="0"/>
        <w:jc w:val="center"/>
        <w:rPr>
          <w:rFonts w:eastAsia="黑体"/>
          <w:bCs/>
          <w:sz w:val="36"/>
          <w:szCs w:val="36"/>
        </w:rPr>
      </w:pPr>
      <w:r>
        <w:rPr>
          <w:rFonts w:eastAsia="黑体" w:hint="eastAsia"/>
          <w:bCs/>
          <w:sz w:val="36"/>
          <w:szCs w:val="36"/>
        </w:rPr>
        <w:t>说明书</w:t>
      </w:r>
    </w:p>
    <w:tbl>
      <w:tblPr>
        <w:tblW w:w="856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69"/>
      </w:tblGrid>
      <w:tr w:rsidR="004E0739">
        <w:trPr>
          <w:trHeight w:val="6140"/>
          <w:jc w:val="center"/>
        </w:trPr>
        <w:tc>
          <w:tcPr>
            <w:tcW w:w="8569" w:type="dxa"/>
            <w:tcBorders>
              <w:top w:val="single" w:sz="4" w:space="0" w:color="auto"/>
              <w:left w:val="single" w:sz="4" w:space="0" w:color="auto"/>
              <w:right w:val="single" w:sz="4" w:space="0" w:color="auto"/>
            </w:tcBorders>
            <w:vAlign w:val="center"/>
          </w:tcPr>
          <w:p w:rsidR="004E0739" w:rsidRDefault="00812191">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4E0739" w:rsidRDefault="00812191">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4E0739" w:rsidRDefault="00812191">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4E0739" w:rsidRDefault="00812191">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0" w:name="_Hlk76301410"/>
            <w:r>
              <w:rPr>
                <w:rFonts w:ascii="黑体" w:eastAsia="黑体" w:hAnsi="黑体" w:hint="eastAsia"/>
                <w:b/>
                <w:sz w:val="28"/>
                <w:szCs w:val="28"/>
                <w:u w:val="single"/>
              </w:rPr>
              <w:t>华夏银行客户服务热线95577或其他代理销售机构客户服务热线</w:t>
            </w:r>
            <w:bookmarkEnd w:id="0"/>
            <w:r>
              <w:rPr>
                <w:rFonts w:ascii="黑体" w:eastAsia="黑体" w:hAnsi="黑体" w:hint="eastAsia"/>
                <w:b/>
                <w:sz w:val="28"/>
                <w:szCs w:val="28"/>
                <w:u w:val="single"/>
              </w:rPr>
              <w:t>。</w:t>
            </w:r>
          </w:p>
        </w:tc>
      </w:tr>
    </w:tbl>
    <w:p w:rsidR="004E0739" w:rsidRDefault="00812191">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30"/>
        <w:gridCol w:w="7404"/>
      </w:tblGrid>
      <w:tr w:rsidR="004E0739">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华夏理财固定收益债权型封闭式理财产品</w:t>
            </w:r>
            <w:r w:rsidR="00BB69FA" w:rsidRPr="00BB69FA">
              <w:rPr>
                <w:rFonts w:ascii="仿宋" w:eastAsia="仿宋" w:hAnsi="仿宋" w:hint="eastAsia"/>
                <w:b/>
                <w:bCs/>
                <w:szCs w:val="21"/>
              </w:rPr>
              <w:t>96号</w:t>
            </w:r>
          </w:p>
          <w:p w:rsidR="004E0739" w:rsidRDefault="00812191">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A份额简称：“华夏理财固收债权封闭式</w:t>
            </w:r>
            <w:r w:rsidR="00BB69FA" w:rsidRPr="00BB69FA">
              <w:rPr>
                <w:rFonts w:ascii="仿宋" w:eastAsia="仿宋" w:hAnsi="仿宋" w:hint="eastAsia"/>
                <w:b/>
                <w:bCs/>
                <w:szCs w:val="21"/>
              </w:rPr>
              <w:t>96号111天</w:t>
            </w:r>
            <w:r>
              <w:rPr>
                <w:rFonts w:ascii="仿宋" w:eastAsia="仿宋" w:hAnsi="仿宋" w:hint="eastAsia"/>
                <w:b/>
                <w:bCs/>
                <w:szCs w:val="21"/>
              </w:rPr>
              <w:t>A”</w:t>
            </w:r>
          </w:p>
          <w:p w:rsidR="004E0739" w:rsidRDefault="00812191">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B份额简称：“华夏理财固收债权封闭式</w:t>
            </w:r>
            <w:r w:rsidR="00BB69FA" w:rsidRPr="00BB69FA">
              <w:rPr>
                <w:rFonts w:ascii="仿宋" w:eastAsia="仿宋" w:hAnsi="仿宋" w:hint="eastAsia"/>
                <w:b/>
                <w:bCs/>
                <w:szCs w:val="21"/>
              </w:rPr>
              <w:t>96号111天</w:t>
            </w:r>
            <w:r>
              <w:rPr>
                <w:rFonts w:ascii="仿宋" w:eastAsia="仿宋" w:hAnsi="仿宋" w:hint="eastAsia"/>
                <w:b/>
                <w:bCs/>
                <w:szCs w:val="21"/>
              </w:rPr>
              <w:t>B”</w:t>
            </w:r>
          </w:p>
          <w:p w:rsidR="004E0739" w:rsidRDefault="00812191">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C份额简称：“华夏理财固收债权封闭式</w:t>
            </w:r>
            <w:r w:rsidR="00BB69FA" w:rsidRPr="00BB69FA">
              <w:rPr>
                <w:rFonts w:ascii="仿宋" w:eastAsia="仿宋" w:hAnsi="仿宋" w:hint="eastAsia"/>
                <w:b/>
                <w:bCs/>
                <w:szCs w:val="21"/>
              </w:rPr>
              <w:t>96号111天</w:t>
            </w:r>
            <w:r>
              <w:rPr>
                <w:rFonts w:ascii="仿宋" w:eastAsia="仿宋" w:hAnsi="仿宋" w:hint="eastAsia"/>
                <w:b/>
                <w:bCs/>
                <w:szCs w:val="21"/>
              </w:rPr>
              <w:t>C”</w:t>
            </w:r>
          </w:p>
        </w:tc>
      </w:tr>
      <w:tr w:rsidR="004E0739">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BB69FA">
            <w:pPr>
              <w:adjustRightInd w:val="0"/>
              <w:snapToGrid w:val="0"/>
              <w:spacing w:line="300" w:lineRule="exact"/>
              <w:jc w:val="center"/>
              <w:rPr>
                <w:rFonts w:ascii="仿宋" w:eastAsia="仿宋" w:hAnsi="仿宋"/>
                <w:bCs/>
                <w:szCs w:val="21"/>
              </w:rPr>
            </w:pPr>
            <w:r w:rsidRPr="00BB69FA">
              <w:rPr>
                <w:rFonts w:ascii="仿宋" w:eastAsia="仿宋" w:hAnsi="仿宋"/>
                <w:bCs/>
                <w:szCs w:val="21"/>
              </w:rPr>
              <w:t>23121096</w:t>
            </w:r>
          </w:p>
        </w:tc>
      </w:tr>
      <w:tr w:rsidR="004E0739">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A份额代码：</w:t>
            </w:r>
            <w:r w:rsidR="00BB69FA" w:rsidRPr="00BB69FA">
              <w:rPr>
                <w:rFonts w:ascii="仿宋" w:eastAsia="仿宋" w:hAnsi="仿宋"/>
                <w:bCs/>
                <w:szCs w:val="21"/>
              </w:rPr>
              <w:t>23121096</w:t>
            </w:r>
            <w:r>
              <w:rPr>
                <w:rFonts w:ascii="仿宋" w:eastAsia="仿宋" w:hAnsi="仿宋" w:hint="eastAsia"/>
                <w:bCs/>
                <w:szCs w:val="21"/>
              </w:rPr>
              <w:t>A</w:t>
            </w:r>
          </w:p>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B份额代码：</w:t>
            </w:r>
            <w:r w:rsidR="00BB69FA" w:rsidRPr="00BB69FA">
              <w:rPr>
                <w:rFonts w:ascii="仿宋" w:eastAsia="仿宋" w:hAnsi="仿宋"/>
                <w:bCs/>
                <w:szCs w:val="21"/>
              </w:rPr>
              <w:t>23121096</w:t>
            </w:r>
            <w:r>
              <w:rPr>
                <w:rFonts w:ascii="仿宋" w:eastAsia="仿宋" w:hAnsi="仿宋" w:hint="eastAsia"/>
                <w:bCs/>
                <w:szCs w:val="21"/>
              </w:rPr>
              <w:t>B</w:t>
            </w:r>
          </w:p>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C份额代码：</w:t>
            </w:r>
            <w:r w:rsidR="00BB69FA" w:rsidRPr="00BB69FA">
              <w:rPr>
                <w:rFonts w:ascii="仿宋" w:eastAsia="仿宋" w:hAnsi="仿宋"/>
                <w:bCs/>
                <w:szCs w:val="21"/>
              </w:rPr>
              <w:t>23121096</w:t>
            </w:r>
            <w:r>
              <w:rPr>
                <w:rFonts w:ascii="仿宋" w:eastAsia="仿宋" w:hAnsi="仿宋" w:hint="eastAsia"/>
                <w:bCs/>
                <w:szCs w:val="21"/>
              </w:rPr>
              <w:t>C</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BB69FA">
            <w:pPr>
              <w:keepNext/>
              <w:adjustRightInd w:val="0"/>
              <w:snapToGrid w:val="0"/>
              <w:spacing w:line="300" w:lineRule="exact"/>
              <w:jc w:val="center"/>
              <w:rPr>
                <w:rFonts w:ascii="仿宋" w:eastAsia="仿宋" w:hAnsi="仿宋"/>
                <w:bCs/>
                <w:szCs w:val="21"/>
              </w:rPr>
            </w:pPr>
            <w:r w:rsidRPr="00BB69FA">
              <w:rPr>
                <w:rFonts w:ascii="仿宋" w:eastAsia="仿宋" w:hAnsi="仿宋"/>
                <w:bCs/>
                <w:szCs w:val="21"/>
              </w:rPr>
              <w:t>Z7003923000144</w:t>
            </w:r>
          </w:p>
          <w:p w:rsidR="004E0739" w:rsidRDefault="00812191">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投资者可以依据该登记编码在中国理财网（www.chinawealth.com.cn）查询产品信息</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4E0739" w:rsidRDefault="00812191">
            <w:pPr>
              <w:adjustRightInd w:val="0"/>
              <w:snapToGrid w:val="0"/>
              <w:spacing w:line="240" w:lineRule="atLeast"/>
              <w:jc w:val="center"/>
              <w:rPr>
                <w:rFonts w:ascii="仿宋" w:eastAsia="仿宋" w:hAnsi="仿宋"/>
                <w:bCs/>
                <w:szCs w:val="21"/>
              </w:rP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jc w:val="center"/>
              <w:rPr>
                <w:rFonts w:ascii="仿宋" w:eastAsia="仿宋" w:hAnsi="仿宋"/>
                <w:bCs/>
                <w:szCs w:val="21"/>
              </w:rPr>
            </w:pPr>
            <w:r>
              <w:rPr>
                <w:rFonts w:ascii="仿宋" w:eastAsia="仿宋" w:hAnsi="仿宋" w:hint="eastAsia"/>
                <w:bCs/>
                <w:szCs w:val="21"/>
              </w:rPr>
              <w:t>华夏理财</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公募</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封闭式净值型</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固定收益类</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非保本浮动收益</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人民币</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PR2级（中低风险）</w:t>
            </w:r>
            <w:r>
              <w:rPr>
                <w:rFonts w:ascii="仿宋" w:eastAsia="仿宋" w:hAnsi="仿宋"/>
                <w:bCs/>
                <w:szCs w:val="21"/>
                <w:u w:val="single"/>
              </w:rPr>
              <w:t xml:space="preserve"> </w:t>
            </w:r>
            <w:r>
              <w:rPr>
                <w:rFonts w:ascii="仿宋" w:eastAsia="仿宋" w:hAnsi="仿宋"/>
                <w:bCs/>
                <w:szCs w:val="21"/>
              </w:rPr>
              <w:t>理财产品。</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本理财产品风险评级为华夏理财自主评定，仅供参考。</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
                <w:bCs/>
                <w:szCs w:val="21"/>
              </w:rPr>
            </w:pPr>
            <w:r>
              <w:rPr>
                <w:rFonts w:ascii="仿宋" w:eastAsia="仿宋" w:hAnsi="仿宋" w:hint="eastAsia"/>
                <w:bCs/>
                <w:szCs w:val="21"/>
              </w:rPr>
              <w:t>本理财产品通过代理销售机构（以下简称“代销机构”）渠道销售的，理财产品评级应当以</w:t>
            </w:r>
            <w:bookmarkStart w:id="1" w:name="_Hlk76302700"/>
            <w:r>
              <w:rPr>
                <w:rFonts w:ascii="仿宋" w:eastAsia="仿宋" w:hAnsi="仿宋" w:hint="eastAsia"/>
                <w:bCs/>
                <w:szCs w:val="21"/>
              </w:rPr>
              <w:t>代销机构最终披露的评级结果</w:t>
            </w:r>
            <w:bookmarkEnd w:id="1"/>
            <w:r>
              <w:rPr>
                <w:rFonts w:ascii="仿宋" w:eastAsia="仿宋" w:hAnsi="仿宋" w:hint="eastAsia"/>
                <w:bCs/>
                <w:szCs w:val="21"/>
              </w:rPr>
              <w:t>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bCs/>
                <w:szCs w:val="21"/>
                <w:u w:val="single"/>
              </w:rPr>
              <w:t xml:space="preserve"> </w:t>
            </w:r>
            <w:r>
              <w:rPr>
                <w:rFonts w:ascii="仿宋" w:eastAsia="仿宋" w:hAnsi="仿宋" w:hint="eastAsia"/>
                <w:bCs/>
                <w:szCs w:val="21"/>
                <w:u w:val="single"/>
              </w:rPr>
              <w:t>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w:t>
            </w:r>
            <w:r>
              <w:rPr>
                <w:rFonts w:ascii="仿宋" w:eastAsia="仿宋" w:hAnsi="仿宋" w:hint="eastAsia"/>
                <w:b/>
                <w:bCs/>
                <w:color w:val="000000"/>
                <w:szCs w:val="21"/>
              </w:rPr>
              <w:t>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C4438D" w:rsidRPr="00C4438D" w:rsidRDefault="00812191" w:rsidP="00C4438D">
            <w:pPr>
              <w:adjustRightInd w:val="0"/>
              <w:snapToGrid w:val="0"/>
              <w:spacing w:line="240" w:lineRule="atLeast"/>
              <w:ind w:firstLineChars="200" w:firstLine="420"/>
              <w:rPr>
                <w:rFonts w:ascii="仿宋" w:eastAsia="仿宋" w:hAnsi="仿宋" w:cs="Cambria" w:hint="eastAsia"/>
                <w:bCs/>
                <w:szCs w:val="21"/>
              </w:rPr>
            </w:pPr>
            <w:r>
              <w:rPr>
                <w:rFonts w:ascii="仿宋" w:eastAsia="仿宋" w:hAnsi="仿宋" w:cs="Cambria" w:hint="eastAsia"/>
                <w:bCs/>
                <w:szCs w:val="21"/>
              </w:rPr>
              <w:t>A份额：业绩</w:t>
            </w:r>
            <w:r>
              <w:rPr>
                <w:rFonts w:ascii="仿宋" w:eastAsia="仿宋" w:hAnsi="仿宋" w:hint="eastAsia"/>
                <w:bCs/>
                <w:szCs w:val="21"/>
              </w:rPr>
              <w:t>比较</w:t>
            </w:r>
            <w:r>
              <w:rPr>
                <w:rFonts w:ascii="仿宋" w:eastAsia="仿宋" w:hAnsi="仿宋" w:cs="Cambria" w:hint="eastAsia"/>
                <w:bCs/>
                <w:szCs w:val="21"/>
              </w:rPr>
              <w:t>基准为2.90</w:t>
            </w:r>
            <w:r>
              <w:rPr>
                <w:rFonts w:ascii="仿宋" w:eastAsia="仿宋" w:hAnsi="仿宋" w:cs="Cambria"/>
                <w:bCs/>
                <w:szCs w:val="21"/>
              </w:rPr>
              <w:t>%</w:t>
            </w:r>
            <w:r>
              <w:rPr>
                <w:rFonts w:ascii="仿宋" w:eastAsia="仿宋" w:hAnsi="仿宋" w:cs="Cambria" w:hint="eastAsia"/>
                <w:bCs/>
                <w:szCs w:val="21"/>
              </w:rPr>
              <w:t>（年化）;B份额：业绩</w:t>
            </w:r>
            <w:r>
              <w:rPr>
                <w:rFonts w:ascii="仿宋" w:eastAsia="仿宋" w:hAnsi="仿宋" w:hint="eastAsia"/>
                <w:bCs/>
                <w:szCs w:val="21"/>
              </w:rPr>
              <w:t>比较</w:t>
            </w:r>
            <w:r>
              <w:rPr>
                <w:rFonts w:ascii="仿宋" w:eastAsia="仿宋" w:hAnsi="仿宋" w:cs="Cambria" w:hint="eastAsia"/>
                <w:bCs/>
                <w:szCs w:val="21"/>
              </w:rPr>
              <w:t>基准为</w:t>
            </w:r>
            <w:r>
              <w:rPr>
                <w:rFonts w:ascii="仿宋" w:eastAsia="仿宋" w:hAnsi="仿宋" w:cs="Cambria"/>
                <w:bCs/>
                <w:szCs w:val="21"/>
              </w:rPr>
              <w:t>2.</w:t>
            </w:r>
            <w:r>
              <w:rPr>
                <w:rFonts w:ascii="仿宋" w:eastAsia="仿宋" w:hAnsi="仿宋" w:cs="Cambria" w:hint="eastAsia"/>
                <w:bCs/>
                <w:szCs w:val="21"/>
              </w:rPr>
              <w:t>85</w:t>
            </w:r>
            <w:r>
              <w:rPr>
                <w:rFonts w:ascii="仿宋" w:eastAsia="仿宋" w:hAnsi="仿宋" w:cs="Cambria"/>
                <w:bCs/>
                <w:szCs w:val="21"/>
              </w:rPr>
              <w:t>%</w:t>
            </w:r>
            <w:r>
              <w:rPr>
                <w:rFonts w:ascii="仿宋" w:eastAsia="仿宋" w:hAnsi="仿宋" w:cs="Cambria" w:hint="eastAsia"/>
                <w:bCs/>
                <w:szCs w:val="21"/>
              </w:rPr>
              <w:t>（年化）;C份额：业绩</w:t>
            </w:r>
            <w:r>
              <w:rPr>
                <w:rFonts w:ascii="仿宋" w:eastAsia="仿宋" w:hAnsi="仿宋" w:hint="eastAsia"/>
                <w:bCs/>
                <w:szCs w:val="21"/>
              </w:rPr>
              <w:t>比较</w:t>
            </w:r>
            <w:r>
              <w:rPr>
                <w:rFonts w:ascii="仿宋" w:eastAsia="仿宋" w:hAnsi="仿宋" w:cs="Cambria" w:hint="eastAsia"/>
                <w:bCs/>
                <w:szCs w:val="21"/>
              </w:rPr>
              <w:t>基准为</w:t>
            </w:r>
            <w:r>
              <w:rPr>
                <w:rFonts w:ascii="仿宋" w:eastAsia="仿宋" w:hAnsi="仿宋" w:cs="Cambria"/>
                <w:bCs/>
                <w:szCs w:val="21"/>
              </w:rPr>
              <w:t>2.</w:t>
            </w:r>
            <w:r>
              <w:rPr>
                <w:rFonts w:ascii="仿宋" w:eastAsia="仿宋" w:hAnsi="仿宋" w:cs="Cambria" w:hint="eastAsia"/>
                <w:bCs/>
                <w:szCs w:val="21"/>
              </w:rPr>
              <w:t>75</w:t>
            </w:r>
            <w:r>
              <w:rPr>
                <w:rFonts w:ascii="仿宋" w:eastAsia="仿宋" w:hAnsi="仿宋" w:cs="Cambria"/>
                <w:bCs/>
                <w:szCs w:val="21"/>
              </w:rPr>
              <w:t>%</w:t>
            </w:r>
            <w:r>
              <w:rPr>
                <w:rFonts w:ascii="仿宋" w:eastAsia="仿宋" w:hAnsi="仿宋" w:cs="Cambria" w:hint="eastAsia"/>
                <w:bCs/>
                <w:szCs w:val="21"/>
              </w:rPr>
              <w:t>（年化）。</w:t>
            </w:r>
            <w:r w:rsidR="00C4438D" w:rsidRPr="00C4438D">
              <w:rPr>
                <w:rFonts w:ascii="仿宋" w:eastAsia="仿宋" w:hAnsi="仿宋" w:cs="Cambria" w:hint="eastAsia"/>
                <w:bCs/>
                <w:szCs w:val="21"/>
              </w:rPr>
              <w:t>以产品投资存款类资产</w:t>
            </w:r>
            <w:proofErr w:type="gramStart"/>
            <w:r w:rsidR="00C4438D" w:rsidRPr="00C4438D">
              <w:rPr>
                <w:rFonts w:ascii="仿宋" w:eastAsia="仿宋" w:hAnsi="仿宋" w:cs="Cambria" w:hint="eastAsia"/>
                <w:bCs/>
                <w:szCs w:val="21"/>
              </w:rPr>
              <w:t>仓位</w:t>
            </w:r>
            <w:proofErr w:type="gramEnd"/>
            <w:r w:rsidR="00C4438D" w:rsidRPr="00C4438D">
              <w:rPr>
                <w:rFonts w:ascii="仿宋" w:eastAsia="仿宋" w:hAnsi="仿宋" w:cs="Cambria" w:hint="eastAsia"/>
                <w:bCs/>
                <w:szCs w:val="21"/>
              </w:rPr>
              <w:t>50%-100%，债券类资产</w:t>
            </w:r>
            <w:proofErr w:type="gramStart"/>
            <w:r w:rsidR="00C4438D" w:rsidRPr="00C4438D">
              <w:rPr>
                <w:rFonts w:ascii="仿宋" w:eastAsia="仿宋" w:hAnsi="仿宋" w:cs="Cambria" w:hint="eastAsia"/>
                <w:bCs/>
                <w:szCs w:val="21"/>
              </w:rPr>
              <w:t>仓位</w:t>
            </w:r>
            <w:proofErr w:type="gramEnd"/>
            <w:r w:rsidR="00C4438D" w:rsidRPr="00C4438D">
              <w:rPr>
                <w:rFonts w:ascii="仿宋" w:eastAsia="仿宋" w:hAnsi="仿宋" w:cs="Cambria" w:hint="eastAsia"/>
                <w:bCs/>
                <w:szCs w:val="21"/>
              </w:rPr>
              <w:t>0-50%，非标债权类资产</w:t>
            </w:r>
            <w:proofErr w:type="gramStart"/>
            <w:r w:rsidR="00C4438D" w:rsidRPr="00C4438D">
              <w:rPr>
                <w:rFonts w:ascii="仿宋" w:eastAsia="仿宋" w:hAnsi="仿宋" w:cs="Cambria" w:hint="eastAsia"/>
                <w:bCs/>
                <w:szCs w:val="21"/>
              </w:rPr>
              <w:t>仓位</w:t>
            </w:r>
            <w:proofErr w:type="gramEnd"/>
            <w:r w:rsidR="00C4438D" w:rsidRPr="00C4438D">
              <w:rPr>
                <w:rFonts w:ascii="仿宋" w:eastAsia="仿宋" w:hAnsi="仿宋" w:cs="Cambria" w:hint="eastAsia"/>
                <w:bCs/>
                <w:szCs w:val="21"/>
              </w:rPr>
              <w:t>0-40%，组合杠杆率100-110%为例，参考当前存款类资产收益水平、</w:t>
            </w:r>
            <w:proofErr w:type="gramStart"/>
            <w:r w:rsidR="00C4438D" w:rsidRPr="00C4438D">
              <w:rPr>
                <w:rFonts w:ascii="仿宋" w:eastAsia="仿宋" w:hAnsi="仿宋" w:cs="Cambria" w:hint="eastAsia"/>
                <w:bCs/>
                <w:szCs w:val="21"/>
              </w:rPr>
              <w:t>久期匹配</w:t>
            </w:r>
            <w:proofErr w:type="gramEnd"/>
            <w:r w:rsidR="00C4438D" w:rsidRPr="00C4438D">
              <w:rPr>
                <w:rFonts w:ascii="仿宋" w:eastAsia="仿宋" w:hAnsi="仿宋" w:cs="Cambria" w:hint="eastAsia"/>
                <w:bCs/>
                <w:szCs w:val="21"/>
              </w:rPr>
              <w:t>的目标债券到期收益率、非标债权类资产目标收益率，结合产品投资策略并扣除各项费用后，综合测算得出上述业绩比较基准。测算示例仅供参考，具体资产投资比例可根据各类资产的收益水平、流动性特征、信用风险等因素动态调整。</w:t>
            </w:r>
          </w:p>
          <w:p w:rsidR="004E0739" w:rsidRDefault="00C4438D">
            <w:pPr>
              <w:adjustRightInd w:val="0"/>
              <w:snapToGrid w:val="0"/>
              <w:spacing w:line="240" w:lineRule="atLeast"/>
              <w:ind w:firstLineChars="200" w:firstLine="420"/>
              <w:rPr>
                <w:rFonts w:ascii="仿宋" w:eastAsia="仿宋" w:hAnsi="仿宋" w:cs="Cambria"/>
                <w:bCs/>
                <w:szCs w:val="21"/>
              </w:rPr>
            </w:pPr>
            <w:r w:rsidRPr="00C4438D">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bookmarkStart w:id="2" w:name="_GoBack"/>
            <w:bookmarkEnd w:id="2"/>
          </w:p>
          <w:p w:rsidR="004E0739" w:rsidRDefault="00812191">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r>
              <w:rPr>
                <w:rFonts w:ascii="仿宋" w:eastAsia="仿宋" w:hAnsi="仿宋" w:hint="eastAsia"/>
                <w:bCs/>
                <w:color w:val="000000"/>
                <w:szCs w:val="21"/>
              </w:rPr>
              <w:t>。</w:t>
            </w:r>
          </w:p>
          <w:p w:rsidR="004E0739" w:rsidRDefault="00812191">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4E0739" w:rsidRDefault="00812191">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bookmarkStart w:id="3" w:name="OLE_LINK2" w:colFirst="1" w:colLast="1"/>
            <w:bookmarkStart w:id="4" w:name="OLE_LINK3" w:colFirst="1" w:colLast="1"/>
            <w:bookmarkStart w:id="5" w:name="_Hlk290294163"/>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BB69FA">
            <w:pPr>
              <w:adjustRightInd w:val="0"/>
              <w:snapToGrid w:val="0"/>
              <w:spacing w:line="300" w:lineRule="exact"/>
              <w:ind w:firstLineChars="200" w:firstLine="420"/>
              <w:rPr>
                <w:rFonts w:ascii="仿宋" w:eastAsia="仿宋" w:hAnsi="仿宋"/>
                <w:bCs/>
                <w:szCs w:val="21"/>
              </w:rPr>
            </w:pPr>
            <w:r w:rsidRPr="00BB69FA">
              <w:rPr>
                <w:rFonts w:ascii="仿宋" w:eastAsia="仿宋" w:hAnsi="仿宋" w:hint="eastAsia"/>
                <w:bCs/>
                <w:szCs w:val="21"/>
              </w:rPr>
              <w:t>2023年4月4日</w:t>
            </w:r>
            <w:r w:rsidR="00812191">
              <w:rPr>
                <w:rFonts w:ascii="仿宋" w:eastAsia="仿宋" w:hAnsi="仿宋"/>
                <w:bCs/>
                <w:szCs w:val="21"/>
              </w:rPr>
              <w:t>－</w:t>
            </w:r>
            <w:r w:rsidRPr="00BB69FA">
              <w:rPr>
                <w:rFonts w:ascii="仿宋" w:eastAsia="仿宋" w:hAnsi="仿宋" w:hint="eastAsia"/>
                <w:bCs/>
                <w:szCs w:val="21"/>
              </w:rPr>
              <w:t>2023年4月11日</w:t>
            </w:r>
            <w:r w:rsidR="00812191">
              <w:rPr>
                <w:rFonts w:ascii="仿宋" w:eastAsia="仿宋" w:hAnsi="仿宋"/>
                <w:bCs/>
                <w:szCs w:val="21"/>
              </w:rPr>
              <w:t>（含）</w:t>
            </w:r>
            <w:r w:rsidR="00812191">
              <w:rPr>
                <w:rFonts w:ascii="仿宋" w:eastAsia="仿宋" w:hAnsi="仿宋" w:hint="eastAsia"/>
                <w:bCs/>
                <w:szCs w:val="21"/>
              </w:rPr>
              <w:t>（根据市场情况，华夏理财有权提前结束认购或调整相关日期，募集期最后一日认购截止时点如与华夏理财</w:t>
            </w:r>
            <w:r w:rsidR="00812191">
              <w:rPr>
                <w:rFonts w:ascii="仿宋" w:eastAsia="仿宋" w:hAnsi="仿宋" w:hint="eastAsia"/>
                <w:bCs/>
                <w:szCs w:val="21"/>
              </w:rPr>
              <w:lastRenderedPageBreak/>
              <w:t>不一致则以各代销机构规定为准，其中华夏银行/华夏理财17:30（含）后不可认购。</w:t>
            </w:r>
            <w:r w:rsidR="00812191">
              <w:rPr>
                <w:rFonts w:ascii="仿宋" w:eastAsia="仿宋" w:hAnsi="仿宋"/>
                <w:bCs/>
                <w:szCs w:val="21"/>
              </w:rPr>
              <w:t>）</w:t>
            </w:r>
          </w:p>
        </w:tc>
      </w:tr>
      <w:bookmarkEnd w:id="3"/>
      <w:bookmarkEnd w:id="4"/>
      <w:bookmarkEnd w:id="5"/>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lastRenderedPageBreak/>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BB69FA">
            <w:pPr>
              <w:adjustRightInd w:val="0"/>
              <w:snapToGrid w:val="0"/>
              <w:spacing w:line="300" w:lineRule="exact"/>
              <w:ind w:firstLineChars="200" w:firstLine="420"/>
              <w:rPr>
                <w:rFonts w:ascii="仿宋" w:eastAsia="仿宋" w:hAnsi="仿宋"/>
                <w:bCs/>
                <w:szCs w:val="21"/>
              </w:rPr>
            </w:pPr>
            <w:r w:rsidRPr="00BB69FA">
              <w:rPr>
                <w:rFonts w:ascii="仿宋" w:eastAsia="仿宋" w:hAnsi="仿宋" w:hint="eastAsia"/>
                <w:bCs/>
                <w:szCs w:val="21"/>
              </w:rPr>
              <w:t>2023年4月12日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BB69FA">
            <w:pPr>
              <w:adjustRightInd w:val="0"/>
              <w:snapToGrid w:val="0"/>
              <w:spacing w:line="300" w:lineRule="exact"/>
              <w:ind w:firstLineChars="200" w:firstLine="420"/>
              <w:rPr>
                <w:rFonts w:ascii="仿宋" w:eastAsia="仿宋" w:hAnsi="仿宋"/>
                <w:bCs/>
                <w:szCs w:val="21"/>
              </w:rPr>
            </w:pPr>
            <w:r w:rsidRPr="00BB69FA">
              <w:rPr>
                <w:rFonts w:ascii="仿宋" w:eastAsia="仿宋" w:hAnsi="仿宋"/>
                <w:bCs/>
                <w:szCs w:val="21"/>
              </w:rPr>
              <w:t>111</w:t>
            </w:r>
            <w:r w:rsidR="00812191">
              <w:rPr>
                <w:rFonts w:ascii="仿宋" w:eastAsia="仿宋" w:hAnsi="仿宋" w:hint="eastAsia"/>
                <w:bCs/>
                <w:szCs w:val="21"/>
              </w:rPr>
              <w:t>天</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BB69FA">
            <w:pPr>
              <w:adjustRightInd w:val="0"/>
              <w:snapToGrid w:val="0"/>
              <w:spacing w:line="300" w:lineRule="exact"/>
              <w:ind w:firstLineChars="200" w:firstLine="420"/>
              <w:rPr>
                <w:rFonts w:ascii="仿宋" w:eastAsia="仿宋" w:hAnsi="仿宋"/>
                <w:bCs/>
                <w:szCs w:val="21"/>
              </w:rPr>
            </w:pPr>
            <w:r w:rsidRPr="00BB69FA">
              <w:rPr>
                <w:rFonts w:ascii="仿宋" w:eastAsia="仿宋" w:hAnsi="仿宋" w:hint="eastAsia"/>
                <w:bCs/>
                <w:szCs w:val="21"/>
              </w:rPr>
              <w:t>2023年8月1日</w:t>
            </w:r>
            <w:r w:rsidR="00812191">
              <w:rPr>
                <w:rFonts w:ascii="仿宋" w:eastAsia="仿宋" w:hAnsi="仿宋" w:hint="eastAsia"/>
                <w:bCs/>
                <w:szCs w:val="21"/>
              </w:rPr>
              <w:t>理财产品正常到期，到期日如为非工作日，则顺延至下一工作日。如理财产品因故提前或延迟到期的，则终止日以华夏理财发布的公告为准。</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4E0739" w:rsidRDefault="00812191">
            <w:pPr>
              <w:adjustRightInd w:val="0"/>
              <w:snapToGrid w:val="0"/>
              <w:spacing w:line="300" w:lineRule="exact"/>
              <w:ind w:firstLineChars="200" w:firstLine="422"/>
              <w:rPr>
                <w:rFonts w:ascii="仿宋" w:eastAsia="仿宋" w:hAnsi="仿宋"/>
                <w:bCs/>
                <w:szCs w:val="21"/>
              </w:rPr>
            </w:pPr>
            <w:r>
              <w:rPr>
                <w:rFonts w:ascii="仿宋" w:eastAsia="仿宋" w:hAnsi="仿宋" w:hint="eastAsia"/>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color w:val="000000"/>
                <w:szCs w:val="21"/>
              </w:rPr>
              <w:t>面向全国发行</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rsidP="00BE1009">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本产品</w:t>
            </w:r>
            <w:r>
              <w:rPr>
                <w:rFonts w:ascii="仿宋" w:eastAsia="仿宋" w:hAnsi="仿宋"/>
                <w:bCs/>
                <w:szCs w:val="21"/>
              </w:rPr>
              <w:t>计划发行规模上限为</w:t>
            </w:r>
            <w:r w:rsidR="00BE1009">
              <w:rPr>
                <w:rFonts w:ascii="仿宋" w:eastAsia="仿宋" w:hAnsi="仿宋"/>
                <w:bCs/>
                <w:szCs w:val="21"/>
              </w:rPr>
              <w:t>30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4E0739">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A份额：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4E0739" w:rsidRDefault="00812191">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B份额：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4E0739" w:rsidRDefault="00812191">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C份额：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4E0739" w:rsidRDefault="00812191">
            <w:pPr>
              <w:adjustRightInd w:val="0"/>
              <w:snapToGrid w:val="0"/>
              <w:spacing w:line="300" w:lineRule="exact"/>
              <w:ind w:firstLineChars="200" w:firstLine="420"/>
              <w:rPr>
                <w:rFonts w:ascii="仿宋" w:eastAsia="仿宋" w:hAnsi="仿宋"/>
              </w:rPr>
            </w:pPr>
            <w:r>
              <w:rPr>
                <w:rFonts w:ascii="仿宋" w:eastAsia="仿宋" w:hAnsi="仿宋" w:hint="eastAsia"/>
              </w:rPr>
              <w:t>如代销机构规定与本规则不一致的，则以各代销机构规定为准，但不得低于本起点金额。</w:t>
            </w:r>
          </w:p>
          <w:p w:rsidR="004E0739" w:rsidRDefault="00812191">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具体详见“五、认购”。</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4E0739" w:rsidRDefault="00812191">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如代销机构规定与本规则不一致，则以各代销机构规定为准，但不得低于本追加起点金额。</w:t>
            </w:r>
          </w:p>
        </w:tc>
      </w:tr>
      <w:tr w:rsidR="004E0739">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认购份额=认购金额/1元。</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jc w:val="center"/>
              <w:rPr>
                <w:rFonts w:ascii="仿宋" w:eastAsia="仿宋" w:hAnsi="仿宋"/>
                <w:bCs/>
                <w:szCs w:val="21"/>
              </w:rP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4E0739" w:rsidRDefault="00812191">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w:t>
            </w:r>
            <w:r>
              <w:rPr>
                <w:rFonts w:ascii="仿宋" w:eastAsia="仿宋" w:hAnsi="仿宋" w:hint="eastAsia"/>
                <w:b/>
                <w:szCs w:val="21"/>
              </w:rPr>
              <w:lastRenderedPageBreak/>
              <w:t>拒绝或暂停该认购申请。</w:t>
            </w:r>
          </w:p>
          <w:p w:rsidR="004E0739" w:rsidRDefault="00812191">
            <w:pPr>
              <w:tabs>
                <w:tab w:val="left" w:pos="720"/>
              </w:tabs>
              <w:autoSpaceDE w:val="0"/>
              <w:autoSpaceDN w:val="0"/>
              <w:adjustRightInd w:val="0"/>
              <w:snapToGrid w:val="0"/>
              <w:spacing w:line="240" w:lineRule="atLeast"/>
              <w:ind w:right="18" w:firstLineChars="200" w:firstLine="420"/>
              <w:rPr>
                <w:rFonts w:ascii="仿宋" w:eastAsia="仿宋" w:hAnsi="仿宋"/>
                <w:b/>
                <w:bCs/>
                <w:szCs w:val="21"/>
              </w:rPr>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 xml:space="preserve">华夏理财将于 3 </w:t>
            </w:r>
            <w:proofErr w:type="gramStart"/>
            <w:r>
              <w:rPr>
                <w:rFonts w:ascii="仿宋" w:eastAsia="仿宋" w:hAnsi="仿宋" w:hint="eastAsia"/>
                <w:bCs/>
                <w:szCs w:val="21"/>
              </w:rPr>
              <w:t>个</w:t>
            </w:r>
            <w:proofErr w:type="gramEnd"/>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通过代销机构认购的，撤销规定以代销机构规定为准。</w:t>
            </w:r>
          </w:p>
        </w:tc>
      </w:tr>
      <w:tr w:rsidR="004E0739">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4E0739">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420"/>
              <w:rPr>
                <w:rFonts w:ascii="仿宋" w:eastAsia="仿宋" w:hAnsi="仿宋"/>
                <w:b/>
                <w:szCs w:val="21"/>
              </w:rPr>
            </w:pPr>
            <w:r>
              <w:rPr>
                <w:rFonts w:ascii="仿宋" w:eastAsia="仿宋" w:hAnsi="仿宋" w:hint="eastAsia"/>
                <w:b/>
                <w:szCs w:val="21"/>
              </w:rPr>
              <w:t>本理财产品不收取认购费。</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uto"/>
              <w:jc w:val="center"/>
              <w:rPr>
                <w:rFonts w:ascii="仿宋" w:eastAsia="仿宋" w:hAnsi="仿宋"/>
                <w:b/>
                <w:szCs w:val="21"/>
              </w:rPr>
            </w:pPr>
            <w:r>
              <w:rPr>
                <w:rFonts w:ascii="仿宋" w:eastAsia="仿宋" w:hAnsi="仿宋" w:hint="eastAsia"/>
                <w:b/>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812191"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0.03%/年，以前一日资产净值为基数，每日计提。</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4E0739" w:rsidRDefault="00812191">
            <w:pPr>
              <w:adjustRightInd w:val="0"/>
              <w:snapToGrid w:val="0"/>
              <w:spacing w:line="240" w:lineRule="auto"/>
              <w:ind w:firstLine="420"/>
              <w:jc w:val="left"/>
              <w:rPr>
                <w:rFonts w:ascii="仿宋" w:eastAsia="仿宋" w:hAnsi="仿宋"/>
                <w:b/>
                <w:szCs w:val="21"/>
              </w:rPr>
            </w:pPr>
            <w:r>
              <w:rPr>
                <w:rFonts w:ascii="仿宋" w:eastAsia="仿宋" w:hAnsi="仿宋" w:hint="eastAsia"/>
                <w:b/>
                <w:szCs w:val="21"/>
              </w:rPr>
              <w:t>F=E×【0.03%】/当年天数。F为托管费；E为计算</w:t>
            </w:r>
            <w:r>
              <w:rPr>
                <w:rFonts w:ascii="仿宋" w:eastAsia="仿宋" w:hAnsi="仿宋"/>
                <w:b/>
                <w:szCs w:val="21"/>
              </w:rPr>
              <w:t>基数</w:t>
            </w:r>
            <w:r>
              <w:rPr>
                <w:rFonts w:ascii="仿宋" w:eastAsia="仿宋" w:hAnsi="仿宋" w:hint="eastAsia"/>
                <w:b/>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rsidP="00812191">
            <w:pPr>
              <w:adjustRightInd w:val="0"/>
              <w:snapToGrid w:val="0"/>
              <w:spacing w:line="300" w:lineRule="exact"/>
              <w:ind w:firstLineChars="200" w:firstLine="422"/>
              <w:jc w:val="left"/>
              <w:rPr>
                <w:rFonts w:ascii="仿宋" w:eastAsia="仿宋" w:hAnsi="仿宋"/>
                <w:b/>
                <w:szCs w:val="21"/>
              </w:rPr>
            </w:pPr>
            <w:r>
              <w:rPr>
                <w:rFonts w:ascii="仿宋" w:eastAsia="仿宋" w:hAnsi="仿宋" w:cs="Cambria" w:hint="eastAsia"/>
                <w:b/>
                <w:szCs w:val="21"/>
              </w:rPr>
              <w:t>A份额：</w:t>
            </w: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Pr>
                <w:rFonts w:ascii="仿宋" w:eastAsia="仿宋" w:hAnsi="仿宋"/>
                <w:b/>
                <w:szCs w:val="21"/>
              </w:rPr>
              <w:t>0.</w:t>
            </w:r>
            <w:r>
              <w:rPr>
                <w:rFonts w:ascii="仿宋" w:eastAsia="仿宋" w:hAnsi="仿宋" w:hint="eastAsia"/>
                <w:b/>
                <w:szCs w:val="21"/>
              </w:rPr>
              <w:t>15%/年，以前一日资产净值为基数，每日计提。</w:t>
            </w:r>
          </w:p>
          <w:p w:rsidR="004E0739" w:rsidRDefault="00812191">
            <w:pPr>
              <w:adjustRightInd w:val="0"/>
              <w:snapToGrid w:val="0"/>
              <w:spacing w:line="300" w:lineRule="exact"/>
              <w:ind w:firstLine="420"/>
              <w:jc w:val="left"/>
              <w:rPr>
                <w:rFonts w:ascii="仿宋" w:eastAsia="仿宋" w:hAnsi="仿宋"/>
                <w:b/>
                <w:szCs w:val="21"/>
              </w:rPr>
            </w:pPr>
            <w:r>
              <w:rPr>
                <w:rFonts w:ascii="仿宋" w:eastAsia="仿宋" w:hAnsi="仿宋" w:cs="Cambria" w:hint="eastAsia"/>
                <w:b/>
                <w:szCs w:val="21"/>
              </w:rPr>
              <w:t>B份额：</w:t>
            </w: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Pr>
                <w:rFonts w:ascii="仿宋" w:eastAsia="仿宋" w:hAnsi="仿宋"/>
                <w:b/>
                <w:szCs w:val="21"/>
              </w:rPr>
              <w:t>0.</w:t>
            </w:r>
            <w:r>
              <w:rPr>
                <w:rFonts w:ascii="仿宋" w:eastAsia="仿宋" w:hAnsi="仿宋" w:hint="eastAsia"/>
                <w:b/>
                <w:szCs w:val="21"/>
              </w:rPr>
              <w:t>20%/年，以前一日资产净值为基数，每日计提。</w:t>
            </w:r>
          </w:p>
          <w:p w:rsidR="004E0739" w:rsidRDefault="00812191">
            <w:pPr>
              <w:adjustRightInd w:val="0"/>
              <w:snapToGrid w:val="0"/>
              <w:spacing w:line="300" w:lineRule="exact"/>
              <w:ind w:firstLine="420"/>
              <w:jc w:val="left"/>
              <w:rPr>
                <w:rFonts w:ascii="仿宋" w:eastAsia="仿宋" w:hAnsi="仿宋"/>
                <w:b/>
                <w:szCs w:val="21"/>
              </w:rPr>
            </w:pPr>
            <w:r>
              <w:rPr>
                <w:rFonts w:ascii="仿宋" w:eastAsia="仿宋" w:hAnsi="仿宋" w:cs="Cambria" w:hint="eastAsia"/>
                <w:b/>
                <w:szCs w:val="21"/>
              </w:rPr>
              <w:t>C份额：</w:t>
            </w: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Pr>
                <w:rFonts w:ascii="仿宋" w:eastAsia="仿宋" w:hAnsi="仿宋"/>
                <w:b/>
                <w:szCs w:val="21"/>
              </w:rPr>
              <w:t>0.</w:t>
            </w:r>
            <w:r>
              <w:rPr>
                <w:rFonts w:ascii="仿宋" w:eastAsia="仿宋" w:hAnsi="仿宋" w:hint="eastAsia"/>
                <w:b/>
                <w:szCs w:val="21"/>
              </w:rPr>
              <w:t>30%/年，以前一日资产净值为基数，每日计提。</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F=E×【各份额销售手续费</w:t>
            </w:r>
            <w:r>
              <w:rPr>
                <w:rFonts w:ascii="仿宋" w:eastAsia="仿宋" w:hAnsi="仿宋"/>
                <w:b/>
                <w:szCs w:val="21"/>
              </w:rPr>
              <w:t>率</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。F为各份额销售</w:t>
            </w:r>
            <w:r>
              <w:rPr>
                <w:rFonts w:ascii="仿宋" w:eastAsia="仿宋" w:hAnsi="仿宋"/>
                <w:b/>
                <w:szCs w:val="21"/>
              </w:rPr>
              <w:t>手续费</w:t>
            </w:r>
            <w:r>
              <w:rPr>
                <w:rFonts w:ascii="仿宋" w:eastAsia="仿宋" w:hAnsi="仿宋" w:hint="eastAsia"/>
                <w:b/>
                <w:szCs w:val="21"/>
              </w:rPr>
              <w:t>；E为计算</w:t>
            </w:r>
            <w:r>
              <w:rPr>
                <w:rFonts w:ascii="仿宋" w:eastAsia="仿宋" w:hAnsi="仿宋"/>
                <w:b/>
                <w:szCs w:val="21"/>
              </w:rPr>
              <w:t>基数</w:t>
            </w:r>
            <w:r>
              <w:rPr>
                <w:rFonts w:ascii="仿宋" w:eastAsia="仿宋" w:hAnsi="仿宋" w:hint="eastAsia"/>
                <w:b/>
                <w:szCs w:val="21"/>
              </w:rPr>
              <w:t>。（销售手续费由销售服务机构收取。）</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812191" w:rsidRDefault="00812191">
            <w:pPr>
              <w:adjustRightInd w:val="0"/>
              <w:snapToGrid w:val="0"/>
              <w:spacing w:line="240" w:lineRule="atLeast"/>
              <w:ind w:firstLine="420"/>
              <w:jc w:val="left"/>
              <w:rPr>
                <w:rFonts w:ascii="仿宋" w:eastAsia="仿宋" w:hAnsi="仿宋"/>
                <w:b/>
                <w:szCs w:val="21"/>
              </w:rPr>
            </w:pPr>
            <w:r>
              <w:rPr>
                <w:rFonts w:ascii="仿宋" w:eastAsia="仿宋" w:hAnsi="仿宋"/>
                <w:b/>
                <w:szCs w:val="21"/>
              </w:rPr>
              <w:t>0.</w:t>
            </w:r>
            <w:r>
              <w:rPr>
                <w:rFonts w:ascii="仿宋" w:eastAsia="仿宋" w:hAnsi="仿宋" w:hint="eastAsia"/>
                <w:b/>
                <w:szCs w:val="21"/>
              </w:rPr>
              <w:t>15%/年，以前一日资产净值为基数，每日计提。</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4E0739" w:rsidRDefault="00812191">
            <w:pPr>
              <w:adjustRightInd w:val="0"/>
              <w:snapToGrid w:val="0"/>
              <w:spacing w:line="300" w:lineRule="exact"/>
              <w:ind w:firstLine="420"/>
              <w:rPr>
                <w:rFonts w:ascii="仿宋" w:eastAsia="仿宋" w:hAnsi="仿宋"/>
                <w:b/>
                <w:szCs w:val="21"/>
              </w:rPr>
            </w:pPr>
            <w:r>
              <w:rPr>
                <w:rFonts w:ascii="仿宋" w:eastAsia="仿宋" w:hAnsi="仿宋" w:hint="eastAsia"/>
                <w:b/>
                <w:szCs w:val="21"/>
              </w:rPr>
              <w:t>F=E×【0.15%】/当年</w:t>
            </w:r>
            <w:r>
              <w:rPr>
                <w:rFonts w:ascii="仿宋" w:eastAsia="仿宋" w:hAnsi="仿宋"/>
                <w:b/>
                <w:szCs w:val="21"/>
              </w:rPr>
              <w:t>天数</w:t>
            </w:r>
            <w:r>
              <w:rPr>
                <w:rFonts w:ascii="仿宋" w:eastAsia="仿宋" w:hAnsi="仿宋" w:hint="eastAsia"/>
                <w:b/>
                <w:szCs w:val="21"/>
              </w:rPr>
              <w:t>。F为固定管理费；E为计算</w:t>
            </w:r>
            <w:r>
              <w:rPr>
                <w:rFonts w:ascii="仿宋" w:eastAsia="仿宋" w:hAnsi="仿宋"/>
                <w:b/>
                <w:szCs w:val="21"/>
              </w:rPr>
              <w:t>基数</w:t>
            </w:r>
            <w:r>
              <w:rPr>
                <w:rFonts w:ascii="仿宋" w:eastAsia="仿宋" w:hAnsi="仿宋" w:hint="eastAsia"/>
                <w:b/>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超额</w:t>
            </w:r>
            <w:r>
              <w:rPr>
                <w:rFonts w:ascii="仿宋" w:eastAsia="仿宋" w:hAnsi="仿宋"/>
                <w:b/>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本产品扣除各项费用（包括销售手续费、托管费、固定管理费及其他费用等）后，</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低于或等于超额管理费计提基准，则管理人不收取超额管理费；超过超额管理费计提基准的部分，50%归投资人所有，其余作为管理人的超额管理费。</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A份额超额管理费计提基准为2.90</w:t>
            </w:r>
            <w:r>
              <w:rPr>
                <w:rFonts w:ascii="仿宋" w:eastAsia="仿宋" w:hAnsi="仿宋" w:cs="Cambria"/>
                <w:b/>
                <w:szCs w:val="21"/>
              </w:rPr>
              <w:t>%</w:t>
            </w:r>
            <w:r>
              <w:rPr>
                <w:rFonts w:ascii="仿宋" w:eastAsia="仿宋" w:hAnsi="仿宋" w:cs="Cambria" w:hint="eastAsia"/>
                <w:b/>
                <w:szCs w:val="21"/>
              </w:rPr>
              <w:t>（年化）；B份额超额管理费计提基准为</w:t>
            </w:r>
            <w:r>
              <w:rPr>
                <w:rFonts w:ascii="仿宋" w:eastAsia="仿宋" w:hAnsi="仿宋"/>
                <w:b/>
                <w:szCs w:val="21"/>
              </w:rPr>
              <w:t>2.</w:t>
            </w:r>
            <w:r>
              <w:rPr>
                <w:rFonts w:ascii="仿宋" w:eastAsia="仿宋" w:hAnsi="仿宋" w:hint="eastAsia"/>
                <w:b/>
                <w:szCs w:val="21"/>
              </w:rPr>
              <w:t>8</w:t>
            </w:r>
            <w:r>
              <w:rPr>
                <w:rFonts w:ascii="仿宋" w:eastAsia="仿宋" w:hAnsi="仿宋"/>
                <w:b/>
                <w:szCs w:val="21"/>
              </w:rPr>
              <w:t>5%</w:t>
            </w:r>
            <w:r>
              <w:rPr>
                <w:rFonts w:ascii="仿宋" w:eastAsia="仿宋" w:hAnsi="仿宋" w:cs="Cambria" w:hint="eastAsia"/>
                <w:b/>
                <w:szCs w:val="21"/>
              </w:rPr>
              <w:t>（年化）；C份额超额管理费计提基准为</w:t>
            </w:r>
            <w:r>
              <w:rPr>
                <w:rFonts w:ascii="仿宋" w:eastAsia="仿宋" w:hAnsi="仿宋"/>
                <w:b/>
                <w:szCs w:val="21"/>
              </w:rPr>
              <w:t>2.</w:t>
            </w:r>
            <w:r>
              <w:rPr>
                <w:rFonts w:ascii="仿宋" w:eastAsia="仿宋" w:hAnsi="仿宋" w:hint="eastAsia"/>
                <w:b/>
                <w:szCs w:val="21"/>
              </w:rPr>
              <w:t>75</w:t>
            </w:r>
            <w:r>
              <w:rPr>
                <w:rFonts w:ascii="仿宋" w:eastAsia="仿宋" w:hAnsi="仿宋"/>
                <w:b/>
                <w:szCs w:val="21"/>
              </w:rPr>
              <w:t>%</w:t>
            </w:r>
            <w:r>
              <w:rPr>
                <w:rFonts w:ascii="仿宋" w:eastAsia="仿宋" w:hAnsi="仿宋" w:cs="Cambria" w:hint="eastAsia"/>
                <w:b/>
                <w:szCs w:val="21"/>
              </w:rPr>
              <w:t>（年化）。</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本产品超额管理费的计算公式：</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超额管理费=（</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-超额管理费计提基准）×当期持有天数÷365×50%×产品份额×1.0000</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其中：</w:t>
            </w:r>
          </w:p>
          <w:p w:rsidR="004E0739" w:rsidRDefault="00812191">
            <w:pPr>
              <w:adjustRightInd w:val="0"/>
              <w:snapToGrid w:val="0"/>
              <w:spacing w:line="300" w:lineRule="exact"/>
              <w:ind w:firstLine="420"/>
              <w:rPr>
                <w:rFonts w:ascii="仿宋" w:eastAsia="仿宋" w:hAnsi="仿宋" w:cs="Cambria"/>
                <w:b/>
                <w:szCs w:val="21"/>
              </w:rPr>
            </w:pP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=（计提日累计单位净值-1.0000）÷1.0000×365÷当期持有天数。</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“产品份额”为产品份额，若有红利再投时，将剔除红利再投产生份额的影响。</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投资周期内每个估值日计提超额管理费，仅</w:t>
            </w:r>
            <w:proofErr w:type="gramStart"/>
            <w:r>
              <w:rPr>
                <w:rFonts w:ascii="仿宋" w:eastAsia="仿宋" w:hAnsi="仿宋" w:cs="Cambria" w:hint="eastAsia"/>
                <w:b/>
                <w:szCs w:val="21"/>
              </w:rPr>
              <w:t>作为暂估数据</w:t>
            </w:r>
            <w:proofErr w:type="gramEnd"/>
            <w:r>
              <w:rPr>
                <w:rFonts w:ascii="仿宋" w:eastAsia="仿宋" w:hAnsi="仿宋" w:cs="Cambria" w:hint="eastAsia"/>
                <w:b/>
                <w:szCs w:val="21"/>
              </w:rPr>
              <w:t>，用于本产品会计核算和估值日估值。仅到期/终止日为本产品超额管理费实际计提和收取日。</w:t>
            </w:r>
          </w:p>
          <w:p w:rsidR="004E0739" w:rsidRDefault="00812191">
            <w:pPr>
              <w:adjustRightInd w:val="0"/>
              <w:snapToGrid w:val="0"/>
              <w:spacing w:line="300" w:lineRule="exact"/>
              <w:ind w:firstLine="420"/>
              <w:rPr>
                <w:rFonts w:ascii="仿宋" w:eastAsia="仿宋" w:hAnsi="仿宋"/>
                <w:b/>
                <w:szCs w:val="21"/>
                <w:u w:val="single"/>
              </w:rPr>
            </w:pPr>
            <w:r>
              <w:rPr>
                <w:rFonts w:ascii="仿宋" w:eastAsia="仿宋" w:hAnsi="仿宋" w:hint="eastAsia"/>
                <w:b/>
                <w:color w:val="000000"/>
                <w:szCs w:val="21"/>
              </w:rPr>
              <w:t>华夏理财有权根据市场</w:t>
            </w:r>
            <w:r>
              <w:rPr>
                <w:rFonts w:ascii="仿宋" w:eastAsia="仿宋" w:hAnsi="仿宋" w:hint="eastAsia"/>
                <w:b/>
                <w:szCs w:val="21"/>
              </w:rPr>
              <w:t>及产品运作情况调整上述规则，并至少于生效前3个工作日通过本产品说明书约定的信息披露渠道进行公告</w:t>
            </w:r>
            <w:r>
              <w:rPr>
                <w:rFonts w:ascii="仿宋" w:eastAsia="仿宋" w:hAnsi="仿宋" w:hint="eastAsia"/>
                <w:b/>
                <w:color w:val="000000"/>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其他</w:t>
            </w:r>
            <w:r>
              <w:rPr>
                <w:rFonts w:ascii="仿宋" w:eastAsia="仿宋" w:hAnsi="仿宋"/>
                <w:b/>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420"/>
              <w:jc w:val="left"/>
              <w:rPr>
                <w:rFonts w:ascii="仿宋" w:eastAsia="仿宋" w:hAnsi="仿宋"/>
                <w:b/>
                <w:szCs w:val="21"/>
              </w:rPr>
            </w:pPr>
            <w:r>
              <w:rPr>
                <w:rFonts w:ascii="仿宋" w:eastAsia="仿宋" w:hAnsi="仿宋" w:hint="eastAsia"/>
                <w:b/>
                <w:szCs w:val="21"/>
              </w:rPr>
              <w:t>理财资金运作期间以及追索理财资金可能产生的诉讼费、保全费、信托费、税费、审计费、律师费、公证费、清算费、执行费等，按其实际发生数额从理</w:t>
            </w:r>
            <w:r>
              <w:rPr>
                <w:rFonts w:ascii="仿宋" w:eastAsia="仿宋" w:hAnsi="仿宋" w:hint="eastAsia"/>
                <w:b/>
                <w:szCs w:val="21"/>
              </w:rPr>
              <w:lastRenderedPageBreak/>
              <w:t>财资产中支取。</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jc w:val="center"/>
              <w:rPr>
                <w:rFonts w:ascii="仿宋" w:eastAsia="仿宋" w:hAnsi="仿宋"/>
                <w:bCs/>
                <w:szCs w:val="21"/>
              </w:rP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4E0739" w:rsidRDefault="00812191">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4E0739">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uto"/>
              <w:jc w:val="center"/>
              <w:rPr>
                <w:rFonts w:ascii="仿宋" w:eastAsia="仿宋" w:hAnsi="仿宋"/>
                <w:bCs/>
                <w:szCs w:val="21"/>
              </w:rPr>
            </w:pPr>
            <w:r>
              <w:rPr>
                <w:rFonts w:ascii="仿宋" w:eastAsia="仿宋" w:hAnsi="仿宋" w:hint="eastAsia"/>
                <w:bCs/>
                <w:szCs w:val="21"/>
              </w:rPr>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uto"/>
              <w:ind w:firstLineChars="200" w:firstLine="420"/>
              <w:jc w:val="left"/>
              <w:rPr>
                <w:rFonts w:ascii="仿宋" w:eastAsia="仿宋" w:hAnsi="仿宋" w:cs="宋体"/>
                <w:kern w:val="0"/>
                <w:szCs w:val="21"/>
              </w:rPr>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4E0739" w:rsidRDefault="00812191">
            <w:pPr>
              <w:adjustRightInd w:val="0"/>
              <w:snapToGrid w:val="0"/>
              <w:spacing w:line="300" w:lineRule="exact"/>
              <w:ind w:right="-44" w:firstLineChars="200" w:firstLine="420"/>
              <w:rPr>
                <w:rFonts w:ascii="仿宋" w:eastAsia="仿宋" w:hAnsi="仿宋"/>
                <w:bCs/>
                <w:szCs w:val="21"/>
              </w:rPr>
            </w:pPr>
            <w:r>
              <w:rPr>
                <w:rFonts w:ascii="仿宋" w:eastAsia="仿宋" w:hAnsi="仿宋" w:hint="eastAsia"/>
                <w:bCs/>
                <w:szCs w:val="21"/>
              </w:rPr>
              <w:t>指上海证券交易所和深圳证券交易所的交易日，且同时为银行对外办理一般对公业务的工作日。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4E0739" w:rsidRDefault="00812191">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4E0739" w:rsidRDefault="00812191">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4E0739">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4E0739">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cs="宋体"/>
                <w:kern w:val="0"/>
                <w:szCs w:val="21"/>
              </w:rP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4E0739" w:rsidRDefault="00812191">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4E0739" w:rsidRDefault="00812191">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4E0739" w:rsidRDefault="00812191">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4E0739" w:rsidRDefault="004E0739">
      <w:pPr>
        <w:pStyle w:val="Default"/>
        <w:snapToGrid w:val="0"/>
        <w:spacing w:afterLines="50" w:after="156" w:line="400" w:lineRule="exact"/>
        <w:ind w:firstLineChars="200" w:firstLine="482"/>
        <w:jc w:val="both"/>
        <w:rPr>
          <w:rFonts w:ascii="Times New Roman" w:eastAsia="黑体" w:cs="Times New Roman"/>
          <w:b/>
          <w:color w:val="auto"/>
        </w:rPr>
      </w:pPr>
    </w:p>
    <w:p w:rsidR="004E0739" w:rsidRDefault="00812191">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二、</w:t>
      </w:r>
      <w:r>
        <w:rPr>
          <w:rFonts w:ascii="Times New Roman" w:eastAsia="黑体" w:cs="Times New Roman"/>
          <w:b/>
          <w:color w:val="auto"/>
        </w:rPr>
        <w:t>投资</w:t>
      </w:r>
      <w:r>
        <w:rPr>
          <w:rFonts w:ascii="Times New Roman" w:eastAsia="黑体" w:cs="Times New Roman" w:hint="eastAsia"/>
          <w:b/>
          <w:color w:val="auto"/>
        </w:rPr>
        <w:t>对象</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本理财产品将主要投资于货币市场工具、标准化债权类资产、非标准化债权类资产等固定收益类资产。</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本产品可通过信托、证券、基金、期货、保险资产管理机构等依法设立的资产管理产品以及其他符合国家相关政策、法律法规的投资渠道和方式实现对上述投资品种的投资。</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4E0739" w:rsidRDefault="00812191">
      <w:pPr>
        <w:widowControl/>
        <w:adjustRightInd w:val="0"/>
        <w:snapToGrid w:val="0"/>
        <w:spacing w:line="276" w:lineRule="auto"/>
        <w:ind w:firstLine="420"/>
        <w:contextualSpacing/>
        <w:rPr>
          <w:rFonts w:ascii="仿宋" w:eastAsia="仿宋" w:hAnsi="仿宋" w:cs="宋体"/>
          <w:color w:val="000000"/>
          <w:kern w:val="0"/>
          <w:sz w:val="24"/>
        </w:rPr>
      </w:pPr>
      <w:r>
        <w:rPr>
          <w:rFonts w:ascii="仿宋" w:eastAsia="仿宋" w:hAnsi="仿宋" w:cs="宋体" w:hint="eastAsia"/>
          <w:color w:val="000000"/>
          <w:kern w:val="0"/>
          <w:sz w:val="24"/>
        </w:rPr>
        <w:t>非标准化债权类资产包括《标准化债权类资产认定规则》认定的非标准化债权类资产。</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7900" w:type="dxa"/>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62"/>
        <w:gridCol w:w="5138"/>
      </w:tblGrid>
      <w:tr w:rsidR="004E0739">
        <w:trPr>
          <w:trHeight w:val="447"/>
          <w:tblCellSpacing w:w="0" w:type="dxa"/>
        </w:trPr>
        <w:tc>
          <w:tcPr>
            <w:tcW w:w="2762" w:type="dxa"/>
            <w:vAlign w:val="center"/>
          </w:tcPr>
          <w:p w:rsidR="004E0739" w:rsidRDefault="00812191">
            <w:pPr>
              <w:adjustRightInd w:val="0"/>
              <w:snapToGrid w:val="0"/>
              <w:spacing w:line="56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5138" w:type="dxa"/>
            <w:vAlign w:val="center"/>
          </w:tcPr>
          <w:p w:rsidR="004E0739" w:rsidRDefault="00812191">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rsidR="004E0739">
        <w:trPr>
          <w:trHeight w:val="447"/>
          <w:tblCellSpacing w:w="0" w:type="dxa"/>
        </w:trPr>
        <w:tc>
          <w:tcPr>
            <w:tcW w:w="2762" w:type="dxa"/>
            <w:vAlign w:val="center"/>
          </w:tcPr>
          <w:p w:rsidR="004E0739" w:rsidRDefault="00812191">
            <w:pPr>
              <w:adjustRightInd w:val="0"/>
              <w:snapToGrid w:val="0"/>
              <w:spacing w:line="56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固定收益类</w:t>
            </w:r>
          </w:p>
        </w:tc>
        <w:tc>
          <w:tcPr>
            <w:tcW w:w="5138" w:type="dxa"/>
            <w:vAlign w:val="center"/>
          </w:tcPr>
          <w:p w:rsidR="004E0739" w:rsidRDefault="00812191">
            <w:pPr>
              <w:adjustRightInd w:val="0"/>
              <w:snapToGrid w:val="0"/>
              <w:spacing w:line="560" w:lineRule="atLeast"/>
              <w:jc w:val="center"/>
              <w:rPr>
                <w:rFonts w:eastAsia="仿宋"/>
                <w:color w:val="000000"/>
                <w:kern w:val="0"/>
                <w:sz w:val="24"/>
              </w:rPr>
            </w:pPr>
            <w:r>
              <w:rPr>
                <w:rFonts w:ascii="仿宋" w:eastAsia="仿宋" w:hAnsi="仿宋" w:cs="宋体" w:hint="eastAsia"/>
                <w:color w:val="000000"/>
                <w:kern w:val="0"/>
                <w:sz w:val="24"/>
              </w:rPr>
              <w:t>0%-100%</w:t>
            </w:r>
          </w:p>
        </w:tc>
      </w:tr>
    </w:tbl>
    <w:p w:rsidR="004E0739" w:rsidRDefault="00812191">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4E0739" w:rsidRDefault="00812191">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4E0739" w:rsidRDefault="00812191">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本理财产品如投资不存在活跃交易市场且需要采用估值技术确定公允价值的资产，则对</w:t>
      </w:r>
      <w:r>
        <w:rPr>
          <w:rFonts w:ascii="仿宋" w:eastAsia="仿宋" w:hAnsi="仿宋" w:cs="宋体"/>
          <w:b/>
          <w:bCs/>
          <w:color w:val="000000"/>
          <w:kern w:val="0"/>
          <w:sz w:val="24"/>
        </w:rPr>
        <w:t>上述资产的投资</w:t>
      </w:r>
      <w:r>
        <w:rPr>
          <w:rFonts w:ascii="仿宋" w:eastAsia="仿宋" w:hAnsi="仿宋" w:cs="宋体" w:hint="eastAsia"/>
          <w:b/>
          <w:bCs/>
          <w:color w:val="000000"/>
          <w:kern w:val="0"/>
          <w:sz w:val="24"/>
        </w:rPr>
        <w:t>比例将不超过本产品净资产的50%。非因管理人主观因素导致突破前款约定的比例限制的，</w:t>
      </w:r>
      <w:r>
        <w:rPr>
          <w:rFonts w:ascii="仿宋" w:eastAsia="仿宋" w:hAnsi="仿宋" w:cs="宋体"/>
          <w:b/>
          <w:bCs/>
          <w:color w:val="000000"/>
          <w:kern w:val="0"/>
          <w:sz w:val="24"/>
        </w:rPr>
        <w:t>在上述因素</w:t>
      </w:r>
      <w:r>
        <w:rPr>
          <w:rFonts w:ascii="仿宋" w:eastAsia="仿宋" w:hAnsi="仿宋" w:cs="宋体" w:hint="eastAsia"/>
          <w:b/>
          <w:bCs/>
          <w:color w:val="000000"/>
          <w:kern w:val="0"/>
          <w:sz w:val="24"/>
        </w:rPr>
        <w:t>的</w:t>
      </w:r>
      <w:r>
        <w:rPr>
          <w:rFonts w:ascii="仿宋" w:eastAsia="仿宋" w:hAnsi="仿宋" w:cs="宋体"/>
          <w:b/>
          <w:bCs/>
          <w:color w:val="000000"/>
          <w:kern w:val="0"/>
          <w:sz w:val="24"/>
        </w:rPr>
        <w:t>影响消除前</w:t>
      </w:r>
      <w:r>
        <w:rPr>
          <w:rFonts w:ascii="仿宋" w:eastAsia="仿宋" w:hAnsi="仿宋" w:cs="宋体" w:hint="eastAsia"/>
          <w:b/>
          <w:bCs/>
          <w:color w:val="000000"/>
          <w:kern w:val="0"/>
          <w:sz w:val="24"/>
        </w:rPr>
        <w:t>本产品将不再新增投资上述资产。</w:t>
      </w:r>
    </w:p>
    <w:p w:rsidR="004E0739" w:rsidRDefault="00812191">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color w:val="000000"/>
          <w:kern w:val="0"/>
          <w:sz w:val="24"/>
        </w:rPr>
        <w:t>管理人应当自本理财产品成立日起1</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4E0739" w:rsidRDefault="00812191">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w:t>
      </w:r>
      <w:r>
        <w:rPr>
          <w:rFonts w:ascii="仿宋" w:eastAsia="仿宋" w:hAnsi="仿宋" w:cs="宋体" w:hint="eastAsia"/>
          <w:kern w:val="0"/>
          <w:sz w:val="24"/>
        </w:rPr>
        <w:lastRenderedPageBreak/>
        <w:t>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4E0739" w:rsidRDefault="00812191">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4E0739" w:rsidRDefault="00812191">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五</w:t>
      </w:r>
      <w:r>
        <w:rPr>
          <w:rFonts w:ascii="Times New Roman" w:eastAsia="黑体" w:cs="Times New Roman"/>
          <w:b/>
          <w:color w:val="auto"/>
        </w:rPr>
        <w:t>、认购</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柜台、手机银行、网上银行等渠道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4E0739" w:rsidRDefault="00812191">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2．本理财产品单一投资者持有产品份额数不得超过产品份额总数的50%。</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4E0739" w:rsidRDefault="00812191">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w:t>
      </w:r>
      <w:proofErr w:type="gramStart"/>
      <w:r>
        <w:rPr>
          <w:rFonts w:ascii="仿宋" w:eastAsia="仿宋" w:hAnsi="仿宋" w:cs="宋体" w:hint="eastAsia"/>
          <w:color w:val="000000"/>
          <w:kern w:val="0"/>
          <w:sz w:val="24"/>
        </w:rPr>
        <w:t>申请总</w:t>
      </w:r>
      <w:proofErr w:type="gramEnd"/>
      <w:r>
        <w:rPr>
          <w:rFonts w:ascii="仿宋" w:eastAsia="仿宋" w:hAnsi="仿宋" w:cs="宋体" w:hint="eastAsia"/>
          <w:color w:val="000000"/>
          <w:kern w:val="0"/>
          <w:sz w:val="24"/>
        </w:rPr>
        <w:t>金额超过设定的认购最高金额。</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4E0739" w:rsidRDefault="00812191">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4E0739" w:rsidRDefault="00812191">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4E0739" w:rsidRDefault="00812191">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1.0800</w:t>
      </w:r>
      <w:r>
        <w:rPr>
          <w:rFonts w:ascii="仿宋" w:eastAsia="仿宋" w:hAnsi="仿宋" w:cs="仿宋" w:hint="eastAsia"/>
          <w:sz w:val="24"/>
        </w:rPr>
        <w:t>，客户到期获得的金额为：</w:t>
      </w:r>
      <w:r>
        <w:rPr>
          <w:rFonts w:ascii="仿宋" w:eastAsia="仿宋" w:hAnsi="仿宋" w:cs="仿宋"/>
          <w:sz w:val="24"/>
        </w:rPr>
        <w:t>100,000*1.0800=108,000.00</w:t>
      </w:r>
      <w:r>
        <w:rPr>
          <w:rFonts w:ascii="仿宋" w:eastAsia="仿宋" w:hAnsi="仿宋" w:cs="仿宋" w:hint="eastAsia"/>
          <w:sz w:val="24"/>
        </w:rPr>
        <w:t>元。</w:t>
      </w:r>
    </w:p>
    <w:p w:rsidR="004E0739" w:rsidRDefault="00812191">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1.0</w:t>
      </w:r>
      <w:r w:rsidR="00BE1009">
        <w:rPr>
          <w:rFonts w:ascii="仿宋" w:eastAsia="仿宋" w:hAnsi="仿宋" w:cs="仿宋"/>
          <w:sz w:val="24"/>
        </w:rPr>
        <w:t>0</w:t>
      </w:r>
      <w:r>
        <w:rPr>
          <w:rFonts w:ascii="仿宋" w:eastAsia="仿宋" w:hAnsi="仿宋" w:cs="仿宋"/>
          <w:sz w:val="24"/>
        </w:rPr>
        <w:t>10</w:t>
      </w:r>
      <w:r>
        <w:rPr>
          <w:rFonts w:ascii="仿宋" w:eastAsia="仿宋" w:hAnsi="仿宋" w:cs="仿宋" w:hint="eastAsia"/>
          <w:sz w:val="24"/>
        </w:rPr>
        <w:t>，客户到期获得的金额为：</w:t>
      </w:r>
      <w:r>
        <w:rPr>
          <w:rFonts w:ascii="仿宋" w:eastAsia="仿宋" w:hAnsi="仿宋" w:cs="仿宋"/>
          <w:sz w:val="24"/>
        </w:rPr>
        <w:t>100,000*1.0</w:t>
      </w:r>
      <w:r w:rsidR="00BE1009">
        <w:rPr>
          <w:rFonts w:ascii="仿宋" w:eastAsia="仿宋" w:hAnsi="仿宋" w:cs="仿宋"/>
          <w:sz w:val="24"/>
        </w:rPr>
        <w:t>0</w:t>
      </w:r>
      <w:r>
        <w:rPr>
          <w:rFonts w:ascii="仿宋" w:eastAsia="仿宋" w:hAnsi="仿宋" w:cs="仿宋"/>
          <w:sz w:val="24"/>
        </w:rPr>
        <w:t>10=10</w:t>
      </w:r>
      <w:r w:rsidR="00BE1009">
        <w:rPr>
          <w:rFonts w:ascii="仿宋" w:eastAsia="仿宋" w:hAnsi="仿宋" w:cs="仿宋"/>
          <w:sz w:val="24"/>
        </w:rPr>
        <w:t>0</w:t>
      </w:r>
      <w:r>
        <w:rPr>
          <w:rFonts w:ascii="仿宋" w:eastAsia="仿宋" w:hAnsi="仿宋" w:cs="仿宋"/>
          <w:sz w:val="24"/>
        </w:rPr>
        <w:t>,</w:t>
      </w:r>
      <w:r w:rsidR="00BE1009">
        <w:rPr>
          <w:rFonts w:ascii="仿宋" w:eastAsia="仿宋" w:hAnsi="仿宋" w:cs="仿宋"/>
          <w:sz w:val="24"/>
        </w:rPr>
        <w:t>1</w:t>
      </w:r>
      <w:r>
        <w:rPr>
          <w:rFonts w:ascii="仿宋" w:eastAsia="仿宋" w:hAnsi="仿宋" w:cs="仿宋"/>
          <w:sz w:val="24"/>
        </w:rPr>
        <w:t>00.00</w:t>
      </w:r>
      <w:r>
        <w:rPr>
          <w:rFonts w:ascii="仿宋" w:eastAsia="仿宋" w:hAnsi="仿宋" w:cs="仿宋" w:hint="eastAsia"/>
          <w:sz w:val="24"/>
        </w:rPr>
        <w:t>元</w:t>
      </w:r>
    </w:p>
    <w:p w:rsidR="004E0739" w:rsidRDefault="00812191">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4E0739" w:rsidRDefault="00812191">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4E0739" w:rsidRDefault="00812191">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lastRenderedPageBreak/>
        <w:t>华夏理财郑重提示：本理财产品是非保本浮动收益净值型理财产品，不保证理财本金和收益。投资者的本金和收益可能会因市场变动等原因而蒙受损失。投资者应充分认识投资风险，谨慎投资。</w:t>
      </w:r>
    </w:p>
    <w:p w:rsidR="004E0739" w:rsidRDefault="00812191">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终止时投资者可能无法获得理财产品投资收益，甚至损失全部理财本金，投资者应在对此风险有充分认识基础上谨慎投资。</w:t>
      </w:r>
    </w:p>
    <w:p w:rsidR="004E0739" w:rsidRDefault="00812191">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4E0739" w:rsidRDefault="00812191">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本理财产品所投资的银行存款、货币市场工具等标准化债权类资产、非标准化债权类资产以及资产管理产品等资产。</w:t>
      </w:r>
    </w:p>
    <w:p w:rsidR="004E0739" w:rsidRDefault="00812191">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4E0739" w:rsidRDefault="00812191">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（1）送股、转增股、配股和公开增发的新股，按估值日在证券交易所挂牌的同一股票的市价（收盘价）估值；该日无交易的，以最近一日的市价（收盘价）估值；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（3）优先股采用估值技术确认公允价值，在估值技术难以可靠计量公允价值的情况下，采用管理人和托管人共同认可的第三方机构提供的估值，或双方共</w:t>
      </w:r>
      <w:r>
        <w:rPr>
          <w:rFonts w:ascii="仿宋" w:eastAsia="仿宋" w:hAnsi="仿宋" w:hint="eastAsia"/>
          <w:color w:val="auto"/>
        </w:rPr>
        <w:lastRenderedPageBreak/>
        <w:t>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等流通受限股票，应以证券交易所上市交易的同一股票的公允价值为基础，引入第三方机构提供的流动性折扣进行估值。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Pr>
          <w:rFonts w:ascii="仿宋" w:eastAsia="仿宋" w:hAnsi="仿宋" w:hint="eastAsia"/>
          <w:color w:val="auto"/>
        </w:rPr>
        <w:t>场外申赎</w:t>
      </w:r>
      <w:proofErr w:type="gramEnd"/>
      <w:r>
        <w:rPr>
          <w:rFonts w:ascii="仿宋" w:eastAsia="仿宋" w:hAnsi="仿宋" w:hint="eastAsia"/>
          <w:color w:val="auto"/>
        </w:rPr>
        <w:t>的开放式基金（包括上市开放式基金LOF）以估值日前一交易日基金净值估值，估值日前一交易日开放式基金份额净值未公布的，以此前最近一个交易日基金份额净值计算；</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（3）货币基金按前一估值日后至估值日期间（含节假日）发布的万份收益计提估值日收益。</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11. 非标准化债权类资产采用估值技术确认公允价值或在相关法律法规以及监管部门允许的情况下采用摊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w:t>
      </w:r>
      <w:r>
        <w:rPr>
          <w:rFonts w:ascii="仿宋" w:eastAsia="仿宋" w:hAnsi="仿宋" w:hint="eastAsia"/>
          <w:color w:val="auto"/>
        </w:rPr>
        <w:lastRenderedPageBreak/>
        <w:t>值的情况下，采用管理人和托管人共同认可的估值。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13. 本系列产品所投资的资产管理产品以估值日公布的产品单位净值进行估值，估值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相关法律法规以及监管部门有强制规定的，从其规定。如有新增事项或变更事项，依法按最新规定计算。没有相关规定的，由产品管理人与托管人协商确定计算方法。</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4E0739" w:rsidRDefault="00812191">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4E0739" w:rsidRDefault="00812191">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4E0739" w:rsidRDefault="00812191">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4E0739" w:rsidRDefault="00812191">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4E0739" w:rsidRDefault="00812191">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4E0739" w:rsidRDefault="00812191">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4E0739" w:rsidRDefault="00812191">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4E0739" w:rsidRDefault="00812191">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当估值出现错误时，因估值错误而获得不当得利的投资者负有及时返还不当得利的义务。</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4E0739" w:rsidRDefault="00812191">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w:t>
      </w:r>
      <w:r>
        <w:rPr>
          <w:rFonts w:ascii="Times New Roman" w:eastAsia="黑体" w:cs="Times New Roman" w:hint="eastAsia"/>
          <w:b/>
          <w:color w:val="auto"/>
        </w:rPr>
        <w:lastRenderedPageBreak/>
        <w:t>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6" w:name="_Hlk76300274"/>
      <w:r>
        <w:rPr>
          <w:rFonts w:ascii="Times New Roman" w:eastAsia="黑体" w:cs="Times New Roman" w:hint="eastAsia"/>
          <w:b/>
          <w:color w:val="auto"/>
        </w:rPr>
        <w:t>所投资的资产</w:t>
      </w:r>
      <w:bookmarkEnd w:id="6"/>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t>有权宣布本理财产品不成立。</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4E0739" w:rsidRDefault="00812191">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lastRenderedPageBreak/>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7"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7"/>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4E0739" w:rsidRDefault="00812191">
      <w:pPr>
        <w:spacing w:line="360" w:lineRule="exact"/>
        <w:ind w:firstLineChars="200" w:firstLine="482"/>
        <w:contextualSpacing/>
        <w:rPr>
          <w:rFonts w:eastAsia="黑体"/>
          <w:b/>
          <w:kern w:val="0"/>
          <w:sz w:val="24"/>
        </w:rPr>
      </w:pPr>
      <w:r>
        <w:rPr>
          <w:rFonts w:eastAsia="黑体" w:hint="eastAsia"/>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4E0739" w:rsidRDefault="00812191">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4E0739" w:rsidRDefault="00812191">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w:t>
      </w:r>
      <w:r>
        <w:rPr>
          <w:rFonts w:ascii="Times New Roman" w:eastAsia="黑体" w:cs="Times New Roman" w:hint="eastAsia"/>
          <w:b/>
          <w:color w:val="auto"/>
        </w:rPr>
        <w:lastRenderedPageBreak/>
        <w:t>影响理财产品的受理、投资、偿还等的正常进行，进而影响理财产品的投资收益和本金安全。</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4E0739" w:rsidRDefault="00812191">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披露本理财产品信息，披露事项包括理财产品成立、不成立、净值、收益分配、到期、提前终止、延期、调整等内容。</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w:t>
      </w:r>
      <w:r>
        <w:rPr>
          <w:rFonts w:ascii="仿宋" w:eastAsia="仿宋" w:hAnsi="仿宋" w:cs="宋体" w:hint="eastAsia"/>
          <w:kern w:val="0"/>
          <w:sz w:val="24"/>
        </w:rPr>
        <w:lastRenderedPageBreak/>
        <w:t>的信息披露渠道</w:t>
      </w:r>
      <w:r>
        <w:rPr>
          <w:rFonts w:ascii="仿宋" w:eastAsia="仿宋" w:hAnsi="仿宋" w:cs="仿宋" w:hint="eastAsia"/>
          <w:kern w:val="0"/>
          <w:sz w:val="24"/>
        </w:rPr>
        <w:t>发布临时公告。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4E0739" w:rsidRDefault="00812191">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4E0739" w:rsidRDefault="00812191">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4E0739" w:rsidRDefault="00812191">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4E0739" w:rsidRDefault="00812191">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4E0739" w:rsidRDefault="00812191">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4E0739" w:rsidRDefault="00812191">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4E0739">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7523A"/>
    <w:rsid w:val="00186079"/>
    <w:rsid w:val="00190BB4"/>
    <w:rsid w:val="0019200F"/>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24FE0"/>
    <w:rsid w:val="00333AEC"/>
    <w:rsid w:val="0033431D"/>
    <w:rsid w:val="00344E4C"/>
    <w:rsid w:val="00345CAB"/>
    <w:rsid w:val="003536CA"/>
    <w:rsid w:val="003750FE"/>
    <w:rsid w:val="0037769D"/>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0739"/>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65BDD"/>
    <w:rsid w:val="006714E1"/>
    <w:rsid w:val="0069687B"/>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84B05"/>
    <w:rsid w:val="00794BCC"/>
    <w:rsid w:val="007A782E"/>
    <w:rsid w:val="007B16C0"/>
    <w:rsid w:val="007D7E45"/>
    <w:rsid w:val="007E69F8"/>
    <w:rsid w:val="007F34D2"/>
    <w:rsid w:val="008111D2"/>
    <w:rsid w:val="00812191"/>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55BA0"/>
    <w:rsid w:val="00A762A9"/>
    <w:rsid w:val="00AA20BC"/>
    <w:rsid w:val="00AB6C5C"/>
    <w:rsid w:val="00AC051A"/>
    <w:rsid w:val="00AC0C84"/>
    <w:rsid w:val="00AC28C2"/>
    <w:rsid w:val="00AC616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B69FA"/>
    <w:rsid w:val="00BE1009"/>
    <w:rsid w:val="00BE486A"/>
    <w:rsid w:val="00C2501F"/>
    <w:rsid w:val="00C26621"/>
    <w:rsid w:val="00C31A7D"/>
    <w:rsid w:val="00C34C70"/>
    <w:rsid w:val="00C4438D"/>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346B"/>
    <w:rsid w:val="00E064E3"/>
    <w:rsid w:val="00E254D4"/>
    <w:rsid w:val="00E32C0D"/>
    <w:rsid w:val="00E53D13"/>
    <w:rsid w:val="00E62046"/>
    <w:rsid w:val="00E65F0B"/>
    <w:rsid w:val="00E8067C"/>
    <w:rsid w:val="00E86945"/>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86ADB"/>
    <w:rsid w:val="00FA60B8"/>
    <w:rsid w:val="00FA70D5"/>
    <w:rsid w:val="00FB10EC"/>
    <w:rsid w:val="00FC0983"/>
    <w:rsid w:val="00FC21F8"/>
    <w:rsid w:val="00FC6689"/>
    <w:rsid w:val="00FC72F2"/>
    <w:rsid w:val="00FF1A4F"/>
    <w:rsid w:val="00FF5911"/>
    <w:rsid w:val="015E11C2"/>
    <w:rsid w:val="020F48EF"/>
    <w:rsid w:val="02361A79"/>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CF0675C"/>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585397"/>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C01B0"/>
    <w:rsid w:val="1584793E"/>
    <w:rsid w:val="15874EAA"/>
    <w:rsid w:val="15C47445"/>
    <w:rsid w:val="15DF45C9"/>
    <w:rsid w:val="15E41B70"/>
    <w:rsid w:val="162E0DFB"/>
    <w:rsid w:val="16440A35"/>
    <w:rsid w:val="16577530"/>
    <w:rsid w:val="167255CF"/>
    <w:rsid w:val="16840173"/>
    <w:rsid w:val="16FB6F37"/>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4E59B7"/>
    <w:rsid w:val="1DE516B8"/>
    <w:rsid w:val="1E047274"/>
    <w:rsid w:val="1E433C85"/>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265A8E"/>
    <w:rsid w:val="294C4E21"/>
    <w:rsid w:val="296D4B02"/>
    <w:rsid w:val="2A103412"/>
    <w:rsid w:val="2A1E1418"/>
    <w:rsid w:val="2A770C99"/>
    <w:rsid w:val="2B2942A8"/>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774E48"/>
    <w:rsid w:val="36B76A85"/>
    <w:rsid w:val="36B82ADE"/>
    <w:rsid w:val="37174190"/>
    <w:rsid w:val="376879F0"/>
    <w:rsid w:val="378F057D"/>
    <w:rsid w:val="37EC4B4C"/>
    <w:rsid w:val="383529C2"/>
    <w:rsid w:val="387B665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6E93EA5"/>
    <w:rsid w:val="476049FD"/>
    <w:rsid w:val="47802A85"/>
    <w:rsid w:val="47E65D23"/>
    <w:rsid w:val="47F6480D"/>
    <w:rsid w:val="4801691C"/>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4F8F4B84"/>
    <w:rsid w:val="500C5A60"/>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60A47"/>
    <w:rsid w:val="62F77E6A"/>
    <w:rsid w:val="63554C8E"/>
    <w:rsid w:val="63890B77"/>
    <w:rsid w:val="63970830"/>
    <w:rsid w:val="639D1EC4"/>
    <w:rsid w:val="63A13700"/>
    <w:rsid w:val="63DA03E2"/>
    <w:rsid w:val="64541B77"/>
    <w:rsid w:val="64667487"/>
    <w:rsid w:val="64E9282A"/>
    <w:rsid w:val="651B0E07"/>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26D33"/>
    <w:rsid w:val="6AAC3F8C"/>
    <w:rsid w:val="6AFD414A"/>
    <w:rsid w:val="6B4C2F45"/>
    <w:rsid w:val="6B6E4269"/>
    <w:rsid w:val="6B961612"/>
    <w:rsid w:val="6B966680"/>
    <w:rsid w:val="6C161AD0"/>
    <w:rsid w:val="6D157AE9"/>
    <w:rsid w:val="6D275220"/>
    <w:rsid w:val="6D2E7D50"/>
    <w:rsid w:val="6DD90E21"/>
    <w:rsid w:val="6DE0162F"/>
    <w:rsid w:val="6DFA3383"/>
    <w:rsid w:val="6E1A49C5"/>
    <w:rsid w:val="6E254EA7"/>
    <w:rsid w:val="6E4B2AEB"/>
    <w:rsid w:val="6EBB30B7"/>
    <w:rsid w:val="6F0D185D"/>
    <w:rsid w:val="6F786BDA"/>
    <w:rsid w:val="6FA9351C"/>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602516FF-B896-4ECE-BCAB-B9649DE50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lsdException w:name="Body Text Inden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a5">
    <w:name w:val="Body Text Indent"/>
    <w:basedOn w:val="a"/>
    <w:unhideWhenUsed/>
    <w:qFormat/>
    <w:pPr>
      <w:ind w:firstLine="630"/>
    </w:pPr>
    <w:rPr>
      <w:kern w:val="0"/>
      <w:sz w:val="24"/>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20"/>
    </w:rPr>
  </w:style>
  <w:style w:type="character" w:styleId="a9">
    <w:name w:val="annotation reference"/>
    <w:qFormat/>
    <w:rPr>
      <w:sz w:val="21"/>
      <w:szCs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Char0">
    <w:name w:val="批注文字 Char"/>
    <w:link w:val="a4"/>
    <w:qFormat/>
    <w:rPr>
      <w:kern w:val="2"/>
      <w:sz w:val="21"/>
      <w:szCs w:val="24"/>
    </w:rPr>
  </w:style>
  <w:style w:type="character" w:customStyle="1" w:styleId="Char">
    <w:name w:val="批注主题 Char"/>
    <w:link w:val="a3"/>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2417</Words>
  <Characters>13783</Characters>
  <Application>Microsoft Office Word</Application>
  <DocSecurity>0</DocSecurity>
  <Lines>114</Lines>
  <Paragraphs>32</Paragraphs>
  <ScaleCrop>false</ScaleCrop>
  <Company>华夏银行总行</Company>
  <LinksUpToDate>false</LinksUpToDate>
  <CharactersWithSpaces>16168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华夏理财固定收益债权型封闭式</dc:title>
  <dc:subject/>
  <dc:creator>ylh</dc:creator>
  <cp:keywords>稳健低波</cp:keywords>
  <cp:lastModifiedBy>产品营销部</cp:lastModifiedBy>
  <cp:revision>3</cp:revision>
  <cp:lastPrinted>2021-07-21T07:06:00Z</cp:lastPrinted>
  <dcterms:created xsi:type="dcterms:W3CDTF">2023-03-31T07:20:00Z</dcterms:created>
  <dcterms:modified xsi:type="dcterms:W3CDTF">2023-03-31T07:20:00Z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