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739" w:rsidRDefault="00812191">
      <w:pPr>
        <w:pStyle w:val="a5"/>
        <w:widowControl/>
        <w:spacing w:line="240" w:lineRule="auto"/>
        <w:ind w:firstLine="0"/>
        <w:jc w:val="center"/>
        <w:rPr>
          <w:rFonts w:eastAsia="黑体"/>
          <w:bCs/>
          <w:sz w:val="36"/>
          <w:szCs w:val="36"/>
        </w:rPr>
      </w:pPr>
      <w:r>
        <w:rPr>
          <w:rFonts w:eastAsia="黑体" w:hint="eastAsia"/>
          <w:bCs/>
          <w:sz w:val="36"/>
          <w:szCs w:val="36"/>
        </w:rPr>
        <w:t>华夏理财固定收益债权型封闭式理财产品</w:t>
      </w:r>
      <w:r w:rsidR="001E1F97" w:rsidRPr="001E1F97">
        <w:rPr>
          <w:rFonts w:eastAsia="黑体" w:hint="eastAsia"/>
          <w:bCs/>
          <w:sz w:val="36"/>
          <w:szCs w:val="36"/>
        </w:rPr>
        <w:t>101</w:t>
      </w:r>
      <w:r w:rsidR="001E1F97" w:rsidRPr="001E1F97">
        <w:rPr>
          <w:rFonts w:eastAsia="黑体" w:hint="eastAsia"/>
          <w:bCs/>
          <w:sz w:val="36"/>
          <w:szCs w:val="36"/>
        </w:rPr>
        <w:t>号</w:t>
      </w:r>
    </w:p>
    <w:p w:rsidR="004E0739" w:rsidRDefault="00812191">
      <w:pPr>
        <w:pStyle w:val="a5"/>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4E0739">
        <w:trPr>
          <w:trHeight w:val="6140"/>
          <w:jc w:val="center"/>
        </w:trPr>
        <w:tc>
          <w:tcPr>
            <w:tcW w:w="8569" w:type="dxa"/>
            <w:tcBorders>
              <w:top w:val="single" w:sz="4" w:space="0" w:color="auto"/>
              <w:left w:val="single" w:sz="4" w:space="0" w:color="auto"/>
              <w:right w:val="single" w:sz="4" w:space="0" w:color="auto"/>
            </w:tcBorders>
            <w:vAlign w:val="center"/>
          </w:tcPr>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w:t>
            </w:r>
            <w:r w:rsidR="003E3068" w:rsidRPr="003E3068">
              <w:rPr>
                <w:rFonts w:ascii="黑体" w:eastAsia="黑体" w:hAnsi="黑体" w:hint="eastAsia"/>
                <w:b/>
                <w:sz w:val="28"/>
                <w:szCs w:val="28"/>
                <w:u w:val="single"/>
              </w:rPr>
              <w:t>华夏理财有限责任公司官方网站（www.hxwm.com.cn）、</w:t>
            </w:r>
            <w:r>
              <w:rPr>
                <w:rFonts w:ascii="黑体" w:eastAsia="黑体" w:hAnsi="黑体"/>
                <w:b/>
                <w:sz w:val="28"/>
                <w:szCs w:val="28"/>
                <w:u w:val="single"/>
              </w:rPr>
              <w:t>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4E0739" w:rsidRDefault="00812191">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4E0739">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sidR="001E1F97" w:rsidRPr="001E1F97">
              <w:rPr>
                <w:rFonts w:ascii="仿宋" w:eastAsia="仿宋" w:hAnsi="仿宋" w:hint="eastAsia"/>
                <w:b/>
                <w:bCs/>
                <w:szCs w:val="21"/>
              </w:rPr>
              <w:t>101号</w:t>
            </w:r>
          </w:p>
          <w:p w:rsidR="004E0739" w:rsidRPr="00ED0B33" w:rsidRDefault="00812191" w:rsidP="00DB1BE5">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简称：“华夏理财固收债权封闭式</w:t>
            </w:r>
            <w:r w:rsidR="001E1F97" w:rsidRPr="001E1F97">
              <w:rPr>
                <w:rFonts w:ascii="仿宋" w:eastAsia="仿宋" w:hAnsi="仿宋" w:hint="eastAsia"/>
                <w:b/>
                <w:bCs/>
                <w:szCs w:val="21"/>
              </w:rPr>
              <w:t>101号482天</w:t>
            </w:r>
            <w:r>
              <w:rPr>
                <w:rFonts w:ascii="仿宋" w:eastAsia="仿宋" w:hAnsi="仿宋" w:hint="eastAsia"/>
                <w:b/>
                <w:bCs/>
                <w:szCs w:val="21"/>
              </w:rPr>
              <w:t>”</w:t>
            </w:r>
          </w:p>
        </w:tc>
      </w:tr>
      <w:tr w:rsidR="004E0739">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1E1F97">
            <w:pPr>
              <w:adjustRightInd w:val="0"/>
              <w:snapToGrid w:val="0"/>
              <w:spacing w:line="300" w:lineRule="exact"/>
              <w:jc w:val="center"/>
              <w:rPr>
                <w:rFonts w:ascii="仿宋" w:eastAsia="仿宋" w:hAnsi="仿宋"/>
                <w:bCs/>
                <w:szCs w:val="21"/>
              </w:rPr>
            </w:pPr>
            <w:r w:rsidRPr="001E1F97">
              <w:rPr>
                <w:rFonts w:ascii="仿宋" w:eastAsia="仿宋" w:hAnsi="仿宋"/>
                <w:bCs/>
                <w:szCs w:val="21"/>
              </w:rPr>
              <w:t>23121101</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1E1F97">
            <w:pPr>
              <w:keepNext/>
              <w:adjustRightInd w:val="0"/>
              <w:snapToGrid w:val="0"/>
              <w:spacing w:line="300" w:lineRule="exact"/>
              <w:jc w:val="center"/>
              <w:rPr>
                <w:rFonts w:ascii="仿宋" w:eastAsia="仿宋" w:hAnsi="仿宋"/>
                <w:bCs/>
                <w:szCs w:val="21"/>
              </w:rPr>
            </w:pPr>
            <w:r w:rsidRPr="001E1F97">
              <w:rPr>
                <w:rFonts w:ascii="仿宋" w:eastAsia="仿宋" w:hAnsi="仿宋"/>
                <w:bCs/>
                <w:szCs w:val="21"/>
              </w:rPr>
              <w:t>Z7003923000135</w:t>
            </w:r>
          </w:p>
          <w:p w:rsidR="004E0739" w:rsidRDefault="00812191">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
                <w:bCs/>
                <w:szCs w:val="21"/>
              </w:rPr>
            </w:pPr>
            <w:r>
              <w:rPr>
                <w:rFonts w:ascii="仿宋" w:eastAsia="仿宋" w:hAnsi="仿宋" w:hint="eastAsia"/>
                <w:bCs/>
                <w:szCs w:val="21"/>
              </w:rPr>
              <w:t>本理财产品通过代理销售机构（以下简称“代销机构”）渠道销售的，理财产品评级应当以</w:t>
            </w:r>
            <w:bookmarkStart w:id="1" w:name="_Hlk76302700"/>
            <w:r>
              <w:rPr>
                <w:rFonts w:ascii="仿宋" w:eastAsia="仿宋" w:hAnsi="仿宋" w:hint="eastAsia"/>
                <w:bCs/>
                <w:szCs w:val="21"/>
              </w:rPr>
              <w:t>代销机构最终披露的评级结果</w:t>
            </w:r>
            <w:bookmarkEnd w:id="1"/>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1E1F97" w:rsidRPr="001E1F97" w:rsidRDefault="00812191" w:rsidP="001E1F97">
            <w:pPr>
              <w:adjustRightInd w:val="0"/>
              <w:snapToGrid w:val="0"/>
              <w:spacing w:line="240" w:lineRule="atLeast"/>
              <w:ind w:firstLineChars="200" w:firstLine="420"/>
              <w:rPr>
                <w:rFonts w:ascii="仿宋" w:eastAsia="仿宋" w:hAnsi="仿宋" w:cs="Cambria" w:hint="eastAsia"/>
                <w:bCs/>
                <w:szCs w:val="21"/>
              </w:rPr>
            </w:pPr>
            <w:r>
              <w:rPr>
                <w:rFonts w:ascii="仿宋" w:eastAsia="仿宋" w:hAnsi="仿宋" w:cs="Cambria" w:hint="eastAsia"/>
                <w:bCs/>
                <w:szCs w:val="21"/>
              </w:rPr>
              <w:t>业绩</w:t>
            </w:r>
            <w:r>
              <w:rPr>
                <w:rFonts w:ascii="仿宋" w:eastAsia="仿宋" w:hAnsi="仿宋" w:hint="eastAsia"/>
                <w:bCs/>
                <w:szCs w:val="21"/>
              </w:rPr>
              <w:t>比较</w:t>
            </w:r>
            <w:r>
              <w:rPr>
                <w:rFonts w:ascii="仿宋" w:eastAsia="仿宋" w:hAnsi="仿宋" w:cs="Cambria" w:hint="eastAsia"/>
                <w:bCs/>
                <w:szCs w:val="21"/>
              </w:rPr>
              <w:t>基准为</w:t>
            </w:r>
            <w:r w:rsidR="001E1F97" w:rsidRPr="001E1F97">
              <w:rPr>
                <w:rFonts w:ascii="仿宋" w:eastAsia="仿宋" w:hAnsi="仿宋" w:cs="Cambria"/>
                <w:bCs/>
                <w:szCs w:val="21"/>
              </w:rPr>
              <w:t>4.25%</w:t>
            </w:r>
            <w:r>
              <w:rPr>
                <w:rFonts w:ascii="仿宋" w:eastAsia="仿宋" w:hAnsi="仿宋" w:cs="Cambria" w:hint="eastAsia"/>
                <w:bCs/>
                <w:szCs w:val="21"/>
              </w:rPr>
              <w:t>（年化）。</w:t>
            </w:r>
            <w:r w:rsidR="001E1F97" w:rsidRPr="001E1F97">
              <w:rPr>
                <w:rFonts w:ascii="仿宋" w:eastAsia="仿宋" w:hAnsi="仿宋" w:cs="Cambria" w:hint="eastAsia"/>
                <w:bCs/>
                <w:szCs w:val="21"/>
              </w:rPr>
              <w:t>以产品投资债券类资产</w:t>
            </w:r>
            <w:proofErr w:type="gramStart"/>
            <w:r w:rsidR="001E1F97" w:rsidRPr="001E1F97">
              <w:rPr>
                <w:rFonts w:ascii="仿宋" w:eastAsia="仿宋" w:hAnsi="仿宋" w:cs="Cambria" w:hint="eastAsia"/>
                <w:bCs/>
                <w:szCs w:val="21"/>
              </w:rPr>
              <w:t>仓位</w:t>
            </w:r>
            <w:proofErr w:type="gramEnd"/>
            <w:r w:rsidR="001E1F97" w:rsidRPr="001E1F97">
              <w:rPr>
                <w:rFonts w:ascii="仿宋" w:eastAsia="仿宋" w:hAnsi="仿宋" w:cs="Cambria" w:hint="eastAsia"/>
                <w:bCs/>
                <w:szCs w:val="21"/>
              </w:rPr>
              <w:t>55%-100%，非标债权类资产</w:t>
            </w:r>
            <w:proofErr w:type="gramStart"/>
            <w:r w:rsidR="001E1F97" w:rsidRPr="001E1F97">
              <w:rPr>
                <w:rFonts w:ascii="仿宋" w:eastAsia="仿宋" w:hAnsi="仿宋" w:cs="Cambria" w:hint="eastAsia"/>
                <w:bCs/>
                <w:szCs w:val="21"/>
              </w:rPr>
              <w:t>仓位</w:t>
            </w:r>
            <w:proofErr w:type="gramEnd"/>
            <w:r w:rsidR="001E1F97" w:rsidRPr="001E1F97">
              <w:rPr>
                <w:rFonts w:ascii="仿宋" w:eastAsia="仿宋" w:hAnsi="仿宋" w:cs="Cambria" w:hint="eastAsia"/>
                <w:bCs/>
                <w:szCs w:val="21"/>
              </w:rPr>
              <w:t>0-45%，组合杠杆率100%-120%为例，</w:t>
            </w:r>
            <w:proofErr w:type="gramStart"/>
            <w:r w:rsidR="001E1F97" w:rsidRPr="001E1F97">
              <w:rPr>
                <w:rFonts w:ascii="仿宋" w:eastAsia="仿宋" w:hAnsi="仿宋" w:cs="Cambria" w:hint="eastAsia"/>
                <w:bCs/>
                <w:szCs w:val="21"/>
              </w:rPr>
              <w:t>参考久期匹配</w:t>
            </w:r>
            <w:proofErr w:type="gramEnd"/>
            <w:r w:rsidR="001E1F97" w:rsidRPr="001E1F97">
              <w:rPr>
                <w:rFonts w:ascii="仿宋" w:eastAsia="仿宋" w:hAnsi="仿宋" w:cs="Cambria" w:hint="eastAsia"/>
                <w:bCs/>
                <w:szCs w:val="21"/>
              </w:rPr>
              <w:t>的目标债券到期收益率、非标债权类资产目标收益率，结合</w:t>
            </w:r>
            <w:proofErr w:type="gramStart"/>
            <w:r w:rsidR="001E1F97" w:rsidRPr="001E1F97">
              <w:rPr>
                <w:rFonts w:ascii="仿宋" w:eastAsia="仿宋" w:hAnsi="仿宋" w:cs="Cambria" w:hint="eastAsia"/>
                <w:bCs/>
                <w:szCs w:val="21"/>
              </w:rPr>
              <w:t>产品久期匹配</w:t>
            </w:r>
            <w:proofErr w:type="gramEnd"/>
            <w:r w:rsidR="001E1F97" w:rsidRPr="001E1F97">
              <w:rPr>
                <w:rFonts w:ascii="仿宋" w:eastAsia="仿宋" w:hAnsi="仿宋" w:cs="Cambria" w:hint="eastAsia"/>
                <w:bCs/>
                <w:szCs w:val="21"/>
              </w:rPr>
              <w:t>投资策略并扣除各项费用后，综合测算得出上述业绩比较基准。测算示例仅供参考，具体资产投资比例可根据各类资产的收益水平、流动性特征、信用风险等因素动态调整。</w:t>
            </w:r>
          </w:p>
          <w:p w:rsidR="004E0739" w:rsidRDefault="001E1F97">
            <w:pPr>
              <w:adjustRightInd w:val="0"/>
              <w:snapToGrid w:val="0"/>
              <w:spacing w:line="240" w:lineRule="atLeast"/>
              <w:ind w:firstLineChars="200" w:firstLine="420"/>
              <w:rPr>
                <w:rFonts w:ascii="仿宋" w:eastAsia="仿宋" w:hAnsi="仿宋" w:cs="Cambria"/>
                <w:bCs/>
                <w:szCs w:val="21"/>
              </w:rPr>
            </w:pPr>
            <w:r w:rsidRPr="001E1F97">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4E0739" w:rsidRDefault="00812191">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4E0739" w:rsidRDefault="00812191">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4E0739" w:rsidRDefault="00812191">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bookmarkStart w:id="2" w:name="OLE_LINK2" w:colFirst="1" w:colLast="1"/>
            <w:bookmarkStart w:id="3" w:name="OLE_LINK3" w:colFirst="1" w:colLast="1"/>
            <w:bookmarkStart w:id="4"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071259">
            <w:pPr>
              <w:adjustRightInd w:val="0"/>
              <w:snapToGrid w:val="0"/>
              <w:spacing w:line="300" w:lineRule="exact"/>
              <w:ind w:firstLineChars="200" w:firstLine="420"/>
              <w:rPr>
                <w:rFonts w:ascii="仿宋" w:eastAsia="仿宋" w:hAnsi="仿宋"/>
                <w:bCs/>
                <w:szCs w:val="21"/>
              </w:rPr>
            </w:pPr>
            <w:r w:rsidRPr="00071259">
              <w:rPr>
                <w:rFonts w:ascii="仿宋" w:eastAsia="仿宋" w:hAnsi="仿宋" w:hint="eastAsia"/>
                <w:bCs/>
                <w:szCs w:val="21"/>
              </w:rPr>
              <w:t>2023年4月12日</w:t>
            </w:r>
            <w:r w:rsidR="00812191">
              <w:rPr>
                <w:rFonts w:ascii="仿宋" w:eastAsia="仿宋" w:hAnsi="仿宋"/>
                <w:bCs/>
                <w:szCs w:val="21"/>
              </w:rPr>
              <w:t>－</w:t>
            </w:r>
            <w:r w:rsidRPr="00071259">
              <w:rPr>
                <w:rFonts w:ascii="仿宋" w:eastAsia="仿宋" w:hAnsi="仿宋" w:hint="eastAsia"/>
                <w:bCs/>
                <w:szCs w:val="21"/>
              </w:rPr>
              <w:t>2023年4月18日</w:t>
            </w:r>
            <w:r w:rsidR="00812191">
              <w:rPr>
                <w:rFonts w:ascii="仿宋" w:eastAsia="仿宋" w:hAnsi="仿宋"/>
                <w:bCs/>
                <w:szCs w:val="21"/>
              </w:rPr>
              <w:t>（含）</w:t>
            </w:r>
            <w:r w:rsidR="00812191">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812191">
              <w:rPr>
                <w:rFonts w:ascii="仿宋" w:eastAsia="仿宋" w:hAnsi="仿宋"/>
                <w:bCs/>
                <w:szCs w:val="21"/>
              </w:rPr>
              <w:t>）</w:t>
            </w:r>
          </w:p>
        </w:tc>
      </w:tr>
      <w:bookmarkEnd w:id="2"/>
      <w:bookmarkEnd w:id="3"/>
      <w:bookmarkEnd w:id="4"/>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071259">
            <w:pPr>
              <w:adjustRightInd w:val="0"/>
              <w:snapToGrid w:val="0"/>
              <w:spacing w:line="300" w:lineRule="exact"/>
              <w:ind w:firstLineChars="200" w:firstLine="420"/>
              <w:rPr>
                <w:rFonts w:ascii="仿宋" w:eastAsia="仿宋" w:hAnsi="仿宋"/>
                <w:bCs/>
                <w:szCs w:val="21"/>
              </w:rPr>
            </w:pPr>
            <w:r w:rsidRPr="00071259">
              <w:rPr>
                <w:rFonts w:ascii="仿宋" w:eastAsia="仿宋" w:hAnsi="仿宋" w:hint="eastAsia"/>
                <w:bCs/>
                <w:szCs w:val="21"/>
              </w:rPr>
              <w:t>2023年4月19日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071259">
            <w:pPr>
              <w:adjustRightInd w:val="0"/>
              <w:snapToGrid w:val="0"/>
              <w:spacing w:line="300" w:lineRule="exact"/>
              <w:ind w:firstLineChars="200" w:firstLine="420"/>
              <w:rPr>
                <w:rFonts w:ascii="仿宋" w:eastAsia="仿宋" w:hAnsi="仿宋"/>
                <w:bCs/>
                <w:szCs w:val="21"/>
              </w:rPr>
            </w:pPr>
            <w:r w:rsidRPr="00071259">
              <w:rPr>
                <w:rFonts w:ascii="仿宋" w:eastAsia="仿宋" w:hAnsi="仿宋"/>
                <w:bCs/>
                <w:szCs w:val="21"/>
              </w:rPr>
              <w:t>482</w:t>
            </w:r>
            <w:r w:rsidR="00812191">
              <w:rPr>
                <w:rFonts w:ascii="仿宋" w:eastAsia="仿宋" w:hAnsi="仿宋" w:hint="eastAsia"/>
                <w:bCs/>
                <w:szCs w:val="21"/>
              </w:rPr>
              <w:t>天</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071259">
            <w:pPr>
              <w:adjustRightInd w:val="0"/>
              <w:snapToGrid w:val="0"/>
              <w:spacing w:line="300" w:lineRule="exact"/>
              <w:ind w:firstLineChars="200" w:firstLine="420"/>
              <w:rPr>
                <w:rFonts w:ascii="仿宋" w:eastAsia="仿宋" w:hAnsi="仿宋"/>
                <w:bCs/>
                <w:szCs w:val="21"/>
              </w:rPr>
            </w:pPr>
            <w:r w:rsidRPr="00071259">
              <w:rPr>
                <w:rFonts w:ascii="仿宋" w:eastAsia="仿宋" w:hAnsi="仿宋" w:hint="eastAsia"/>
                <w:bCs/>
                <w:szCs w:val="21"/>
              </w:rPr>
              <w:t>2024年8月13日</w:t>
            </w:r>
            <w:r w:rsidR="00812191">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rsidP="00547531">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4E0739" w:rsidRDefault="00812191">
            <w:pPr>
              <w:adjustRightInd w:val="0"/>
              <w:snapToGrid w:val="0"/>
              <w:spacing w:line="300" w:lineRule="exact"/>
              <w:ind w:firstLineChars="200" w:firstLine="422"/>
              <w:rPr>
                <w:rFonts w:ascii="仿宋" w:eastAsia="仿宋" w:hAnsi="仿宋"/>
                <w:bCs/>
                <w:szCs w:val="21"/>
              </w:rPr>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color w:val="000000"/>
                <w:szCs w:val="21"/>
              </w:rPr>
              <w:t>面向全国发行</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rsidP="00BE1009">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w:t>
            </w:r>
            <w:r w:rsidR="00BE1009">
              <w:rPr>
                <w:rFonts w:ascii="仿宋" w:eastAsia="仿宋" w:hAnsi="仿宋"/>
                <w:bCs/>
                <w:szCs w:val="21"/>
              </w:rPr>
              <w:t>30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4E0739">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rsidP="00BF783F">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4E0739" w:rsidRDefault="00812191">
            <w:pPr>
              <w:adjustRightInd w:val="0"/>
              <w:snapToGrid w:val="0"/>
              <w:spacing w:line="300" w:lineRule="exac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4E0739">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认购份额=认购金额/1元。</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4E0739" w:rsidRDefault="00812191">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4E0739" w:rsidRDefault="00812191">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w:t>
            </w:r>
            <w:r>
              <w:rPr>
                <w:rFonts w:ascii="仿宋" w:eastAsia="仿宋" w:hAnsi="仿宋" w:hint="eastAsia"/>
                <w:bCs/>
                <w:szCs w:val="21"/>
              </w:rPr>
              <w:lastRenderedPageBreak/>
              <w:t>销。</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4E0739">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4E0739">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rPr>
                <w:rFonts w:ascii="仿宋" w:eastAsia="仿宋" w:hAnsi="仿宋"/>
                <w:b/>
                <w:szCs w:val="21"/>
              </w:rPr>
            </w:pPr>
            <w:r>
              <w:rPr>
                <w:rFonts w:ascii="仿宋" w:eastAsia="仿宋" w:hAnsi="仿宋" w:hint="eastAsia"/>
                <w:b/>
                <w:szCs w:val="21"/>
              </w:rPr>
              <w:t>本理财产品不收取认购费。</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jc w:val="center"/>
              <w:rPr>
                <w:rFonts w:ascii="仿宋" w:eastAsia="仿宋" w:hAnsi="仿宋"/>
                <w:b/>
                <w:szCs w:val="21"/>
              </w:rPr>
            </w:pPr>
            <w:r>
              <w:rPr>
                <w:rFonts w:ascii="仿宋" w:eastAsia="仿宋" w:hAnsi="仿宋" w:hint="eastAsia"/>
                <w:b/>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812191"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0.03%/年，以前一日资产净值为基数，每日计提。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240" w:lineRule="auto"/>
              <w:ind w:firstLine="420"/>
              <w:jc w:val="left"/>
              <w:rPr>
                <w:rFonts w:ascii="仿宋" w:eastAsia="仿宋" w:hAnsi="仿宋"/>
                <w:b/>
                <w:szCs w:val="21"/>
              </w:rPr>
            </w:pPr>
            <w:r>
              <w:rPr>
                <w:rFonts w:ascii="仿宋" w:eastAsia="仿宋" w:hAnsi="仿宋" w:hint="eastAsia"/>
                <w:b/>
                <w:szCs w:val="21"/>
              </w:rPr>
              <w:t>F=E×【0.03%】/当年天数。F为托管费；E为计算</w:t>
            </w:r>
            <w:r>
              <w:rPr>
                <w:rFonts w:ascii="仿宋" w:eastAsia="仿宋" w:hAnsi="仿宋"/>
                <w:b/>
                <w:szCs w:val="21"/>
              </w:rPr>
              <w:t>基数</w:t>
            </w:r>
            <w:r>
              <w:rPr>
                <w:rFonts w:ascii="仿宋" w:eastAsia="仿宋" w:hAnsi="仿宋" w:hint="eastAsia"/>
                <w:b/>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rsidP="00BF783F">
            <w:pPr>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sidR="00071259" w:rsidRPr="00071259">
              <w:rPr>
                <w:rFonts w:ascii="仿宋" w:eastAsia="仿宋" w:hAnsi="仿宋"/>
                <w:b/>
                <w:szCs w:val="21"/>
              </w:rPr>
              <w:t>0.05%</w:t>
            </w:r>
            <w:r w:rsidR="00071259" w:rsidRPr="00071259" w:rsidDel="00071259">
              <w:rPr>
                <w:rFonts w:ascii="仿宋" w:eastAsia="仿宋" w:hAnsi="仿宋"/>
                <w:b/>
                <w:szCs w:val="21"/>
              </w:rPr>
              <w:t xml:space="preserve"> </w:t>
            </w:r>
            <w:r>
              <w:rPr>
                <w:rFonts w:ascii="仿宋" w:eastAsia="仿宋" w:hAnsi="仿宋" w:hint="eastAsia"/>
                <w:b/>
                <w:szCs w:val="21"/>
              </w:rPr>
              <w:t>/年，以前一日资产净值为基数，每日计提。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rsidP="00071259">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w:t>
            </w:r>
            <w:r w:rsidR="00071259" w:rsidRPr="00071259">
              <w:rPr>
                <w:rFonts w:ascii="仿宋" w:eastAsia="仿宋" w:hAnsi="仿宋"/>
                <w:b/>
                <w:szCs w:val="21"/>
              </w:rPr>
              <w:t>0.05%</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。F为销售</w:t>
            </w:r>
            <w:r>
              <w:rPr>
                <w:rFonts w:ascii="仿宋" w:eastAsia="仿宋" w:hAnsi="仿宋"/>
                <w:b/>
                <w:szCs w:val="21"/>
              </w:rPr>
              <w:t>手续费</w:t>
            </w:r>
            <w:r>
              <w:rPr>
                <w:rFonts w:ascii="仿宋" w:eastAsia="仿宋" w:hAnsi="仿宋" w:hint="eastAsia"/>
                <w:b/>
                <w:szCs w:val="21"/>
              </w:rPr>
              <w:t>；E为计算</w:t>
            </w:r>
            <w:r>
              <w:rPr>
                <w:rFonts w:ascii="仿宋" w:eastAsia="仿宋" w:hAnsi="仿宋"/>
                <w:b/>
                <w:szCs w:val="21"/>
              </w:rPr>
              <w:t>基数</w:t>
            </w:r>
            <w:r>
              <w:rPr>
                <w:rFonts w:ascii="仿宋" w:eastAsia="仿宋" w:hAnsi="仿宋" w:hint="eastAsia"/>
                <w:b/>
                <w:szCs w:val="21"/>
              </w:rPr>
              <w:t>。（销售手续费由销售服务机构收取。）</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812191" w:rsidRDefault="00071259">
            <w:pPr>
              <w:adjustRightInd w:val="0"/>
              <w:snapToGrid w:val="0"/>
              <w:spacing w:line="240" w:lineRule="atLeast"/>
              <w:ind w:firstLine="420"/>
              <w:jc w:val="left"/>
              <w:rPr>
                <w:rFonts w:ascii="仿宋" w:eastAsia="仿宋" w:hAnsi="仿宋"/>
                <w:b/>
                <w:szCs w:val="21"/>
              </w:rPr>
            </w:pPr>
            <w:r w:rsidRPr="00071259">
              <w:rPr>
                <w:rFonts w:ascii="仿宋" w:eastAsia="仿宋" w:hAnsi="仿宋"/>
                <w:b/>
                <w:szCs w:val="21"/>
              </w:rPr>
              <w:t>0.05%</w:t>
            </w:r>
            <w:r w:rsidRPr="00071259" w:rsidDel="00071259">
              <w:rPr>
                <w:rFonts w:ascii="仿宋" w:eastAsia="仿宋" w:hAnsi="仿宋"/>
                <w:b/>
                <w:szCs w:val="21"/>
              </w:rPr>
              <w:t xml:space="preserve"> </w:t>
            </w:r>
            <w:r w:rsidR="00812191">
              <w:rPr>
                <w:rFonts w:ascii="仿宋" w:eastAsia="仿宋" w:hAnsi="仿宋" w:hint="eastAsia"/>
                <w:b/>
                <w:szCs w:val="21"/>
              </w:rPr>
              <w:t>/年，以前一日资产净值为基数，每日计提。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300" w:lineRule="exact"/>
              <w:ind w:firstLine="420"/>
              <w:rPr>
                <w:rFonts w:ascii="仿宋" w:eastAsia="仿宋" w:hAnsi="仿宋"/>
                <w:b/>
                <w:szCs w:val="21"/>
              </w:rPr>
            </w:pPr>
            <w:r>
              <w:rPr>
                <w:rFonts w:ascii="仿宋" w:eastAsia="仿宋" w:hAnsi="仿宋" w:hint="eastAsia"/>
                <w:b/>
                <w:szCs w:val="21"/>
              </w:rPr>
              <w:t>F=E×【</w:t>
            </w:r>
            <w:r w:rsidR="00071259" w:rsidRPr="00071259">
              <w:rPr>
                <w:rFonts w:ascii="仿宋" w:eastAsia="仿宋" w:hAnsi="仿宋"/>
                <w:b/>
                <w:szCs w:val="21"/>
              </w:rPr>
              <w:t>0.05%</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。F为固定管理费；E为计算</w:t>
            </w:r>
            <w:r>
              <w:rPr>
                <w:rFonts w:ascii="仿宋" w:eastAsia="仿宋" w:hAnsi="仿宋"/>
                <w:b/>
                <w:szCs w:val="21"/>
              </w:rPr>
              <w:t>基数</w:t>
            </w:r>
            <w:r>
              <w:rPr>
                <w:rFonts w:ascii="仿宋" w:eastAsia="仿宋" w:hAnsi="仿宋" w:hint="eastAsia"/>
                <w:b/>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超额</w:t>
            </w:r>
            <w:r>
              <w:rPr>
                <w:rFonts w:ascii="仿宋" w:eastAsia="仿宋" w:hAnsi="仿宋"/>
                <w:b/>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本产品扣除各项费用（包括销售手续费、托管费、固定管理费及其他费用等）后，</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低于或等于超额管理费计提基准，则管理人不收取超额管理费；超过超额管理费计提基准的部分，50%归投资人所有，其余作为管理人的超额管理费。</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超额管理费计提基准为</w:t>
            </w:r>
            <w:r w:rsidR="00071259" w:rsidRPr="00071259">
              <w:rPr>
                <w:rFonts w:ascii="仿宋" w:eastAsia="仿宋" w:hAnsi="仿宋" w:cs="Cambria"/>
                <w:b/>
                <w:szCs w:val="21"/>
              </w:rPr>
              <w:t>4.25%</w:t>
            </w:r>
            <w:r>
              <w:rPr>
                <w:rFonts w:ascii="仿宋" w:eastAsia="仿宋" w:hAnsi="仿宋" w:cs="Cambria" w:hint="eastAsia"/>
                <w:b/>
                <w:szCs w:val="21"/>
              </w:rPr>
              <w:t>（年化）。</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本产品超额管理费的计算公式：</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-超额管理费计提基准）×当期持有天数÷365×50%×产品份额×1.0000</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其中：</w:t>
            </w:r>
          </w:p>
          <w:p w:rsidR="004E0739" w:rsidRDefault="00812191">
            <w:pPr>
              <w:adjustRightInd w:val="0"/>
              <w:snapToGrid w:val="0"/>
              <w:spacing w:line="300" w:lineRule="exact"/>
              <w:ind w:firstLine="420"/>
              <w:rPr>
                <w:rFonts w:ascii="仿宋" w:eastAsia="仿宋" w:hAnsi="仿宋" w:cs="Cambria"/>
                <w:b/>
                <w:szCs w:val="21"/>
              </w:rPr>
            </w:pP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=（计提日累计单位净值-1.0000）÷1.0000×365÷当期持有天数。</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“产品份额”为产品份额，若有红利再投时，将剔除红利再投产生份额的影响。</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投资周期内每个估值日计提超额管理费，仅</w:t>
            </w:r>
            <w:proofErr w:type="gramStart"/>
            <w:r>
              <w:rPr>
                <w:rFonts w:ascii="仿宋" w:eastAsia="仿宋" w:hAnsi="仿宋" w:cs="Cambria" w:hint="eastAsia"/>
                <w:b/>
                <w:szCs w:val="21"/>
              </w:rPr>
              <w:t>作为暂估数据</w:t>
            </w:r>
            <w:proofErr w:type="gramEnd"/>
            <w:r>
              <w:rPr>
                <w:rFonts w:ascii="仿宋" w:eastAsia="仿宋" w:hAnsi="仿宋" w:cs="Cambria" w:hint="eastAsia"/>
                <w:b/>
                <w:szCs w:val="21"/>
              </w:rPr>
              <w:t>，用于本产品会计核算和估值日估值。仅到期/终止日为本产品超额管理费实际计提和收取日。</w:t>
            </w:r>
          </w:p>
          <w:p w:rsidR="004E0739" w:rsidRDefault="00812191">
            <w:pPr>
              <w:adjustRightInd w:val="0"/>
              <w:snapToGrid w:val="0"/>
              <w:spacing w:line="300" w:lineRule="exact"/>
              <w:ind w:firstLine="420"/>
              <w:rPr>
                <w:rFonts w:ascii="仿宋" w:eastAsia="仿宋" w:hAnsi="仿宋"/>
                <w:b/>
                <w:szCs w:val="21"/>
                <w:u w:val="single"/>
              </w:rPr>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其他</w:t>
            </w:r>
            <w:r>
              <w:rPr>
                <w:rFonts w:ascii="仿宋" w:eastAsia="仿宋" w:hAnsi="仿宋"/>
                <w:b/>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理财资金运作期间以及追索理财资金可能产生的诉讼费、保全费、信托费、税费、审计费、律师费、公证费、清算费、执行费等，按其实际发生数额从理财资产中支取。</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4E0739" w:rsidRDefault="00812191">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4E0739">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jc w:val="center"/>
              <w:rPr>
                <w:rFonts w:ascii="仿宋" w:eastAsia="仿宋" w:hAnsi="仿宋"/>
                <w:bCs/>
                <w:szCs w:val="21"/>
              </w:rP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ind w:firstLineChars="200" w:firstLine="420"/>
              <w:jc w:val="left"/>
              <w:rPr>
                <w:rFonts w:ascii="仿宋" w:eastAsia="仿宋" w:hAnsi="仿宋" w:cs="宋体"/>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4E0739" w:rsidRDefault="00812191">
            <w:pPr>
              <w:adjustRightInd w:val="0"/>
              <w:snapToGrid w:val="0"/>
              <w:spacing w:line="300" w:lineRule="exact"/>
              <w:ind w:right="-44" w:firstLineChars="200" w:firstLine="420"/>
              <w:rPr>
                <w:rFonts w:ascii="仿宋" w:eastAsia="仿宋" w:hAnsi="仿宋"/>
                <w:bCs/>
                <w:szCs w:val="21"/>
              </w:rPr>
            </w:pPr>
            <w:r>
              <w:rPr>
                <w:rFonts w:ascii="仿宋" w:eastAsia="仿宋" w:hAnsi="仿宋" w:hint="eastAsia"/>
                <w:bCs/>
                <w:szCs w:val="21"/>
              </w:rPr>
              <w:lastRenderedPageBreak/>
              <w:t>指上海证券交易所和深圳证券交易所的交易日，且同时为银行对外办理一般对公业务的工作日。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lastRenderedPageBreak/>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4E0739" w:rsidRDefault="00812191">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4E0739" w:rsidRDefault="00812191">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4E0739">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4E0739">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4E0739" w:rsidRDefault="00812191">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4E0739" w:rsidRDefault="00812191">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4E0739" w:rsidRDefault="00812191">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4E0739" w:rsidRDefault="00812191">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w:t>
      </w:r>
      <w:r>
        <w:rPr>
          <w:rFonts w:ascii="Times New Roman" w:eastAsia="黑体" w:cs="Times New Roman" w:hint="eastAsia"/>
          <w:b/>
          <w:color w:val="auto"/>
        </w:rPr>
        <w:t>对象</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4E0739" w:rsidRDefault="00812191">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62"/>
        <w:gridCol w:w="5138"/>
      </w:tblGrid>
      <w:tr w:rsidR="004E0739">
        <w:trPr>
          <w:trHeight w:val="447"/>
          <w:tblCellSpacing w:w="0" w:type="dxa"/>
        </w:trPr>
        <w:tc>
          <w:tcPr>
            <w:tcW w:w="2762" w:type="dxa"/>
            <w:vAlign w:val="center"/>
          </w:tcPr>
          <w:p w:rsidR="004E0739" w:rsidRDefault="00812191">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5138" w:type="dxa"/>
            <w:vAlign w:val="center"/>
          </w:tcPr>
          <w:p w:rsidR="004E0739" w:rsidRDefault="00812191">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4E0739">
        <w:trPr>
          <w:trHeight w:val="447"/>
          <w:tblCellSpacing w:w="0" w:type="dxa"/>
        </w:trPr>
        <w:tc>
          <w:tcPr>
            <w:tcW w:w="2762" w:type="dxa"/>
            <w:vAlign w:val="center"/>
          </w:tcPr>
          <w:p w:rsidR="004E0739" w:rsidRDefault="00812191">
            <w:pPr>
              <w:adjustRightInd w:val="0"/>
              <w:snapToGrid w:val="0"/>
              <w:spacing w:line="56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固定收益类</w:t>
            </w:r>
          </w:p>
        </w:tc>
        <w:tc>
          <w:tcPr>
            <w:tcW w:w="5138" w:type="dxa"/>
            <w:vAlign w:val="center"/>
          </w:tcPr>
          <w:p w:rsidR="004E0739" w:rsidRDefault="00812191">
            <w:pPr>
              <w:adjustRightInd w:val="0"/>
              <w:snapToGrid w:val="0"/>
              <w:spacing w:line="56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4E0739" w:rsidRDefault="00812191">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4E0739" w:rsidRDefault="00812191">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4E0739" w:rsidRDefault="00812191">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4E0739" w:rsidRDefault="00812191">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w:t>
      </w:r>
      <w:r w:rsidR="001E6004">
        <w:rPr>
          <w:rFonts w:ascii="仿宋" w:eastAsia="仿宋" w:hAnsi="仿宋" w:cs="宋体"/>
          <w:b/>
          <w:bCs/>
          <w:color w:val="000000"/>
          <w:kern w:val="0"/>
          <w:sz w:val="24"/>
        </w:rPr>
        <w:t>3</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4E0739" w:rsidRDefault="00812191">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w:t>
      </w:r>
      <w:r>
        <w:rPr>
          <w:rFonts w:ascii="仿宋" w:eastAsia="仿宋" w:hAnsi="仿宋" w:cs="宋体" w:hint="eastAsia"/>
          <w:color w:val="000000"/>
          <w:kern w:val="0"/>
          <w:sz w:val="24"/>
        </w:rPr>
        <w:lastRenderedPageBreak/>
        <w:t>据），因发行人债务违约无法进行转让或交易的债券和非金融企业债务融资工具，以及其他流动性受限资产。</w:t>
      </w:r>
    </w:p>
    <w:p w:rsidR="004E0739" w:rsidRDefault="00812191">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4E0739" w:rsidRDefault="00812191">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4E0739" w:rsidRDefault="00812191">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lastRenderedPageBreak/>
        <w:t>2．本理财产品单一投资者持有产品份额数不得超过产品份额总数的50%。</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4E0739" w:rsidRDefault="00812191">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4E0739" w:rsidRDefault="00812191">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w:t>
      </w:r>
      <w:r w:rsidR="00BE1009">
        <w:rPr>
          <w:rFonts w:ascii="仿宋" w:eastAsia="仿宋" w:hAnsi="仿宋" w:cs="仿宋"/>
          <w:sz w:val="24"/>
        </w:rPr>
        <w:t>0</w:t>
      </w:r>
      <w:r>
        <w:rPr>
          <w:rFonts w:ascii="仿宋" w:eastAsia="仿宋" w:hAnsi="仿宋" w:cs="仿宋"/>
          <w:sz w:val="24"/>
        </w:rPr>
        <w:t>10</w:t>
      </w:r>
      <w:r>
        <w:rPr>
          <w:rFonts w:ascii="仿宋" w:eastAsia="仿宋" w:hAnsi="仿宋" w:cs="仿宋" w:hint="eastAsia"/>
          <w:sz w:val="24"/>
        </w:rPr>
        <w:t>，客户到期获得的金额为：</w:t>
      </w:r>
      <w:r>
        <w:rPr>
          <w:rFonts w:ascii="仿宋" w:eastAsia="仿宋" w:hAnsi="仿宋" w:cs="仿宋"/>
          <w:sz w:val="24"/>
        </w:rPr>
        <w:t>100,000*1.0</w:t>
      </w:r>
      <w:r w:rsidR="00BE1009">
        <w:rPr>
          <w:rFonts w:ascii="仿宋" w:eastAsia="仿宋" w:hAnsi="仿宋" w:cs="仿宋"/>
          <w:sz w:val="24"/>
        </w:rPr>
        <w:t>0</w:t>
      </w:r>
      <w:r>
        <w:rPr>
          <w:rFonts w:ascii="仿宋" w:eastAsia="仿宋" w:hAnsi="仿宋" w:cs="仿宋"/>
          <w:sz w:val="24"/>
        </w:rPr>
        <w:t>10=10</w:t>
      </w:r>
      <w:r w:rsidR="00BE1009">
        <w:rPr>
          <w:rFonts w:ascii="仿宋" w:eastAsia="仿宋" w:hAnsi="仿宋" w:cs="仿宋"/>
          <w:sz w:val="24"/>
        </w:rPr>
        <w:t>0</w:t>
      </w:r>
      <w:r>
        <w:rPr>
          <w:rFonts w:ascii="仿宋" w:eastAsia="仿宋" w:hAnsi="仿宋" w:cs="仿宋"/>
          <w:sz w:val="24"/>
        </w:rPr>
        <w:t>,</w:t>
      </w:r>
      <w:r w:rsidR="00BE1009">
        <w:rPr>
          <w:rFonts w:ascii="仿宋" w:eastAsia="仿宋" w:hAnsi="仿宋" w:cs="仿宋"/>
          <w:sz w:val="24"/>
        </w:rPr>
        <w:t>1</w:t>
      </w:r>
      <w:r>
        <w:rPr>
          <w:rFonts w:ascii="仿宋" w:eastAsia="仿宋" w:hAnsi="仿宋" w:cs="仿宋"/>
          <w:sz w:val="24"/>
        </w:rPr>
        <w:t>00.00</w:t>
      </w:r>
      <w:r>
        <w:rPr>
          <w:rFonts w:ascii="仿宋" w:eastAsia="仿宋" w:hAnsi="仿宋" w:cs="仿宋" w:hint="eastAsia"/>
          <w:sz w:val="24"/>
        </w:rPr>
        <w:t>元</w:t>
      </w:r>
    </w:p>
    <w:p w:rsidR="004E0739" w:rsidRDefault="00812191">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4E0739" w:rsidRDefault="00812191">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七</w:t>
      </w:r>
      <w:r>
        <w:rPr>
          <w:rFonts w:ascii="Times New Roman" w:eastAsia="黑体" w:cs="Times New Roman"/>
          <w:b/>
          <w:color w:val="auto"/>
        </w:rPr>
        <w:t>、理财产品估值</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w:t>
      </w:r>
      <w:r w:rsidR="00977335">
        <w:rPr>
          <w:rFonts w:ascii="仿宋" w:eastAsia="仿宋" w:hAnsi="仿宋" w:cs="仿宋" w:hint="eastAsia"/>
        </w:rPr>
        <w:t>、</w:t>
      </w:r>
      <w:r w:rsidR="00977335">
        <w:rPr>
          <w:rFonts w:ascii="仿宋" w:eastAsia="仿宋" w:hAnsi="仿宋" w:cs="仿宋"/>
        </w:rPr>
        <w:t>债券</w:t>
      </w:r>
      <w:r>
        <w:rPr>
          <w:rFonts w:ascii="仿宋" w:eastAsia="仿宋" w:hAnsi="仿宋" w:cs="仿宋" w:hint="eastAsia"/>
        </w:rPr>
        <w:t>等标准化债权类资产、非标准化债权类资产以及资产管理产品等资产。</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w:t>
      </w:r>
      <w:r>
        <w:rPr>
          <w:rFonts w:ascii="仿宋" w:eastAsia="仿宋" w:hAnsi="仿宋" w:hint="eastAsia"/>
          <w:color w:val="auto"/>
        </w:rPr>
        <w:lastRenderedPageBreak/>
        <w:t>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sidR="009A4833" w:rsidRPr="009A4833">
        <w:rPr>
          <w:rFonts w:ascii="仿宋" w:eastAsia="仿宋" w:hAnsi="仿宋" w:hint="eastAsia"/>
          <w:color w:val="auto"/>
        </w:rPr>
        <w:t>场外申赎</w:t>
      </w:r>
      <w:proofErr w:type="gramEnd"/>
      <w:r w:rsidR="009A4833" w:rsidRPr="009A4833">
        <w:rPr>
          <w:rFonts w:ascii="仿宋" w:eastAsia="仿宋" w:hAnsi="仿宋" w:hint="eastAsia"/>
          <w:color w:val="auto"/>
        </w:rPr>
        <w:t>的开放式非货币基金以估值日可获取的基金管理人公布的最新基金份额净值估值</w:t>
      </w:r>
      <w:r>
        <w:rPr>
          <w:rFonts w:ascii="仿宋" w:eastAsia="仿宋" w:hAnsi="仿宋" w:hint="eastAsia"/>
          <w:color w:val="auto"/>
        </w:rPr>
        <w:t>；</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w:t>
      </w:r>
      <w:r w:rsidR="009A4833" w:rsidRPr="009A4833">
        <w:rPr>
          <w:rFonts w:ascii="仿宋" w:eastAsia="仿宋" w:hAnsi="仿宋" w:hint="eastAsia"/>
          <w:color w:val="auto"/>
        </w:rPr>
        <w:t>货币基金以估值日可获取的基金管理人公布的最新万份收益计提红利</w:t>
      </w:r>
      <w:r>
        <w:rPr>
          <w:rFonts w:ascii="仿宋" w:eastAsia="仿宋" w:hAnsi="仿宋" w:hint="eastAsia"/>
          <w:color w:val="auto"/>
        </w:rPr>
        <w:t>。</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w:t>
      </w:r>
      <w:r>
        <w:rPr>
          <w:rFonts w:ascii="仿宋" w:eastAsia="仿宋" w:hAnsi="仿宋" w:hint="eastAsia"/>
          <w:color w:val="auto"/>
        </w:rPr>
        <w:lastRenderedPageBreak/>
        <w:t>价值的方法估值。即使存在上述情况，产品管理人或托管人若采用上述规定的方法为理财产品财产进行了估值，仍应被认为采用了适当的估值方法。</w:t>
      </w:r>
    </w:p>
    <w:p w:rsidR="004E0739" w:rsidRDefault="00812191">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4E0739" w:rsidRDefault="00812191">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4E0739" w:rsidRDefault="00812191">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4E0739" w:rsidRDefault="00812191">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4E0739" w:rsidRDefault="00812191">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4E0739" w:rsidRDefault="00812191">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5" w:name="_Hlk76300274"/>
      <w:r>
        <w:rPr>
          <w:rFonts w:ascii="Times New Roman" w:eastAsia="黑体" w:cs="Times New Roman" w:hint="eastAsia"/>
          <w:b/>
          <w:color w:val="auto"/>
        </w:rPr>
        <w:t>所投资的资产</w:t>
      </w:r>
      <w:bookmarkEnd w:id="5"/>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w:t>
      </w:r>
      <w:r>
        <w:rPr>
          <w:rFonts w:ascii="Times New Roman" w:eastAsia="黑体" w:cs="Times New Roman" w:hint="eastAsia"/>
          <w:b/>
          <w:color w:val="auto"/>
        </w:rPr>
        <w:lastRenderedPageBreak/>
        <w:t>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4E0739" w:rsidRDefault="00812191">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6"/>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4E0739" w:rsidRDefault="00812191">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w:t>
      </w:r>
      <w:r>
        <w:rPr>
          <w:rFonts w:eastAsia="黑体" w:hint="eastAsia"/>
          <w:b/>
          <w:kern w:val="0"/>
          <w:sz w:val="24"/>
        </w:rPr>
        <w:lastRenderedPageBreak/>
        <w:t>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4E0739" w:rsidRDefault="00812191">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4E0739" w:rsidRDefault="00812191">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lastRenderedPageBreak/>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sidR="003E3068" w:rsidRPr="003E3068">
        <w:rPr>
          <w:rFonts w:ascii="仿宋" w:eastAsia="仿宋" w:hAnsi="仿宋" w:cs="宋体" w:hint="eastAsia"/>
          <w:b/>
          <w:kern w:val="0"/>
          <w:sz w:val="24"/>
        </w:rPr>
        <w:t>华夏理财有限责任公司官方网站（www.hxwm.com.cn）、</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4E0739" w:rsidRDefault="00812191">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lastRenderedPageBreak/>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sidR="003E3068" w:rsidRPr="003E3068">
        <w:rPr>
          <w:rFonts w:ascii="仿宋" w:eastAsia="仿宋" w:hAnsi="仿宋" w:cs="宋体" w:hint="eastAsia"/>
          <w:b/>
          <w:bCs/>
          <w:kern w:val="0"/>
          <w:sz w:val="24"/>
        </w:rPr>
        <w:t>华夏理财有限责任公司官方网站（www.hxwm.com.cn）、</w:t>
      </w:r>
      <w:r>
        <w:rPr>
          <w:rFonts w:ascii="仿宋" w:eastAsia="仿宋" w:hAnsi="仿宋" w:cs="宋体"/>
          <w:b/>
          <w:bCs/>
          <w:kern w:val="0"/>
          <w:sz w:val="24"/>
        </w:rPr>
        <w:t>华夏银行官方网站公告的方式通知投资者。</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4E0739" w:rsidRDefault="00812191">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bookmarkStart w:id="7" w:name="_GoBack"/>
      <w:bookmarkEnd w:id="7"/>
    </w:p>
    <w:p w:rsidR="004E0739" w:rsidRDefault="004E0739">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4E0739" w:rsidRDefault="00812191">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4E0739">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431D6"/>
    <w:rsid w:val="00056226"/>
    <w:rsid w:val="00063AA0"/>
    <w:rsid w:val="00066824"/>
    <w:rsid w:val="00071259"/>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200F"/>
    <w:rsid w:val="001D2415"/>
    <w:rsid w:val="001E1606"/>
    <w:rsid w:val="001E1F97"/>
    <w:rsid w:val="001E3E69"/>
    <w:rsid w:val="001E41AD"/>
    <w:rsid w:val="001E6004"/>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E3068"/>
    <w:rsid w:val="003F0CFC"/>
    <w:rsid w:val="00400CDC"/>
    <w:rsid w:val="004128C5"/>
    <w:rsid w:val="00420E68"/>
    <w:rsid w:val="00443D10"/>
    <w:rsid w:val="00482583"/>
    <w:rsid w:val="0048600F"/>
    <w:rsid w:val="00493909"/>
    <w:rsid w:val="004A2CEA"/>
    <w:rsid w:val="004B3C7D"/>
    <w:rsid w:val="004C7E7D"/>
    <w:rsid w:val="004D72E5"/>
    <w:rsid w:val="004E0739"/>
    <w:rsid w:val="004E4564"/>
    <w:rsid w:val="004E46BF"/>
    <w:rsid w:val="004E7458"/>
    <w:rsid w:val="004F3054"/>
    <w:rsid w:val="00511A6C"/>
    <w:rsid w:val="00511F92"/>
    <w:rsid w:val="0051737C"/>
    <w:rsid w:val="005228EC"/>
    <w:rsid w:val="0053489D"/>
    <w:rsid w:val="00541B21"/>
    <w:rsid w:val="00547531"/>
    <w:rsid w:val="005622E8"/>
    <w:rsid w:val="00562D74"/>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687B"/>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84B05"/>
    <w:rsid w:val="00794BCC"/>
    <w:rsid w:val="007A782E"/>
    <w:rsid w:val="007B16C0"/>
    <w:rsid w:val="007D7E45"/>
    <w:rsid w:val="007E69F8"/>
    <w:rsid w:val="007F34D2"/>
    <w:rsid w:val="008111D2"/>
    <w:rsid w:val="00812191"/>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948CB"/>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77335"/>
    <w:rsid w:val="00991585"/>
    <w:rsid w:val="0099257B"/>
    <w:rsid w:val="009A1572"/>
    <w:rsid w:val="009A4833"/>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C616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B69FA"/>
    <w:rsid w:val="00BE1009"/>
    <w:rsid w:val="00BE486A"/>
    <w:rsid w:val="00BF783F"/>
    <w:rsid w:val="00C2501F"/>
    <w:rsid w:val="00C26621"/>
    <w:rsid w:val="00C31A7D"/>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3CC1"/>
    <w:rsid w:val="00D96806"/>
    <w:rsid w:val="00DA1051"/>
    <w:rsid w:val="00DB1BE5"/>
    <w:rsid w:val="00DB3201"/>
    <w:rsid w:val="00DB48BF"/>
    <w:rsid w:val="00DB6A3F"/>
    <w:rsid w:val="00DC5F87"/>
    <w:rsid w:val="00DE1803"/>
    <w:rsid w:val="00DE7DB8"/>
    <w:rsid w:val="00DF01F0"/>
    <w:rsid w:val="00E01C5E"/>
    <w:rsid w:val="00E02F1C"/>
    <w:rsid w:val="00E0346B"/>
    <w:rsid w:val="00E064E3"/>
    <w:rsid w:val="00E254D4"/>
    <w:rsid w:val="00E32C0D"/>
    <w:rsid w:val="00E53D13"/>
    <w:rsid w:val="00E62046"/>
    <w:rsid w:val="00E65F0B"/>
    <w:rsid w:val="00E8067C"/>
    <w:rsid w:val="00E86945"/>
    <w:rsid w:val="00E91719"/>
    <w:rsid w:val="00E93A95"/>
    <w:rsid w:val="00EA4EFE"/>
    <w:rsid w:val="00EC1941"/>
    <w:rsid w:val="00ED0B33"/>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86ADB"/>
    <w:rsid w:val="00FA60B8"/>
    <w:rsid w:val="00FA70D5"/>
    <w:rsid w:val="00FB10EC"/>
    <w:rsid w:val="00FC0983"/>
    <w:rsid w:val="00FC21F8"/>
    <w:rsid w:val="00FC6689"/>
    <w:rsid w:val="00FC72F2"/>
    <w:rsid w:val="00FF1A4F"/>
    <w:rsid w:val="00FF5911"/>
    <w:rsid w:val="015E11C2"/>
    <w:rsid w:val="020F48EF"/>
    <w:rsid w:val="02361A79"/>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4E59B7"/>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265A8E"/>
    <w:rsid w:val="294C4E21"/>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2F77E6A"/>
    <w:rsid w:val="63554C8E"/>
    <w:rsid w:val="63890B77"/>
    <w:rsid w:val="63970830"/>
    <w:rsid w:val="639D1EC4"/>
    <w:rsid w:val="63A13700"/>
    <w:rsid w:val="63DA03E2"/>
    <w:rsid w:val="64541B77"/>
    <w:rsid w:val="64667487"/>
    <w:rsid w:val="64E9282A"/>
    <w:rsid w:val="651B0E07"/>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724B1666-10C5-494E-8621-288671DF9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Body Text Indent"/>
    <w:basedOn w:val="a"/>
    <w:unhideWhenUsed/>
    <w:qFormat/>
    <w:pPr>
      <w:ind w:firstLine="630"/>
    </w:pPr>
    <w:rPr>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20"/>
    </w:rPr>
  </w:style>
  <w:style w:type="character" w:styleId="a9">
    <w:name w:val="annotation reference"/>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0">
    <w:name w:val="批注文字 Char"/>
    <w:link w:val="a4"/>
    <w:qFormat/>
    <w:rPr>
      <w:kern w:val="2"/>
      <w:sz w:val="21"/>
      <w:szCs w:val="24"/>
    </w:rPr>
  </w:style>
  <w:style w:type="character" w:customStyle="1" w:styleId="Char">
    <w:name w:val="批注主题 Char"/>
    <w:link w:val="a3"/>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2370</Words>
  <Characters>13514</Characters>
  <Application>Microsoft Office Word</Application>
  <DocSecurity>0</DocSecurity>
  <Lines>112</Lines>
  <Paragraphs>31</Paragraphs>
  <ScaleCrop>false</ScaleCrop>
  <Company>华夏银行总行</Company>
  <LinksUpToDate>false</LinksUpToDate>
  <CharactersWithSpaces>15853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久期匹配策略</cp:keywords>
  <cp:lastModifiedBy>产品营销部</cp:lastModifiedBy>
  <cp:revision>3</cp:revision>
  <cp:lastPrinted>2021-07-21T07:06:00Z</cp:lastPrinted>
  <dcterms:created xsi:type="dcterms:W3CDTF">2023-04-10T09:15:00Z</dcterms:created>
  <dcterms:modified xsi:type="dcterms:W3CDTF">2023-04-10T09:18:00Z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