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17F1" w:rsidRDefault="00375E14">
      <w:pPr>
        <w:pStyle w:val="a6"/>
        <w:adjustRightInd w:val="0"/>
        <w:snapToGrid w:val="0"/>
        <w:spacing w:line="400" w:lineRule="exact"/>
        <w:ind w:firstLine="0"/>
        <w:jc w:val="center"/>
        <w:rPr>
          <w:rFonts w:eastAsia="黑体"/>
          <w:bCs/>
          <w:kern w:val="2"/>
          <w:sz w:val="36"/>
          <w:szCs w:val="36"/>
        </w:rPr>
      </w:pPr>
      <w:r>
        <w:rPr>
          <w:rFonts w:eastAsia="黑体" w:hint="eastAsia"/>
          <w:bCs/>
          <w:kern w:val="2"/>
          <w:sz w:val="36"/>
          <w:szCs w:val="36"/>
        </w:rPr>
        <w:t>华夏</w:t>
      </w:r>
      <w:proofErr w:type="gramStart"/>
      <w:r>
        <w:rPr>
          <w:rFonts w:eastAsia="黑体" w:hint="eastAsia"/>
          <w:bCs/>
          <w:kern w:val="2"/>
          <w:sz w:val="36"/>
          <w:szCs w:val="36"/>
        </w:rPr>
        <w:t>理财悦享三年</w:t>
      </w:r>
      <w:proofErr w:type="gramEnd"/>
      <w:r>
        <w:rPr>
          <w:rFonts w:eastAsia="黑体" w:hint="eastAsia"/>
          <w:bCs/>
          <w:kern w:val="2"/>
          <w:sz w:val="36"/>
          <w:szCs w:val="36"/>
        </w:rPr>
        <w:t>期理财产品</w:t>
      </w:r>
      <w:r w:rsidR="00003C25" w:rsidRPr="00003C25">
        <w:rPr>
          <w:rFonts w:eastAsia="黑体" w:hint="eastAsia"/>
          <w:bCs/>
          <w:kern w:val="2"/>
          <w:sz w:val="36"/>
          <w:szCs w:val="36"/>
        </w:rPr>
        <w:t>3</w:t>
      </w:r>
      <w:r w:rsidR="00003C25" w:rsidRPr="00003C25">
        <w:rPr>
          <w:rFonts w:eastAsia="黑体" w:hint="eastAsia"/>
          <w:bCs/>
          <w:kern w:val="2"/>
          <w:sz w:val="36"/>
          <w:szCs w:val="36"/>
        </w:rPr>
        <w:t>号</w:t>
      </w:r>
      <w:r>
        <w:rPr>
          <w:rFonts w:eastAsia="黑体" w:hint="eastAsia"/>
          <w:bCs/>
          <w:kern w:val="2"/>
          <w:sz w:val="36"/>
          <w:szCs w:val="36"/>
        </w:rPr>
        <w:t>说明书</w:t>
      </w:r>
    </w:p>
    <w:tbl>
      <w:tblPr>
        <w:tblpPr w:leftFromText="180" w:rightFromText="180" w:vertAnchor="page" w:horzAnchor="page" w:tblpX="1867" w:tblpY="2343"/>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E017F1">
        <w:trPr>
          <w:trHeight w:val="6142"/>
        </w:trPr>
        <w:tc>
          <w:tcPr>
            <w:tcW w:w="8590" w:type="dxa"/>
            <w:tcBorders>
              <w:top w:val="single" w:sz="4" w:space="0" w:color="auto"/>
              <w:left w:val="single" w:sz="4" w:space="0" w:color="auto"/>
              <w:right w:val="single" w:sz="4" w:space="0" w:color="auto"/>
            </w:tcBorders>
            <w:vAlign w:val="center"/>
          </w:tcPr>
          <w:p w:rsidR="00E017F1" w:rsidRDefault="00375E1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E017F1" w:rsidRDefault="00375E1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E017F1" w:rsidRDefault="00375E1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E017F1" w:rsidRDefault="00375E14">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E017F1" w:rsidRDefault="00E017F1">
      <w:pPr>
        <w:pStyle w:val="a6"/>
        <w:adjustRightInd w:val="0"/>
        <w:snapToGrid w:val="0"/>
        <w:spacing w:line="400" w:lineRule="exact"/>
        <w:ind w:firstLine="0"/>
        <w:jc w:val="center"/>
        <w:rPr>
          <w:rFonts w:eastAsia="黑体"/>
          <w:bCs/>
          <w:kern w:val="2"/>
          <w:sz w:val="36"/>
          <w:szCs w:val="36"/>
        </w:rPr>
      </w:pPr>
    </w:p>
    <w:p w:rsidR="00E017F1" w:rsidRDefault="00E017F1">
      <w:pPr>
        <w:pStyle w:val="a6"/>
        <w:adjustRightInd w:val="0"/>
        <w:snapToGrid w:val="0"/>
        <w:spacing w:line="400" w:lineRule="exact"/>
        <w:ind w:firstLine="0"/>
        <w:jc w:val="center"/>
        <w:rPr>
          <w:rFonts w:eastAsia="黑体"/>
          <w:bCs/>
          <w:kern w:val="2"/>
          <w:sz w:val="36"/>
          <w:szCs w:val="36"/>
        </w:rPr>
      </w:pP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shd w:val="clear" w:color="auto" w:fill="FFFFFF"/>
        <w:tblLayout w:type="fixed"/>
        <w:tblLook w:val="0000" w:firstRow="0" w:lastRow="0" w:firstColumn="0" w:lastColumn="0" w:noHBand="0" w:noVBand="0"/>
      </w:tblPr>
      <w:tblGrid>
        <w:gridCol w:w="1669"/>
        <w:gridCol w:w="7033"/>
      </w:tblGrid>
      <w:tr w:rsidR="00E017F1">
        <w:trPr>
          <w:trHeight w:val="392"/>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理财悦享三年</w:t>
            </w:r>
            <w:proofErr w:type="gramEnd"/>
            <w:r>
              <w:rPr>
                <w:rFonts w:ascii="仿宋" w:eastAsia="仿宋" w:hAnsi="仿宋" w:hint="eastAsia"/>
                <w:b/>
                <w:bCs/>
                <w:szCs w:val="21"/>
              </w:rPr>
              <w:t>期理财产品</w:t>
            </w:r>
            <w:r w:rsidR="00003C25" w:rsidRPr="00003C25">
              <w:rPr>
                <w:rFonts w:ascii="仿宋" w:eastAsia="仿宋" w:hAnsi="仿宋" w:hint="eastAsia"/>
                <w:b/>
                <w:bCs/>
                <w:szCs w:val="21"/>
              </w:rPr>
              <w:t>3号</w:t>
            </w:r>
          </w:p>
          <w:p w:rsidR="00E017F1" w:rsidRDefault="00375E14">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简称：“华夏理财悦享三年期</w:t>
            </w:r>
            <w:r w:rsidR="00003C25" w:rsidRPr="00003C25">
              <w:rPr>
                <w:rFonts w:ascii="仿宋" w:eastAsia="仿宋" w:hAnsi="仿宋" w:hint="eastAsia"/>
                <w:b/>
                <w:bCs/>
                <w:szCs w:val="21"/>
              </w:rPr>
              <w:t>3号1103天</w:t>
            </w:r>
            <w:r>
              <w:rPr>
                <w:rFonts w:ascii="仿宋" w:eastAsia="仿宋" w:hAnsi="仿宋" w:hint="eastAsia"/>
                <w:b/>
                <w:bCs/>
                <w:szCs w:val="21"/>
              </w:rPr>
              <w:t>”</w:t>
            </w:r>
          </w:p>
        </w:tc>
      </w:tr>
      <w:tr w:rsidR="00E017F1">
        <w:trPr>
          <w:trHeight w:val="412"/>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jc w:val="center"/>
              <w:rPr>
                <w:rFonts w:ascii="仿宋" w:eastAsia="仿宋" w:hAnsi="仿宋"/>
                <w:bCs/>
                <w:szCs w:val="21"/>
              </w:rPr>
            </w:pPr>
            <w:r w:rsidRPr="00003C25">
              <w:rPr>
                <w:rFonts w:ascii="仿宋" w:eastAsia="仿宋" w:hAnsi="仿宋"/>
                <w:bCs/>
                <w:szCs w:val="21"/>
              </w:rPr>
              <w:t>23136003</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全国银行业理财信息登记系统登记编码</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jc w:val="center"/>
              <w:rPr>
                <w:rFonts w:ascii="仿宋" w:eastAsia="仿宋" w:hAnsi="仿宋"/>
                <w:bCs/>
                <w:szCs w:val="21"/>
              </w:rPr>
            </w:pPr>
            <w:r w:rsidRPr="00003C25">
              <w:rPr>
                <w:rFonts w:ascii="仿宋" w:eastAsia="仿宋" w:hAnsi="仿宋"/>
                <w:bCs/>
                <w:szCs w:val="21"/>
              </w:rPr>
              <w:t>Z7003923000091</w:t>
            </w:r>
          </w:p>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E017F1" w:rsidRDefault="00375E14">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产品募集方式</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公募</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产品运作模式</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开放式净值型</w:t>
            </w:r>
          </w:p>
        </w:tc>
      </w:tr>
      <w:tr w:rsidR="00E017F1">
        <w:trPr>
          <w:trHeight w:val="90"/>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产品投资性质</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固定收益类</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非保本浮动收益</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投资及收益币种</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 xml:space="preserve">人民币 </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产品风险评级</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u w:val="single"/>
              </w:rPr>
              <w:t xml:space="preserve"> PR2级（中低风险）</w:t>
            </w:r>
            <w:r>
              <w:rPr>
                <w:rFonts w:ascii="仿宋" w:eastAsia="仿宋" w:hAnsi="仿宋"/>
                <w:bCs/>
                <w:szCs w:val="21"/>
                <w:u w:val="single"/>
              </w:rPr>
              <w:t xml:space="preserve"> </w:t>
            </w:r>
            <w:r>
              <w:rPr>
                <w:rFonts w:ascii="仿宋" w:eastAsia="仿宋" w:hAnsi="仿宋"/>
                <w:bCs/>
                <w:szCs w:val="21"/>
              </w:rPr>
              <w:t>理财产品。</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E017F1" w:rsidRDefault="00375E1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本理财产品通过代理销售机构（以下简称“代销机构”）渠道销售的，理财产品评级应当以代销机构最终披露的评级结果为准。代销机构</w:t>
            </w:r>
            <w:r>
              <w:rPr>
                <w:rFonts w:ascii="仿宋" w:eastAsia="仿宋" w:hAnsi="仿宋" w:hint="eastAsia"/>
                <w:szCs w:val="21"/>
              </w:rPr>
              <w:t>如与华夏理财产品风险评级结果不一致，应当采用对应较高风险等级的评级结果</w:t>
            </w:r>
            <w:r>
              <w:rPr>
                <w:rFonts w:ascii="仿宋" w:eastAsia="仿宋" w:hAnsi="仿宋"/>
                <w:b/>
                <w:bCs/>
                <w:szCs w:val="21"/>
              </w:rPr>
              <w:t>。</w:t>
            </w:r>
          </w:p>
        </w:tc>
      </w:tr>
      <w:tr w:rsidR="00E017F1">
        <w:trPr>
          <w:jc w:val="center"/>
        </w:trPr>
        <w:tc>
          <w:tcPr>
            <w:tcW w:w="1669" w:type="dxa"/>
            <w:tcBorders>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w:t>
            </w:r>
            <w:r>
              <w:rPr>
                <w:rFonts w:ascii="仿宋" w:eastAsia="仿宋" w:hAnsi="仿宋"/>
                <w:bCs/>
                <w:szCs w:val="21"/>
              </w:rPr>
              <w:t>机构投资者</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u w:val="single"/>
              </w:rPr>
              <w:t xml:space="preserve"> 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E017F1" w:rsidRDefault="00375E14">
            <w:pPr>
              <w:adjustRightInd w:val="0"/>
              <w:snapToGrid w:val="0"/>
              <w:spacing w:line="240" w:lineRule="atLeast"/>
              <w:ind w:firstLineChars="200" w:firstLine="420"/>
              <w:rPr>
                <w:rFonts w:ascii="仿宋" w:eastAsia="仿宋" w:hAnsi="仿宋"/>
                <w:b/>
                <w:bCs/>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E017F1" w:rsidRDefault="00375E14">
            <w:pPr>
              <w:adjustRightInd w:val="0"/>
              <w:snapToGrid w:val="0"/>
              <w:spacing w:line="240" w:lineRule="atLeast"/>
              <w:ind w:firstLineChars="200" w:firstLine="422"/>
              <w:rPr>
                <w:rFonts w:ascii="仿宋" w:eastAsia="仿宋" w:hAnsi="仿宋"/>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业绩比较基准</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3B2288" w:rsidRPr="003B2288" w:rsidRDefault="00375E14" w:rsidP="003B2288">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003C25" w:rsidRPr="00003C25">
              <w:rPr>
                <w:rFonts w:ascii="仿宋" w:eastAsia="仿宋" w:hAnsi="仿宋" w:cs="Cambria"/>
                <w:bCs/>
                <w:szCs w:val="21"/>
              </w:rPr>
              <w:t>4.80%-5.50%</w:t>
            </w:r>
            <w:r>
              <w:rPr>
                <w:rFonts w:ascii="仿宋" w:eastAsia="仿宋" w:hAnsi="仿宋" w:cs="Cambria" w:hint="eastAsia"/>
                <w:bCs/>
                <w:szCs w:val="21"/>
              </w:rPr>
              <w:t>。</w:t>
            </w:r>
            <w:r w:rsidR="003B2288" w:rsidRPr="003B2288">
              <w:rPr>
                <w:rFonts w:ascii="仿宋" w:eastAsia="仿宋" w:hAnsi="仿宋" w:cs="Cambria" w:hint="eastAsia"/>
                <w:bCs/>
                <w:szCs w:val="21"/>
              </w:rPr>
              <w:t>以产品投资债券类资产</w:t>
            </w:r>
            <w:proofErr w:type="gramStart"/>
            <w:r w:rsidR="003B2288" w:rsidRPr="003B2288">
              <w:rPr>
                <w:rFonts w:ascii="仿宋" w:eastAsia="仿宋" w:hAnsi="仿宋" w:cs="Cambria" w:hint="eastAsia"/>
                <w:bCs/>
                <w:szCs w:val="21"/>
              </w:rPr>
              <w:t>仓位</w:t>
            </w:r>
            <w:proofErr w:type="gramEnd"/>
            <w:r w:rsidR="003B2288" w:rsidRPr="003B2288">
              <w:rPr>
                <w:rFonts w:ascii="仿宋" w:eastAsia="仿宋" w:hAnsi="仿宋" w:cs="Cambria" w:hint="eastAsia"/>
                <w:bCs/>
                <w:szCs w:val="21"/>
              </w:rPr>
              <w:t>60%-90%，非标债权类资产</w:t>
            </w:r>
            <w:proofErr w:type="gramStart"/>
            <w:r w:rsidR="003B2288" w:rsidRPr="003B2288">
              <w:rPr>
                <w:rFonts w:ascii="仿宋" w:eastAsia="仿宋" w:hAnsi="仿宋" w:cs="Cambria" w:hint="eastAsia"/>
                <w:bCs/>
                <w:szCs w:val="21"/>
              </w:rPr>
              <w:t>仓位</w:t>
            </w:r>
            <w:proofErr w:type="gramEnd"/>
            <w:r w:rsidR="003B2288" w:rsidRPr="003B2288">
              <w:rPr>
                <w:rFonts w:ascii="仿宋" w:eastAsia="仿宋" w:hAnsi="仿宋" w:cs="Cambria" w:hint="eastAsia"/>
                <w:bCs/>
                <w:szCs w:val="21"/>
              </w:rPr>
              <w:t>0-40%，权益类资产</w:t>
            </w:r>
            <w:proofErr w:type="gramStart"/>
            <w:r w:rsidR="003B2288" w:rsidRPr="003B2288">
              <w:rPr>
                <w:rFonts w:ascii="仿宋" w:eastAsia="仿宋" w:hAnsi="仿宋" w:cs="Cambria" w:hint="eastAsia"/>
                <w:bCs/>
                <w:szCs w:val="21"/>
              </w:rPr>
              <w:t>仓位</w:t>
            </w:r>
            <w:proofErr w:type="gramEnd"/>
            <w:r w:rsidR="003B2288" w:rsidRPr="003B2288">
              <w:rPr>
                <w:rFonts w:ascii="仿宋" w:eastAsia="仿宋" w:hAnsi="仿宋" w:cs="Cambria" w:hint="eastAsia"/>
                <w:bCs/>
                <w:szCs w:val="21"/>
              </w:rPr>
              <w:t>0-</w:t>
            </w:r>
            <w:r w:rsidR="003B2288">
              <w:rPr>
                <w:rFonts w:ascii="仿宋" w:eastAsia="仿宋" w:hAnsi="仿宋" w:cs="Cambria"/>
                <w:bCs/>
                <w:szCs w:val="21"/>
              </w:rPr>
              <w:t>2</w:t>
            </w:r>
            <w:r w:rsidR="003B2288" w:rsidRPr="003B2288">
              <w:rPr>
                <w:rFonts w:ascii="仿宋" w:eastAsia="仿宋" w:hAnsi="仿宋" w:cs="Cambria" w:hint="eastAsia"/>
                <w:bCs/>
                <w:szCs w:val="21"/>
              </w:rPr>
              <w:t>0%，组合杠杆率110%-130%为例，参考中债-</w:t>
            </w:r>
            <w:proofErr w:type="gramStart"/>
            <w:r w:rsidR="003B2288" w:rsidRPr="003B2288">
              <w:rPr>
                <w:rFonts w:ascii="仿宋" w:eastAsia="仿宋" w:hAnsi="仿宋" w:cs="Cambria" w:hint="eastAsia"/>
                <w:bCs/>
                <w:szCs w:val="21"/>
              </w:rPr>
              <w:t>信用债总财富</w:t>
            </w:r>
            <w:proofErr w:type="gramEnd"/>
            <w:r w:rsidR="003B2288" w:rsidRPr="003B2288">
              <w:rPr>
                <w:rFonts w:ascii="仿宋" w:eastAsia="仿宋" w:hAnsi="仿宋" w:cs="Cambria" w:hint="eastAsia"/>
                <w:bCs/>
                <w:szCs w:val="21"/>
              </w:rPr>
              <w:t>指数、Wind混合型基金总指数、非标债权类资产目标收益率，结合产品投资策略并扣除各项费用后，综合测算得出上述业绩比较基准。测算示例仅供参考，具体资产投资比例可根据各类资产的收益水平、流动性特征、信用风险等因素动态调整。</w:t>
            </w:r>
          </w:p>
          <w:p w:rsidR="00E017F1" w:rsidRDefault="003B2288">
            <w:pPr>
              <w:adjustRightInd w:val="0"/>
              <w:snapToGrid w:val="0"/>
              <w:spacing w:line="240" w:lineRule="atLeast"/>
              <w:ind w:firstLineChars="200" w:firstLine="420"/>
              <w:rPr>
                <w:rFonts w:ascii="仿宋" w:eastAsia="仿宋" w:hAnsi="仿宋" w:cs="Cambria"/>
                <w:bCs/>
                <w:szCs w:val="21"/>
              </w:rPr>
            </w:pPr>
            <w:r w:rsidRPr="003B2288">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华夏理财有权根据市场情况及产品运作情况调整业绩比较基准，并至少于新业绩比较基准启用前3个工作日公告。</w:t>
            </w:r>
          </w:p>
          <w:p w:rsidR="00E017F1" w:rsidRDefault="00375E1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E017F1" w:rsidRDefault="00375E1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比较基准不构成华夏理财/代销机构对本理财产品的任何收益承诺。</w:t>
            </w:r>
          </w:p>
          <w:p w:rsidR="00E017F1" w:rsidRDefault="00375E1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ind w:firstLineChars="200" w:firstLine="420"/>
              <w:rPr>
                <w:rFonts w:ascii="仿宋" w:eastAsia="仿宋" w:hAnsi="仿宋"/>
                <w:bCs/>
                <w:szCs w:val="21"/>
              </w:rPr>
            </w:pPr>
            <w:r w:rsidRPr="00003C25">
              <w:rPr>
                <w:rFonts w:ascii="仿宋" w:eastAsia="仿宋" w:hAnsi="仿宋" w:hint="eastAsia"/>
                <w:bCs/>
                <w:szCs w:val="21"/>
              </w:rPr>
              <w:t>2023年3月31日</w:t>
            </w:r>
            <w:r w:rsidR="00375E14">
              <w:rPr>
                <w:rFonts w:ascii="仿宋" w:eastAsia="仿宋" w:hAnsi="仿宋"/>
                <w:bCs/>
                <w:szCs w:val="21"/>
              </w:rPr>
              <w:t>－</w:t>
            </w:r>
            <w:r w:rsidRPr="00003C25">
              <w:rPr>
                <w:rFonts w:ascii="仿宋" w:eastAsia="仿宋" w:hAnsi="仿宋" w:hint="eastAsia"/>
                <w:bCs/>
                <w:szCs w:val="21"/>
              </w:rPr>
              <w:t>2023年4月6日</w:t>
            </w:r>
            <w:r w:rsidR="00375E14">
              <w:rPr>
                <w:rFonts w:ascii="仿宋" w:eastAsia="仿宋" w:hAnsi="仿宋"/>
                <w:bCs/>
                <w:szCs w:val="21"/>
              </w:rPr>
              <w:t>（含）</w:t>
            </w:r>
            <w:r w:rsidR="00375E1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375E14">
              <w:rPr>
                <w:rFonts w:ascii="仿宋" w:eastAsia="仿宋" w:hAnsi="仿宋"/>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成立日</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ind w:firstLineChars="200" w:firstLine="420"/>
              <w:rPr>
                <w:rFonts w:ascii="仿宋" w:eastAsia="仿宋" w:hAnsi="仿宋"/>
                <w:bCs/>
                <w:szCs w:val="21"/>
              </w:rPr>
            </w:pPr>
            <w:r w:rsidRPr="00003C25">
              <w:rPr>
                <w:rFonts w:ascii="仿宋" w:eastAsia="仿宋" w:hAnsi="仿宋" w:hint="eastAsia"/>
                <w:bCs/>
                <w:szCs w:val="21"/>
              </w:rPr>
              <w:t>2023年4月7日</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封闭期</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ind w:firstLineChars="200" w:firstLine="420"/>
              <w:jc w:val="left"/>
              <w:rPr>
                <w:rFonts w:ascii="仿宋" w:eastAsia="仿宋" w:hAnsi="仿宋"/>
                <w:bCs/>
                <w:szCs w:val="21"/>
              </w:rPr>
            </w:pPr>
            <w:r w:rsidRPr="00003C25">
              <w:rPr>
                <w:rFonts w:ascii="仿宋" w:eastAsia="仿宋" w:hAnsi="仿宋" w:hint="eastAsia"/>
                <w:bCs/>
                <w:szCs w:val="21"/>
              </w:rPr>
              <w:t>2023年5月5日</w:t>
            </w:r>
            <w:r w:rsidR="00375E14">
              <w:rPr>
                <w:rFonts w:ascii="仿宋" w:eastAsia="仿宋" w:hAnsi="仿宋" w:hint="eastAsia"/>
                <w:bCs/>
                <w:szCs w:val="21"/>
              </w:rPr>
              <w:t>（含）起，产品封闭运作至到期。</w:t>
            </w:r>
          </w:p>
          <w:p w:rsidR="00E017F1" w:rsidRDefault="00375E14">
            <w:pPr>
              <w:adjustRightInd w:val="0"/>
              <w:snapToGrid w:val="0"/>
              <w:spacing w:line="240" w:lineRule="atLeast"/>
              <w:ind w:firstLineChars="200" w:firstLine="422"/>
              <w:jc w:val="left"/>
              <w:rPr>
                <w:rFonts w:ascii="仿宋" w:eastAsia="仿宋" w:hAnsi="仿宋"/>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产品存续期限</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ind w:firstLineChars="200" w:firstLine="420"/>
              <w:rPr>
                <w:rFonts w:ascii="仿宋" w:eastAsia="仿宋" w:hAnsi="仿宋"/>
                <w:bCs/>
                <w:szCs w:val="21"/>
              </w:rPr>
            </w:pPr>
            <w:r w:rsidRPr="00003C25">
              <w:rPr>
                <w:rFonts w:ascii="仿宋" w:eastAsia="仿宋" w:hAnsi="仿宋" w:hint="eastAsia"/>
                <w:bCs/>
                <w:szCs w:val="21"/>
              </w:rPr>
              <w:t>2026年4月14日</w:t>
            </w:r>
            <w:r w:rsidR="00375E14">
              <w:rPr>
                <w:rFonts w:ascii="仿宋" w:eastAsia="仿宋" w:hAnsi="仿宋" w:hint="eastAsia"/>
                <w:bCs/>
                <w:szCs w:val="21"/>
              </w:rPr>
              <w:t>理财产品正常到期。如理财产品因故提前或延迟到期的，则终止日以华夏理财发布的公告为准。到期日如为非工作日，则顺延至下一工作日。（产品实际期限受制于提前终止条款的约定）。</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发行范围</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全国发行</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发行规模</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003C25" w:rsidRPr="00003C25">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1万元</w:t>
            </w:r>
            <w:r>
              <w:rPr>
                <w:rFonts w:ascii="仿宋" w:eastAsia="仿宋" w:hAnsi="仿宋"/>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w:t>
            </w:r>
            <w:r>
              <w:rPr>
                <w:rFonts w:ascii="仿宋" w:eastAsia="仿宋" w:hAnsi="仿宋" w:hint="eastAsia"/>
                <w:bCs/>
                <w:szCs w:val="21"/>
              </w:rPr>
              <w:t>不</w:t>
            </w:r>
            <w:r>
              <w:rPr>
                <w:rFonts w:ascii="仿宋" w:eastAsia="仿宋" w:hAnsi="仿宋"/>
                <w:bCs/>
                <w:szCs w:val="21"/>
              </w:rPr>
              <w:t>成立</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w:t>
            </w:r>
            <w:r>
              <w:rPr>
                <w:rFonts w:ascii="仿宋" w:eastAsia="仿宋" w:hAnsi="仿宋"/>
                <w:bCs/>
                <w:szCs w:val="21"/>
              </w:rPr>
              <w:t>申购</w:t>
            </w:r>
          </w:p>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起点金额</w:t>
            </w: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如代销机构规定与本规则不一致的，则以各代销机构规定为准，但不得低于本起点金额。</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最高持有限额</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1417FA" w:rsidRDefault="00375E14" w:rsidP="001417FA">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最高持有限额</w:t>
            </w:r>
            <w:r w:rsidR="001417FA">
              <w:rPr>
                <w:rFonts w:ascii="仿宋" w:eastAsia="仿宋" w:hAnsi="仿宋" w:hint="eastAsia"/>
              </w:rPr>
              <w:t>要求：单一投资者持有本产品份额数不得超过产品份额总数的50%。</w:t>
            </w:r>
          </w:p>
          <w:p w:rsidR="00E017F1" w:rsidRDefault="001417FA" w:rsidP="001417FA">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如代销机构规定与本规则不一致的，则以各代销机构规定为准，但不得高于最高持有限额。</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份额净值为提取管理费、托管费、销售手续费等相关费用后的理财产品份额净值，投资者按该份额净值进行申购、赎回和到期/终止时的分配。</w:t>
            </w:r>
          </w:p>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认购份额</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申购份额</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jc w:val="left"/>
              <w:rPr>
                <w:rFonts w:ascii="仿宋" w:eastAsia="仿宋" w:hAnsi="仿宋"/>
                <w:bCs/>
                <w:szCs w:val="21"/>
                <w:u w:val="single"/>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工作日</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开放期、</w:t>
            </w:r>
          </w:p>
          <w:p w:rsidR="00E017F1" w:rsidRDefault="00375E14">
            <w:pPr>
              <w:keepNext/>
              <w:adjustRightInd w:val="0"/>
              <w:snapToGrid w:val="0"/>
              <w:spacing w:line="240" w:lineRule="atLeast"/>
              <w:jc w:val="center"/>
              <w:rPr>
                <w:rFonts w:ascii="仿宋" w:eastAsia="仿宋" w:hAnsi="仿宋"/>
                <w:bCs/>
                <w:szCs w:val="21"/>
              </w:rPr>
            </w:pPr>
            <w:r>
              <w:rPr>
                <w:rFonts w:ascii="仿宋" w:eastAsia="仿宋" w:hAnsi="仿宋" w:hint="eastAsia"/>
                <w:bCs/>
                <w:szCs w:val="21"/>
              </w:rPr>
              <w:t>开放日（T日）及开放时间</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keepNext/>
              <w:adjustRightInd w:val="0"/>
              <w:snapToGrid w:val="0"/>
              <w:spacing w:line="240" w:lineRule="atLeast"/>
              <w:ind w:firstLineChars="200" w:firstLine="422"/>
              <w:rPr>
                <w:rFonts w:ascii="仿宋" w:eastAsia="仿宋" w:hAnsi="仿宋"/>
                <w:b/>
                <w:szCs w:val="21"/>
              </w:rPr>
            </w:pPr>
            <w:r>
              <w:rPr>
                <w:rFonts w:ascii="仿宋" w:eastAsia="仿宋" w:hAnsi="仿宋" w:hint="eastAsia"/>
                <w:b/>
                <w:szCs w:val="21"/>
              </w:rPr>
              <w:t>本产品开放期</w:t>
            </w:r>
            <w:r>
              <w:rPr>
                <w:rFonts w:ascii="仿宋" w:eastAsia="仿宋" w:hAnsi="仿宋"/>
                <w:b/>
                <w:szCs w:val="21"/>
              </w:rPr>
              <w:t>为</w:t>
            </w:r>
            <w:r>
              <w:rPr>
                <w:rFonts w:ascii="仿宋" w:eastAsia="仿宋" w:hAnsi="仿宋" w:hint="eastAsia"/>
                <w:b/>
                <w:szCs w:val="21"/>
              </w:rPr>
              <w:t>成立日（不含）至</w:t>
            </w:r>
            <w:r w:rsidR="00003C25" w:rsidRPr="00003C25">
              <w:rPr>
                <w:rFonts w:ascii="仿宋" w:eastAsia="仿宋" w:hAnsi="仿宋" w:hint="eastAsia"/>
                <w:b/>
                <w:szCs w:val="21"/>
              </w:rPr>
              <w:t>2023年5月4日</w:t>
            </w:r>
            <w:r>
              <w:rPr>
                <w:rFonts w:ascii="仿宋" w:eastAsia="仿宋" w:hAnsi="仿宋" w:hint="eastAsia"/>
                <w:b/>
                <w:szCs w:val="21"/>
              </w:rPr>
              <w:t>（含），</w:t>
            </w:r>
            <w:r>
              <w:rPr>
                <w:rFonts w:ascii="仿宋" w:eastAsia="仿宋" w:hAnsi="仿宋"/>
                <w:b/>
                <w:szCs w:val="21"/>
              </w:rPr>
              <w:t>开放期内每个工作日</w:t>
            </w:r>
            <w:r>
              <w:rPr>
                <w:rFonts w:ascii="仿宋" w:eastAsia="仿宋" w:hAnsi="仿宋" w:hint="eastAsia"/>
                <w:b/>
                <w:szCs w:val="21"/>
              </w:rPr>
              <w:t>为申购开放日。申购开放日交易时间内投资者仅可提交申购申请。本产品无赎回开放日，投资者不可提交赎回申请。</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2"/>
              <w:gridCol w:w="5278"/>
            </w:tblGrid>
            <w:tr w:rsidR="00E017F1">
              <w:trPr>
                <w:trHeight w:val="274"/>
              </w:trPr>
              <w:tc>
                <w:tcPr>
                  <w:tcW w:w="1082" w:type="dxa"/>
                </w:tcPr>
                <w:p w:rsidR="00E017F1" w:rsidRDefault="00375E14">
                  <w:pPr>
                    <w:keepNext/>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交易类型</w:t>
                  </w:r>
                </w:p>
              </w:tc>
              <w:tc>
                <w:tcPr>
                  <w:tcW w:w="5278" w:type="dxa"/>
                </w:tcPr>
                <w:p w:rsidR="00E017F1" w:rsidRDefault="00375E14">
                  <w:pPr>
                    <w:keepNext/>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开放日及开放时间</w:t>
                  </w:r>
                </w:p>
              </w:tc>
            </w:tr>
            <w:tr w:rsidR="00E017F1">
              <w:trPr>
                <w:trHeight w:val="1066"/>
              </w:trPr>
              <w:tc>
                <w:tcPr>
                  <w:tcW w:w="1082" w:type="dxa"/>
                </w:tcPr>
                <w:p w:rsidR="00E017F1" w:rsidRDefault="00375E14">
                  <w:pPr>
                    <w:keepNext/>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申购</w:t>
                  </w:r>
                </w:p>
              </w:tc>
              <w:tc>
                <w:tcPr>
                  <w:tcW w:w="5278" w:type="dxa"/>
                </w:tcPr>
                <w:p w:rsidR="00E017F1" w:rsidRDefault="00375E14">
                  <w:pPr>
                    <w:keepNext/>
                    <w:adjustRightInd w:val="0"/>
                    <w:snapToGrid w:val="0"/>
                    <w:spacing w:line="240" w:lineRule="atLeast"/>
                    <w:ind w:right="-44"/>
                    <w:rPr>
                      <w:rFonts w:ascii="仿宋" w:eastAsia="仿宋" w:hAnsi="仿宋"/>
                      <w:bCs/>
                      <w:szCs w:val="21"/>
                      <w:u w:val="single"/>
                    </w:rPr>
                  </w:pPr>
                  <w:r>
                    <w:rPr>
                      <w:rFonts w:ascii="仿宋" w:eastAsia="仿宋" w:hAnsi="仿宋" w:hint="eastAsia"/>
                      <w:bCs/>
                      <w:szCs w:val="21"/>
                    </w:rPr>
                    <w:t>通过华夏银行/华夏理财购买的，每交易所工作日</w:t>
                  </w:r>
                  <w:r>
                    <w:rPr>
                      <w:rFonts w:ascii="仿宋" w:eastAsia="仿宋" w:hAnsi="仿宋" w:hint="eastAsia"/>
                    </w:rPr>
                    <w:t>9:00-17:00仅开放申购。</w:t>
                  </w:r>
                  <w:r w:rsidR="00003C25" w:rsidRPr="00003C25">
                    <w:rPr>
                      <w:rFonts w:ascii="仿宋" w:eastAsia="仿宋" w:hAnsi="仿宋" w:hint="eastAsia"/>
                    </w:rPr>
                    <w:t>2023年5月5日</w:t>
                  </w:r>
                  <w:r>
                    <w:rPr>
                      <w:rFonts w:ascii="仿宋" w:eastAsia="仿宋" w:hAnsi="仿宋" w:hint="eastAsia"/>
                    </w:rPr>
                    <w:t>（含）起，产品封闭运作至到期。投资者若在T日非开放时间提交申购，等同在下一开放时间内提交的申购申请，T日为开放日。</w:t>
                  </w:r>
                </w:p>
              </w:tc>
            </w:tr>
            <w:tr w:rsidR="00E017F1">
              <w:trPr>
                <w:trHeight w:val="547"/>
              </w:trPr>
              <w:tc>
                <w:tcPr>
                  <w:tcW w:w="1082" w:type="dxa"/>
                </w:tcPr>
                <w:p w:rsidR="00E017F1" w:rsidRDefault="00375E14">
                  <w:pPr>
                    <w:keepNext/>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赎回</w:t>
                  </w:r>
                </w:p>
              </w:tc>
              <w:tc>
                <w:tcPr>
                  <w:tcW w:w="5278" w:type="dxa"/>
                </w:tcPr>
                <w:p w:rsidR="00E017F1" w:rsidRDefault="00375E14">
                  <w:pPr>
                    <w:keepNext/>
                    <w:adjustRightInd w:val="0"/>
                    <w:snapToGrid w:val="0"/>
                    <w:spacing w:line="240" w:lineRule="atLeast"/>
                    <w:ind w:right="-44"/>
                    <w:rPr>
                      <w:rFonts w:ascii="仿宋" w:eastAsia="仿宋" w:hAnsi="仿宋"/>
                      <w:bCs/>
                      <w:szCs w:val="21"/>
                    </w:rPr>
                  </w:pPr>
                  <w:r>
                    <w:rPr>
                      <w:rFonts w:ascii="仿宋" w:eastAsia="仿宋" w:hAnsi="仿宋" w:hint="eastAsia"/>
                      <w:b/>
                      <w:szCs w:val="21"/>
                    </w:rPr>
                    <w:t>本理财产品开放日不可提交赎回申请，将于</w:t>
                  </w:r>
                  <w:r w:rsidR="00003C25" w:rsidRPr="00003C25">
                    <w:rPr>
                      <w:rFonts w:ascii="仿宋" w:eastAsia="仿宋" w:hAnsi="仿宋" w:hint="eastAsia"/>
                      <w:b/>
                      <w:szCs w:val="21"/>
                    </w:rPr>
                    <w:t>2026年4月14日</w:t>
                  </w:r>
                  <w:r>
                    <w:rPr>
                      <w:rFonts w:ascii="仿宋" w:eastAsia="仿宋" w:hAnsi="仿宋" w:hint="eastAsia"/>
                      <w:b/>
                      <w:szCs w:val="21"/>
                    </w:rPr>
                    <w:t>到期。</w:t>
                  </w:r>
                </w:p>
              </w:tc>
            </w:tr>
          </w:tbl>
          <w:p w:rsidR="00E017F1" w:rsidRPr="00003C25" w:rsidRDefault="00E017F1">
            <w:pPr>
              <w:keepNext/>
              <w:adjustRightInd w:val="0"/>
              <w:snapToGrid w:val="0"/>
              <w:spacing w:line="240" w:lineRule="atLeast"/>
              <w:ind w:right="-44" w:firstLineChars="200" w:firstLine="422"/>
              <w:jc w:val="left"/>
              <w:rPr>
                <w:rFonts w:ascii="仿宋" w:eastAsia="仿宋" w:hAnsi="仿宋"/>
                <w:b/>
                <w:bCs/>
                <w:szCs w:val="21"/>
              </w:rPr>
            </w:pPr>
          </w:p>
          <w:p w:rsidR="00E017F1" w:rsidRDefault="00375E14">
            <w:pPr>
              <w:keepNext/>
              <w:adjustRightInd w:val="0"/>
              <w:snapToGrid w:val="0"/>
              <w:spacing w:line="240" w:lineRule="atLeast"/>
              <w:ind w:right="-44" w:firstLineChars="200" w:firstLine="420"/>
              <w:jc w:val="left"/>
              <w:rPr>
                <w:rFonts w:ascii="仿宋" w:eastAsia="仿宋" w:hAnsi="仿宋"/>
                <w:szCs w:val="21"/>
              </w:rPr>
            </w:pPr>
            <w:r>
              <w:rPr>
                <w:rFonts w:ascii="仿宋" w:eastAsia="仿宋" w:hAnsi="仿宋" w:hint="eastAsia"/>
                <w:szCs w:val="21"/>
              </w:rPr>
              <w:t>代销机构如另有规定，从其规定。</w:t>
            </w:r>
          </w:p>
          <w:p w:rsidR="00E017F1" w:rsidRDefault="00375E14">
            <w:pPr>
              <w:keepNext/>
              <w:adjustRightInd w:val="0"/>
              <w:snapToGrid w:val="0"/>
              <w:spacing w:line="240" w:lineRule="atLeast"/>
              <w:ind w:right="-44" w:firstLineChars="200" w:firstLine="422"/>
              <w:jc w:val="left"/>
              <w:rPr>
                <w:rFonts w:ascii="仿宋" w:eastAsia="仿宋" w:hAnsi="仿宋"/>
                <w:bCs/>
                <w:szCs w:val="21"/>
              </w:rPr>
            </w:pPr>
            <w:r>
              <w:rPr>
                <w:rFonts w:ascii="仿宋" w:eastAsia="仿宋" w:hAnsi="仿宋" w:hint="eastAsia"/>
                <w:b/>
                <w:bCs/>
                <w:szCs w:val="21"/>
              </w:rPr>
              <w:t>开放期内每个开放日的份额净值</w:t>
            </w:r>
            <w:r>
              <w:rPr>
                <w:rFonts w:ascii="仿宋" w:eastAsia="仿宋" w:hAnsi="仿宋"/>
                <w:b/>
                <w:bCs/>
                <w:szCs w:val="21"/>
              </w:rPr>
              <w:t>将</w:t>
            </w:r>
            <w:r>
              <w:rPr>
                <w:rFonts w:ascii="仿宋" w:eastAsia="仿宋" w:hAnsi="仿宋" w:hint="eastAsia"/>
                <w:b/>
                <w:bCs/>
                <w:szCs w:val="21"/>
              </w:rPr>
              <w:t>随</w:t>
            </w:r>
            <w:r>
              <w:rPr>
                <w:rFonts w:ascii="仿宋" w:eastAsia="仿宋" w:hAnsi="仿宋"/>
                <w:b/>
                <w:bCs/>
                <w:szCs w:val="21"/>
              </w:rPr>
              <w:t>市场波动，具有不</w:t>
            </w:r>
            <w:r>
              <w:rPr>
                <w:rFonts w:ascii="仿宋" w:eastAsia="仿宋" w:hAnsi="仿宋" w:hint="eastAsia"/>
                <w:b/>
                <w:bCs/>
                <w:szCs w:val="21"/>
              </w:rPr>
              <w:t>确定</w:t>
            </w:r>
            <w:r>
              <w:rPr>
                <w:rFonts w:ascii="仿宋" w:eastAsia="仿宋" w:hAnsi="仿宋"/>
                <w:b/>
                <w:bCs/>
                <w:szCs w:val="21"/>
              </w:rPr>
              <w:t>性</w:t>
            </w:r>
            <w:r>
              <w:rPr>
                <w:rFonts w:ascii="仿宋" w:eastAsia="仿宋" w:hAnsi="仿宋" w:hint="eastAsia"/>
                <w:b/>
                <w:bCs/>
                <w:szCs w:val="21"/>
              </w:rPr>
              <w:t>。</w:t>
            </w:r>
          </w:p>
          <w:p w:rsidR="00E017F1" w:rsidRDefault="00375E14">
            <w:pPr>
              <w:keepNext/>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华夏理财有权调整按上述规则确定的开放日，并在调整之前3个工作日公告。</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申购确认</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通过华夏银行/华夏理财购买的，T日扣款；通过其他代销机构购买的，扣款规则以代销机构规定为准。</w:t>
            </w:r>
          </w:p>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以申购申请日的日终份额净值确认，按照“金额申购”的原则计算申购</w:t>
            </w:r>
            <w:r>
              <w:rPr>
                <w:rFonts w:ascii="仿宋" w:eastAsia="仿宋" w:hAnsi="仿宋" w:hint="eastAsia"/>
                <w:bCs/>
                <w:szCs w:val="21"/>
              </w:rPr>
              <w:lastRenderedPageBreak/>
              <w:t>份额。</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赎回确认</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通过华夏理财赎回的，投资者</w:t>
            </w:r>
            <w:r>
              <w:rPr>
                <w:rFonts w:ascii="仿宋" w:eastAsia="仿宋" w:hAnsi="仿宋"/>
                <w:bCs/>
                <w:szCs w:val="21"/>
              </w:rPr>
              <w:t>赎回资金</w:t>
            </w:r>
            <w:r>
              <w:rPr>
                <w:rFonts w:ascii="仿宋" w:eastAsia="仿宋" w:hAnsi="仿宋" w:hint="eastAsia"/>
                <w:bCs/>
                <w:szCs w:val="21"/>
              </w:rPr>
              <w:t>于T+2日（内）</w:t>
            </w:r>
            <w:r>
              <w:rPr>
                <w:rFonts w:ascii="仿宋" w:eastAsia="仿宋" w:hAnsi="仿宋"/>
                <w:bCs/>
                <w:szCs w:val="21"/>
              </w:rPr>
              <w:t>到账</w:t>
            </w:r>
            <w:r>
              <w:rPr>
                <w:rFonts w:ascii="仿宋" w:eastAsia="仿宋" w:hAnsi="仿宋" w:hint="eastAsia"/>
                <w:bCs/>
                <w:szCs w:val="21"/>
              </w:rPr>
              <w:t>；通过华夏银行赎回的，投资者</w:t>
            </w:r>
            <w:r>
              <w:rPr>
                <w:rFonts w:ascii="仿宋" w:eastAsia="仿宋" w:hAnsi="仿宋"/>
                <w:bCs/>
                <w:szCs w:val="21"/>
              </w:rPr>
              <w:t>赎回资金</w:t>
            </w:r>
            <w:r>
              <w:rPr>
                <w:rFonts w:ascii="仿宋" w:eastAsia="仿宋" w:hAnsi="仿宋" w:hint="eastAsia"/>
                <w:bCs/>
                <w:szCs w:val="21"/>
              </w:rPr>
              <w:t>于T+2日（内）</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赎回规定</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赎回金额的计算</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spacing w:line="240" w:lineRule="atLeast"/>
              <w:ind w:firstLineChars="200" w:firstLine="420"/>
              <w:rPr>
                <w:rFonts w:ascii="仿宋" w:eastAsia="仿宋" w:hAnsi="仿宋"/>
                <w:bCs/>
                <w:szCs w:val="21"/>
                <w:u w:val="single"/>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兑付</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根据实际投资结果向华夏理财客户及代销机构一次性划付理财本金及收益（如有），代销机构客户的理财本金及收益（如有）的具体到账账户、到账日及到账时间以代销机构划付规定为准。</w:t>
            </w:r>
          </w:p>
          <w:p w:rsidR="00E017F1" w:rsidRDefault="00375E14">
            <w:pPr>
              <w:spacing w:line="240" w:lineRule="atLeast"/>
              <w:ind w:firstLineChars="200" w:firstLine="420"/>
              <w:rPr>
                <w:rFonts w:ascii="仿宋" w:eastAsia="仿宋" w:hAnsi="仿宋"/>
                <w:bCs/>
                <w:szCs w:val="21"/>
              </w:rPr>
            </w:pPr>
            <w:r>
              <w:rPr>
                <w:rFonts w:ascii="仿宋" w:eastAsia="仿宋" w:hAnsi="仿宋" w:hint="eastAsia"/>
                <w:bCs/>
                <w:szCs w:val="21"/>
              </w:rPr>
              <w:t>客户到期/终止本金及收益金额=∑（每笔份额*到期/终止日的产品份额净值），每笔金额计算保留到小数点后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巨额赎回</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hint="eastAsia"/>
                <w:bCs/>
                <w:szCs w:val="21"/>
              </w:rPr>
              <w:t>10</w:t>
            </w:r>
            <w:r>
              <w:rPr>
                <w:rFonts w:ascii="仿宋" w:eastAsia="仿宋" w:hAnsi="仿宋"/>
                <w:bCs/>
                <w:szCs w:val="21"/>
              </w:rPr>
              <w:t>%为巨额赎回</w:t>
            </w:r>
            <w:r>
              <w:rPr>
                <w:rFonts w:ascii="仿宋" w:eastAsia="仿宋" w:hAnsi="仿宋" w:hint="eastAsia"/>
                <w:bCs/>
                <w:szCs w:val="21"/>
              </w:rPr>
              <w:t>。</w:t>
            </w:r>
          </w:p>
          <w:p w:rsidR="00E017F1" w:rsidRDefault="00375E14">
            <w:pPr>
              <w:tabs>
                <w:tab w:val="left" w:pos="720"/>
              </w:tabs>
              <w:autoSpaceDE w:val="0"/>
              <w:autoSpaceDN w:val="0"/>
              <w:adjustRightInd w:val="0"/>
              <w:snapToGrid w:val="0"/>
              <w:spacing w:line="240" w:lineRule="atLeast"/>
              <w:ind w:right="18" w:firstLineChars="200" w:firstLine="422"/>
              <w:rPr>
                <w:rFonts w:ascii="仿宋" w:eastAsia="仿宋" w:hAnsi="仿宋"/>
                <w:b/>
                <w:szCs w:val="21"/>
              </w:rPr>
            </w:pPr>
            <w:r>
              <w:rPr>
                <w:rFonts w:ascii="仿宋" w:eastAsia="仿宋" w:hAnsi="仿宋" w:hint="eastAsia"/>
                <w:b/>
                <w:szCs w:val="21"/>
              </w:rPr>
              <w:t>如发生巨额赎回，</w:t>
            </w:r>
            <w:r>
              <w:rPr>
                <w:rFonts w:ascii="仿宋" w:eastAsia="仿宋" w:hAnsi="仿宋"/>
                <w:b/>
                <w:szCs w:val="21"/>
              </w:rPr>
              <w:t>管理人</w:t>
            </w:r>
            <w:r>
              <w:rPr>
                <w:rFonts w:ascii="仿宋" w:eastAsia="仿宋" w:hAnsi="仿宋" w:hint="eastAsia"/>
                <w:b/>
                <w:szCs w:val="21"/>
              </w:rPr>
              <w:t>当日办理的赎回份额不低于前一日终理财产品总份额的10%。</w:t>
            </w:r>
          </w:p>
          <w:p w:rsidR="00E017F1" w:rsidRDefault="00375E1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本理财产品无赎回开放日，</w:t>
            </w:r>
            <w:r>
              <w:rPr>
                <w:rFonts w:ascii="仿宋" w:eastAsia="仿宋" w:hAnsi="仿宋"/>
                <w:b/>
                <w:bCs/>
                <w:szCs w:val="21"/>
              </w:rPr>
              <w:t>不受理投资者任何形式的赎回申请</w:t>
            </w:r>
            <w:r>
              <w:rPr>
                <w:rFonts w:ascii="仿宋" w:eastAsia="仿宋" w:hAnsi="仿宋" w:hint="eastAsia"/>
                <w:b/>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撤销规定</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E017F1" w:rsidRDefault="00375E14">
            <w:pPr>
              <w:adjustRightInd w:val="0"/>
              <w:snapToGrid w:val="0"/>
              <w:spacing w:line="300" w:lineRule="exact"/>
              <w:ind w:leftChars="50" w:left="105" w:firstLineChars="150" w:firstLine="315"/>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通过其他代销机构认购的，撤销规定以代销机构规定为准。</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投资者可于开放日开放时间内撤销当日已提交的申购申请（仅可全额撤销），具体规定如下：</w:t>
            </w:r>
          </w:p>
          <w:p w:rsidR="00E017F1" w:rsidRDefault="00375E14">
            <w:pPr>
              <w:adjustRightInd w:val="0"/>
              <w:snapToGrid w:val="0"/>
              <w:spacing w:line="300" w:lineRule="exact"/>
              <w:ind w:leftChars="50" w:left="105" w:firstLineChars="150" w:firstLine="315"/>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申购的，投资者撤销的本金在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）通过华夏银行申购的，投资者撤销的本金实时到账。</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E017F1" w:rsidRDefault="00375E1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通过其他代销机构申购的，撤销规定以代销机构规定为准。</w:t>
            </w:r>
          </w:p>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E017F1" w:rsidRDefault="00375E1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w:t>
            </w:r>
            <w:r>
              <w:rPr>
                <w:rFonts w:ascii="仿宋" w:eastAsia="仿宋" w:hAnsi="仿宋"/>
              </w:rPr>
              <w:t>3</w:t>
            </w:r>
            <w:r>
              <w:rPr>
                <w:rFonts w:ascii="仿宋" w:eastAsia="仿宋" w:hAnsi="仿宋" w:hint="eastAsia"/>
              </w:rPr>
              <w:t>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E017F1">
        <w:trPr>
          <w:trHeight w:val="20"/>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投资冷静期</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E017F1">
        <w:trPr>
          <w:trHeight w:val="233"/>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认购费/申购费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本理财产品不收取认购费/申购费。</w:t>
            </w:r>
          </w:p>
        </w:tc>
      </w:tr>
      <w:tr w:rsidR="00E017F1">
        <w:trPr>
          <w:trHeight w:val="233"/>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赎回费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本理财产品不收取赎回费。</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托管费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003C25"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w:t>
            </w:r>
            <w:r>
              <w:rPr>
                <w:rFonts w:ascii="仿宋" w:eastAsia="仿宋" w:hAnsi="仿宋"/>
                <w:b/>
                <w:szCs w:val="21"/>
              </w:rPr>
              <w:t>03</w:t>
            </w:r>
            <w:r>
              <w:rPr>
                <w:rFonts w:ascii="仿宋" w:eastAsia="仿宋" w:hAnsi="仿宋" w:hint="eastAsia"/>
                <w:b/>
                <w:szCs w:val="21"/>
              </w:rPr>
              <w:t>%/年，以前一日资产净值为基数，每日计提。</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lastRenderedPageBreak/>
              <w:t>公式如下：</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w:t>
            </w:r>
            <w:r>
              <w:rPr>
                <w:rFonts w:ascii="仿宋" w:eastAsia="仿宋" w:hAnsi="仿宋"/>
                <w:b/>
                <w:szCs w:val="21"/>
              </w:rPr>
              <w:t>03</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。F为托管费；E为计算</w:t>
            </w:r>
            <w:r>
              <w:rPr>
                <w:rFonts w:ascii="仿宋" w:eastAsia="仿宋" w:hAnsi="仿宋"/>
                <w:b/>
                <w:szCs w:val="21"/>
              </w:rPr>
              <w:t>基数</w:t>
            </w:r>
            <w:r>
              <w:rPr>
                <w:rFonts w:ascii="仿宋" w:eastAsia="仿宋" w:hAnsi="仿宋" w:hint="eastAsia"/>
                <w:b/>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lastRenderedPageBreak/>
              <w:t>销售手续费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0.30</w:t>
            </w:r>
            <w:r>
              <w:rPr>
                <w:rFonts w:ascii="仿宋" w:eastAsia="仿宋" w:hAnsi="仿宋" w:hint="eastAsia"/>
                <w:b/>
                <w:szCs w:val="21"/>
              </w:rPr>
              <w:t>%/年，以前一日资产净值为基数，每日计提。</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F=E×【0.30%】/当年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固定管理费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003C25" w:rsidRDefault="00375E14">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3</w:t>
            </w:r>
            <w:r>
              <w:rPr>
                <w:rFonts w:ascii="仿宋" w:eastAsia="仿宋" w:hAnsi="仿宋"/>
                <w:b/>
                <w:szCs w:val="21"/>
              </w:rPr>
              <w:t>0</w:t>
            </w:r>
            <w:r>
              <w:rPr>
                <w:rFonts w:ascii="仿宋" w:eastAsia="仿宋" w:hAnsi="仿宋" w:hint="eastAsia"/>
                <w:b/>
                <w:szCs w:val="21"/>
              </w:rPr>
              <w:t>%/年，以前一日资产净值为基数，每日计提。</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E017F1" w:rsidRDefault="00375E14">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Pr>
                <w:rFonts w:ascii="仿宋" w:eastAsia="仿宋" w:hAnsi="仿宋"/>
                <w:b/>
                <w:szCs w:val="21"/>
              </w:rPr>
              <w:t>0.</w:t>
            </w:r>
            <w:r>
              <w:rPr>
                <w:rFonts w:ascii="仿宋" w:eastAsia="仿宋" w:hAnsi="仿宋" w:hint="eastAsia"/>
                <w:b/>
                <w:szCs w:val="21"/>
              </w:rPr>
              <w:t>3</w:t>
            </w:r>
            <w:r>
              <w:rPr>
                <w:rFonts w:ascii="仿宋" w:eastAsia="仿宋" w:hAnsi="仿宋"/>
                <w:b/>
                <w:szCs w:val="21"/>
              </w:rPr>
              <w:t>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本产品扣除各项费用（包括销售手续费、托管费、固定管理费及其他费用等）后，</w:t>
            </w:r>
            <w:proofErr w:type="gramStart"/>
            <w:r>
              <w:rPr>
                <w:rFonts w:ascii="仿宋" w:eastAsia="仿宋" w:hAnsi="仿宋" w:hint="eastAsia"/>
                <w:b/>
                <w:szCs w:val="21"/>
              </w:rPr>
              <w:t>年化收益率</w:t>
            </w:r>
            <w:proofErr w:type="gramEnd"/>
            <w:r>
              <w:rPr>
                <w:rFonts w:ascii="仿宋" w:eastAsia="仿宋" w:hAnsi="仿宋" w:hint="eastAsia"/>
                <w:b/>
                <w:szCs w:val="21"/>
              </w:rPr>
              <w:t>低于或等于超额管理费计提基准，则管理人不收取超额管理费；超过超额管理费计提基准的部分，50%归投资人所有，其余作为管理人的超额管理费。</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本产品超额管理费计提基准为</w:t>
            </w:r>
            <w:r w:rsidR="00003C25" w:rsidRPr="00003C25">
              <w:rPr>
                <w:rFonts w:ascii="仿宋" w:eastAsia="仿宋" w:hAnsi="仿宋"/>
                <w:b/>
                <w:szCs w:val="21"/>
              </w:rPr>
              <w:t>5.50%</w:t>
            </w:r>
            <w:r>
              <w:rPr>
                <w:rFonts w:ascii="仿宋" w:eastAsia="仿宋" w:hAnsi="仿宋" w:hint="eastAsia"/>
                <w:b/>
                <w:szCs w:val="21"/>
              </w:rPr>
              <w:t>（年化）。</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本产品超额管理费的计算公式：</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超额管理费=（</w:t>
            </w:r>
            <w:proofErr w:type="gramStart"/>
            <w:r>
              <w:rPr>
                <w:rFonts w:ascii="仿宋" w:eastAsia="仿宋" w:hAnsi="仿宋" w:hint="eastAsia"/>
                <w:b/>
                <w:szCs w:val="21"/>
              </w:rPr>
              <w:t>年化收益率</w:t>
            </w:r>
            <w:proofErr w:type="gramEnd"/>
            <w:r>
              <w:rPr>
                <w:rFonts w:ascii="仿宋" w:eastAsia="仿宋" w:hAnsi="仿宋" w:hint="eastAsia"/>
                <w:b/>
                <w:szCs w:val="21"/>
              </w:rPr>
              <w:t>-超额管理费计提基准）×封闭期内</w:t>
            </w:r>
            <w:r>
              <w:rPr>
                <w:rFonts w:ascii="仿宋" w:eastAsia="仿宋" w:hAnsi="仿宋" w:cs="Cambria" w:hint="eastAsia"/>
                <w:b/>
                <w:szCs w:val="21"/>
              </w:rPr>
              <w:t>持有天数</w:t>
            </w:r>
            <w:r>
              <w:rPr>
                <w:rFonts w:ascii="仿宋" w:eastAsia="仿宋" w:hAnsi="仿宋" w:hint="eastAsia"/>
                <w:b/>
                <w:szCs w:val="21"/>
              </w:rPr>
              <w:t>÷365×50%×产品份额×基准净值</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其中：</w:t>
            </w:r>
          </w:p>
          <w:p w:rsidR="00E017F1" w:rsidRDefault="00375E14">
            <w:pPr>
              <w:adjustRightInd w:val="0"/>
              <w:snapToGrid w:val="0"/>
              <w:spacing w:line="240" w:lineRule="atLeast"/>
              <w:ind w:firstLine="420"/>
              <w:rPr>
                <w:rFonts w:ascii="仿宋" w:eastAsia="仿宋" w:hAnsi="仿宋"/>
                <w:b/>
                <w:szCs w:val="21"/>
              </w:rPr>
            </w:pPr>
            <w:proofErr w:type="gramStart"/>
            <w:r>
              <w:rPr>
                <w:rFonts w:ascii="仿宋" w:eastAsia="仿宋" w:hAnsi="仿宋" w:hint="eastAsia"/>
                <w:b/>
                <w:szCs w:val="21"/>
              </w:rPr>
              <w:t>年化收益率</w:t>
            </w:r>
            <w:proofErr w:type="gramEnd"/>
            <w:r>
              <w:rPr>
                <w:rFonts w:ascii="仿宋" w:eastAsia="仿宋" w:hAnsi="仿宋" w:hint="eastAsia"/>
                <w:b/>
                <w:szCs w:val="21"/>
              </w:rPr>
              <w:t>=</w:t>
            </w:r>
            <w:r>
              <w:rPr>
                <w:rFonts w:ascii="仿宋" w:eastAsia="仿宋" w:hAnsi="仿宋"/>
                <w:b/>
                <w:szCs w:val="21"/>
              </w:rPr>
              <w:t>（</w:t>
            </w:r>
            <w:r>
              <w:rPr>
                <w:rFonts w:ascii="仿宋" w:eastAsia="仿宋" w:hAnsi="仿宋" w:hint="eastAsia"/>
                <w:b/>
                <w:szCs w:val="21"/>
              </w:rPr>
              <w:t>计提日累计单位净值-基准净值</w:t>
            </w:r>
            <w:r>
              <w:rPr>
                <w:rFonts w:ascii="仿宋" w:eastAsia="仿宋" w:hAnsi="仿宋"/>
                <w:b/>
                <w:szCs w:val="21"/>
              </w:rPr>
              <w:t>）</w:t>
            </w:r>
            <w:r>
              <w:rPr>
                <w:rFonts w:ascii="仿宋" w:eastAsia="仿宋" w:hAnsi="仿宋" w:hint="eastAsia"/>
                <w:b/>
                <w:szCs w:val="21"/>
              </w:rPr>
              <w:t>÷基准净值×365÷封闭期内</w:t>
            </w:r>
            <w:r>
              <w:rPr>
                <w:rFonts w:ascii="仿宋" w:eastAsia="仿宋" w:hAnsi="仿宋" w:cs="Cambria" w:hint="eastAsia"/>
                <w:b/>
                <w:szCs w:val="21"/>
              </w:rPr>
              <w:t>持有天数</w:t>
            </w:r>
            <w:r>
              <w:rPr>
                <w:rFonts w:ascii="仿宋" w:eastAsia="仿宋" w:hAnsi="仿宋" w:hint="eastAsia"/>
                <w:b/>
                <w:szCs w:val="21"/>
              </w:rPr>
              <w:t>。</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“产品份额”为该封闭期内份额，若封闭期内有红利再投时，将剔除红利再投产生份额的影响。</w:t>
            </w:r>
          </w:p>
          <w:p w:rsidR="00E017F1" w:rsidRDefault="00375E14">
            <w:pPr>
              <w:adjustRightInd w:val="0"/>
              <w:snapToGrid w:val="0"/>
              <w:spacing w:line="240" w:lineRule="atLeast"/>
              <w:ind w:firstLine="420"/>
              <w:rPr>
                <w:rFonts w:ascii="仿宋" w:eastAsia="仿宋" w:hAnsi="仿宋"/>
                <w:b/>
                <w:szCs w:val="21"/>
              </w:rPr>
            </w:pPr>
            <w:r>
              <w:rPr>
                <w:rFonts w:ascii="仿宋" w:eastAsia="仿宋" w:hAnsi="仿宋" w:hint="eastAsia"/>
                <w:b/>
                <w:szCs w:val="21"/>
              </w:rPr>
              <w:t>基准净值为</w:t>
            </w:r>
            <w:r>
              <w:rPr>
                <w:rFonts w:ascii="仿宋" w:eastAsia="仿宋" w:hAnsi="仿宋" w:hint="eastAsia"/>
                <w:b/>
                <w:bCs/>
                <w:szCs w:val="21"/>
              </w:rPr>
              <w:t>开放期最后一个开放日的单位净值，</w:t>
            </w:r>
            <w:r>
              <w:rPr>
                <w:rFonts w:ascii="仿宋" w:eastAsia="仿宋" w:hAnsi="仿宋"/>
                <w:b/>
                <w:bCs/>
                <w:szCs w:val="21"/>
              </w:rPr>
              <w:t>如该日单位净值小于</w:t>
            </w:r>
            <w:r>
              <w:rPr>
                <w:rFonts w:ascii="仿宋" w:eastAsia="仿宋" w:hAnsi="仿宋" w:hint="eastAsia"/>
                <w:b/>
                <w:bCs/>
                <w:szCs w:val="21"/>
              </w:rPr>
              <w:t>1，</w:t>
            </w:r>
            <w:r>
              <w:rPr>
                <w:rFonts w:ascii="仿宋" w:eastAsia="仿宋" w:hAnsi="仿宋"/>
                <w:b/>
                <w:bCs/>
                <w:szCs w:val="21"/>
              </w:rPr>
              <w:t>则基准净值取</w:t>
            </w:r>
            <w:r>
              <w:rPr>
                <w:rFonts w:ascii="仿宋" w:eastAsia="仿宋" w:hAnsi="仿宋" w:cs="Cambria" w:hint="eastAsia"/>
                <w:b/>
                <w:szCs w:val="21"/>
              </w:rPr>
              <w:t>1.0000。</w:t>
            </w:r>
          </w:p>
          <w:p w:rsidR="00E017F1" w:rsidRDefault="00375E14">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产品</w:t>
            </w:r>
            <w:r>
              <w:rPr>
                <w:rFonts w:ascii="仿宋" w:eastAsia="仿宋" w:hAnsi="仿宋"/>
                <w:b/>
                <w:szCs w:val="21"/>
              </w:rPr>
              <w:t>封闭期内</w:t>
            </w:r>
            <w:r>
              <w:rPr>
                <w:rFonts w:ascii="仿宋" w:eastAsia="仿宋" w:hAnsi="仿宋" w:hint="eastAsia"/>
                <w:b/>
                <w:szCs w:val="21"/>
              </w:rPr>
              <w:t>每个</w:t>
            </w:r>
            <w:r>
              <w:rPr>
                <w:rFonts w:ascii="仿宋" w:eastAsia="仿宋" w:hAnsi="仿宋"/>
                <w:b/>
                <w:szCs w:val="21"/>
              </w:rPr>
              <w:t>估值日</w:t>
            </w:r>
            <w:r>
              <w:rPr>
                <w:rFonts w:ascii="仿宋" w:eastAsia="仿宋" w:hAnsi="仿宋" w:hint="eastAsia"/>
                <w:b/>
                <w:szCs w:val="21"/>
              </w:rPr>
              <w:t>计提</w:t>
            </w:r>
            <w:r>
              <w:rPr>
                <w:rFonts w:ascii="仿宋" w:eastAsia="仿宋" w:hAnsi="仿宋"/>
                <w:b/>
                <w:szCs w:val="21"/>
              </w:rPr>
              <w:t>超额管理费</w:t>
            </w:r>
            <w:r>
              <w:rPr>
                <w:rFonts w:ascii="仿宋" w:eastAsia="仿宋" w:hAnsi="仿宋" w:hint="eastAsia"/>
                <w:b/>
                <w:szCs w:val="21"/>
              </w:rPr>
              <w:t>，仅</w:t>
            </w:r>
            <w:proofErr w:type="gramStart"/>
            <w:r>
              <w:rPr>
                <w:rFonts w:ascii="仿宋" w:eastAsia="仿宋" w:hAnsi="仿宋" w:hint="eastAsia"/>
                <w:b/>
                <w:szCs w:val="21"/>
              </w:rPr>
              <w:t>作为暂估数据</w:t>
            </w:r>
            <w:proofErr w:type="gramEnd"/>
            <w:r>
              <w:rPr>
                <w:rFonts w:ascii="仿宋" w:eastAsia="仿宋" w:hAnsi="仿宋" w:hint="eastAsia"/>
                <w:b/>
                <w:szCs w:val="21"/>
              </w:rPr>
              <w:t>，用于本产品会计核算和估值日估值。仅到期/终止日为本产品超额管理费实际计提和收取日。</w:t>
            </w:r>
          </w:p>
          <w:p w:rsidR="00E017F1" w:rsidRDefault="00375E14">
            <w:pPr>
              <w:adjustRightInd w:val="0"/>
              <w:snapToGrid w:val="0"/>
              <w:spacing w:line="240" w:lineRule="atLeas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w:t>
            </w:r>
            <w:r>
              <w:rPr>
                <w:rFonts w:ascii="仿宋" w:eastAsia="仿宋" w:hAnsi="仿宋"/>
                <w:b/>
                <w:szCs w:val="21"/>
              </w:rPr>
              <w:t>通过</w:t>
            </w:r>
            <w:r>
              <w:rPr>
                <w:rFonts w:ascii="仿宋" w:eastAsia="仿宋" w:hAnsi="仿宋" w:hint="eastAsia"/>
                <w:b/>
                <w:szCs w:val="21"/>
              </w:rPr>
              <w:t>本产品说明书约定的信息披露渠道进行公告。</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份额净值公告日</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E017F1" w:rsidRDefault="00375E14">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摆动定价</w:t>
            </w:r>
          </w:p>
        </w:tc>
        <w:tc>
          <w:tcPr>
            <w:tcW w:w="7033" w:type="dxa"/>
            <w:tcBorders>
              <w:top w:val="single" w:sz="4" w:space="0" w:color="auto"/>
              <w:left w:val="single" w:sz="4" w:space="0" w:color="auto"/>
              <w:bottom w:val="single" w:sz="4" w:space="0" w:color="auto"/>
              <w:right w:val="single" w:sz="4" w:space="0" w:color="auto"/>
            </w:tcBorders>
            <w:shd w:val="clear" w:color="auto" w:fill="FFFFFF"/>
          </w:tcPr>
          <w:p w:rsidR="00E017F1" w:rsidRDefault="00375E14">
            <w:pPr>
              <w:adjustRightInd w:val="0"/>
              <w:snapToGrid w:val="0"/>
              <w:spacing w:line="276" w:lineRule="auto"/>
              <w:ind w:firstLineChars="200" w:firstLine="420"/>
              <w:jc w:val="left"/>
            </w:pPr>
            <w:r>
              <w:rPr>
                <w:rFonts w:ascii="仿宋" w:eastAsia="仿宋" w:hAnsi="仿宋" w:hint="eastAsia"/>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rsidR="00E017F1" w:rsidRDefault="00375E14">
            <w:pPr>
              <w:adjustRightInd w:val="0"/>
              <w:snapToGrid w:val="0"/>
              <w:spacing w:line="276" w:lineRule="auto"/>
              <w:ind w:firstLineChars="200" w:firstLine="420"/>
              <w:jc w:val="left"/>
            </w:pPr>
            <w:r>
              <w:rPr>
                <w:rFonts w:ascii="仿宋" w:eastAsia="仿宋" w:hAnsi="仿宋" w:hint="eastAsia"/>
                <w:bCs/>
                <w:szCs w:val="21"/>
              </w:rPr>
              <w:t>具体操作规范遵循相关法律法规以及监管部门、自律规则的规定，并以届时管理人信息披露为准。</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hint="eastAsia"/>
                <w:bCs/>
                <w:szCs w:val="21"/>
              </w:rPr>
              <w:t>分红方式</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003C25">
            <w:pPr>
              <w:adjustRightInd w:val="0"/>
              <w:snapToGrid w:val="0"/>
              <w:spacing w:line="240" w:lineRule="atLeast"/>
              <w:ind w:firstLineChars="200" w:firstLine="420"/>
              <w:jc w:val="left"/>
              <w:rPr>
                <w:rFonts w:ascii="仿宋" w:eastAsia="仿宋" w:hAnsi="仿宋" w:cs="宋体"/>
                <w:kern w:val="0"/>
                <w:szCs w:val="21"/>
              </w:rPr>
            </w:pPr>
            <w:r w:rsidRPr="00003C25">
              <w:rPr>
                <w:rFonts w:ascii="仿宋" w:eastAsia="仿宋" w:hAnsi="仿宋" w:hint="eastAsia"/>
                <w:bCs/>
                <w:szCs w:val="21"/>
              </w:rPr>
              <w:t>产品成立满半年后，如净值大于1.0000且存在可分配利润，则每半年分红，具体以分红公告为准。</w:t>
            </w:r>
          </w:p>
        </w:tc>
      </w:tr>
      <w:tr w:rsidR="00E017F1">
        <w:trPr>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E017F1" w:rsidRDefault="00375E14">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w:t>
            </w:r>
            <w:r>
              <w:rPr>
                <w:rFonts w:ascii="仿宋" w:eastAsia="仿宋" w:hAnsi="仿宋" w:hint="eastAsia"/>
                <w:b/>
                <w:szCs w:val="21"/>
              </w:rPr>
              <w:lastRenderedPageBreak/>
              <w:t>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E017F1" w:rsidRDefault="00375E14">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E017F1" w:rsidRDefault="00375E14">
            <w:pPr>
              <w:autoSpaceDE w:val="0"/>
              <w:autoSpaceDN w:val="0"/>
              <w:adjustRightInd w:val="0"/>
              <w:snapToGrid w:val="0"/>
              <w:spacing w:line="240" w:lineRule="atLeast"/>
              <w:ind w:firstLineChars="200" w:firstLine="420"/>
              <w:jc w:val="left"/>
              <w:rPr>
                <w:rFonts w:ascii="仿宋" w:eastAsia="仿宋" w:hAnsi="仿宋" w:cs="宋体"/>
                <w:bCs/>
                <w:szCs w:val="21"/>
              </w:rPr>
            </w:pPr>
            <w:r>
              <w:rPr>
                <w:rFonts w:ascii="仿宋" w:eastAsia="仿宋" w:hAnsi="仿宋" w:cs="宋体" w:hint="eastAsia"/>
                <w:bCs/>
                <w:szCs w:val="21"/>
              </w:rPr>
              <w:t>①</w:t>
            </w:r>
            <w:r>
              <w:rPr>
                <w:rFonts w:ascii="仿宋" w:eastAsia="仿宋" w:hAnsi="仿宋" w:hint="eastAsia"/>
                <w:bCs/>
                <w:szCs w:val="21"/>
              </w:rPr>
              <w:t>当本理财产品份额低于</w:t>
            </w:r>
            <w:r>
              <w:rPr>
                <w:rFonts w:ascii="仿宋" w:eastAsia="仿宋" w:hAnsi="仿宋"/>
                <w:bCs/>
                <w:szCs w:val="21"/>
              </w:rPr>
              <w:t>1</w:t>
            </w:r>
            <w:r>
              <w:rPr>
                <w:rFonts w:ascii="仿宋" w:eastAsia="仿宋" w:hAnsi="仿宋" w:hint="eastAsia"/>
                <w:bCs/>
                <w:szCs w:val="21"/>
              </w:rPr>
              <w:t>万份时；</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w:t>
            </w:r>
            <w:r>
              <w:rPr>
                <w:rFonts w:ascii="仿宋" w:eastAsia="仿宋" w:hAnsi="仿宋"/>
                <w:bCs/>
                <w:szCs w:val="21"/>
              </w:rPr>
              <w:t>公告</w:t>
            </w:r>
            <w:r>
              <w:rPr>
                <w:rFonts w:ascii="仿宋" w:eastAsia="仿宋" w:hAnsi="仿宋" w:hint="eastAsia"/>
                <w:bCs/>
                <w:szCs w:val="21"/>
              </w:rPr>
              <w:t>相关信息。</w:t>
            </w:r>
          </w:p>
        </w:tc>
      </w:tr>
      <w:tr w:rsidR="00E017F1">
        <w:trPr>
          <w:trHeight w:val="285"/>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税款</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E017F1" w:rsidRDefault="00375E14">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E017F1">
        <w:trPr>
          <w:trHeight w:val="285"/>
          <w:jc w:val="center"/>
        </w:trPr>
        <w:tc>
          <w:tcPr>
            <w:tcW w:w="1669"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jc w:val="center"/>
              <w:rPr>
                <w:rFonts w:ascii="仿宋" w:eastAsia="仿宋" w:hAnsi="仿宋" w:cs="宋体"/>
                <w:kern w:val="0"/>
                <w:szCs w:val="21"/>
              </w:rPr>
            </w:pPr>
            <w:r>
              <w:rPr>
                <w:rFonts w:ascii="仿宋" w:eastAsia="仿宋" w:hAnsi="仿宋" w:cs="宋体"/>
                <w:kern w:val="0"/>
                <w:szCs w:val="21"/>
              </w:rPr>
              <w:t>其他规定</w:t>
            </w:r>
          </w:p>
        </w:tc>
        <w:tc>
          <w:tcPr>
            <w:tcW w:w="7033" w:type="dxa"/>
            <w:tcBorders>
              <w:top w:val="single" w:sz="4" w:space="0" w:color="auto"/>
              <w:left w:val="single" w:sz="4" w:space="0" w:color="auto"/>
              <w:bottom w:val="single" w:sz="4" w:space="0" w:color="auto"/>
              <w:right w:val="single" w:sz="4" w:space="0" w:color="auto"/>
            </w:tcBorders>
            <w:shd w:val="clear" w:color="auto" w:fill="FFFFFF"/>
            <w:vAlign w:val="center"/>
          </w:tcPr>
          <w:p w:rsidR="00E017F1" w:rsidRDefault="00375E1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E017F1" w:rsidRDefault="00375E1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E017F1" w:rsidRDefault="00375E1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E017F1" w:rsidRDefault="00375E1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理财产品赎回申请/到期/终止日（不含）至资金到账日（不含）之间，投资者资金不计存款利息及理财收益。</w:t>
            </w:r>
          </w:p>
        </w:tc>
      </w:tr>
    </w:tbl>
    <w:p w:rsidR="00E017F1" w:rsidRDefault="00E017F1">
      <w:pPr>
        <w:pStyle w:val="Default"/>
        <w:snapToGrid w:val="0"/>
        <w:spacing w:afterLines="50" w:after="156" w:line="400" w:lineRule="exact"/>
        <w:ind w:firstLineChars="200" w:firstLine="482"/>
        <w:jc w:val="both"/>
        <w:rPr>
          <w:rFonts w:ascii="Times New Roman" w:eastAsia="黑体" w:cs="Times New Roman"/>
          <w:b/>
          <w:color w:val="auto"/>
        </w:rPr>
      </w:pP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E017F1" w:rsidRDefault="00375E14">
      <w:pPr>
        <w:widowControl/>
        <w:adjustRightInd w:val="0"/>
        <w:snapToGrid w:val="0"/>
        <w:spacing w:line="276" w:lineRule="auto"/>
        <w:ind w:firstLineChars="200" w:firstLine="480"/>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本产品主要投资于货币市场工具、标准化债权类资产、非标准化债权类资产等固定收益类资产、权益类资产及资产管理产品，其中资产管理产品需符合产品约定的投资范围。</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本理财产品可以按照国务院金融管理部门相关规定开展回购业务，回购业务中可接受押品的资质要求与本说明书约定的投资范围保持一致。</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w:t>
      </w:r>
      <w:r>
        <w:rPr>
          <w:rFonts w:ascii="仿宋" w:eastAsia="仿宋" w:hAnsi="仿宋" w:cs="宋体" w:hint="eastAsia"/>
          <w:color w:val="000000"/>
          <w:kern w:val="0"/>
          <w:sz w:val="24"/>
        </w:rPr>
        <w:lastRenderedPageBreak/>
        <w:t>易的资产支持证券</w:t>
      </w:r>
      <w:r w:rsidR="001F3BC0">
        <w:rPr>
          <w:rFonts w:ascii="仿宋" w:eastAsia="仿宋" w:hAnsi="仿宋" w:cs="宋体" w:hint="eastAsia"/>
          <w:color w:val="000000"/>
          <w:kern w:val="0"/>
          <w:sz w:val="24"/>
        </w:rPr>
        <w:t>、货币市场基金</w:t>
      </w:r>
      <w:r>
        <w:rPr>
          <w:rFonts w:ascii="仿宋" w:eastAsia="仿宋" w:hAnsi="仿宋" w:cs="宋体" w:hint="eastAsia"/>
          <w:color w:val="000000"/>
          <w:kern w:val="0"/>
          <w:sz w:val="24"/>
        </w:rPr>
        <w:t>、债券型公募证券投资基金，以及《标准化债权类资产认定规则》认定的标准化债权类资产等；</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E017F1" w:rsidRDefault="00375E14">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E017F1" w:rsidRDefault="00375E14">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E017F1" w:rsidRDefault="00375E14">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84"/>
        <w:gridCol w:w="4079"/>
      </w:tblGrid>
      <w:tr w:rsidR="00E017F1">
        <w:trPr>
          <w:trHeight w:val="447"/>
          <w:tblCellSpacing w:w="0" w:type="dxa"/>
        </w:trPr>
        <w:tc>
          <w:tcPr>
            <w:tcW w:w="3984" w:type="dxa"/>
            <w:vAlign w:val="center"/>
          </w:tcPr>
          <w:p w:rsidR="00E017F1" w:rsidRDefault="00375E14">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079" w:type="dxa"/>
            <w:vAlign w:val="center"/>
          </w:tcPr>
          <w:p w:rsidR="00E017F1" w:rsidRDefault="00375E14">
            <w:pPr>
              <w:adjustRightInd w:val="0"/>
              <w:snapToGrid w:val="0"/>
              <w:jc w:val="center"/>
              <w:rPr>
                <w:rFonts w:eastAsia="仿宋"/>
                <w:color w:val="000000"/>
                <w:kern w:val="0"/>
                <w:sz w:val="24"/>
              </w:rPr>
            </w:pPr>
            <w:r>
              <w:rPr>
                <w:rFonts w:eastAsia="仿宋"/>
                <w:color w:val="000000"/>
                <w:kern w:val="0"/>
                <w:sz w:val="24"/>
              </w:rPr>
              <w:t>投资比例</w:t>
            </w:r>
          </w:p>
        </w:tc>
      </w:tr>
      <w:tr w:rsidR="00E017F1">
        <w:trPr>
          <w:trHeight w:val="447"/>
          <w:tblCellSpacing w:w="0" w:type="dxa"/>
        </w:trPr>
        <w:tc>
          <w:tcPr>
            <w:tcW w:w="3984" w:type="dxa"/>
            <w:vAlign w:val="center"/>
          </w:tcPr>
          <w:p w:rsidR="00E017F1" w:rsidRDefault="00375E14">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固定收益类</w:t>
            </w:r>
          </w:p>
        </w:tc>
        <w:tc>
          <w:tcPr>
            <w:tcW w:w="4079" w:type="dxa"/>
            <w:vAlign w:val="center"/>
          </w:tcPr>
          <w:p w:rsidR="00E017F1" w:rsidRDefault="00375E14" w:rsidP="001417FA">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80%-100%</w:t>
            </w:r>
          </w:p>
        </w:tc>
      </w:tr>
      <w:tr w:rsidR="00E017F1">
        <w:trPr>
          <w:trHeight w:val="411"/>
          <w:tblCellSpacing w:w="0" w:type="dxa"/>
        </w:trPr>
        <w:tc>
          <w:tcPr>
            <w:tcW w:w="3984" w:type="dxa"/>
            <w:vAlign w:val="center"/>
          </w:tcPr>
          <w:p w:rsidR="00E017F1" w:rsidRDefault="00375E14">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权益类</w:t>
            </w:r>
          </w:p>
        </w:tc>
        <w:tc>
          <w:tcPr>
            <w:tcW w:w="4079" w:type="dxa"/>
            <w:vAlign w:val="center"/>
          </w:tcPr>
          <w:p w:rsidR="00E017F1" w:rsidRDefault="00375E14" w:rsidP="001417FA">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0%-20%</w:t>
            </w:r>
          </w:p>
        </w:tc>
      </w:tr>
    </w:tbl>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本理财产品可以按照监管部门相关规定开展回购业务。</w:t>
      </w:r>
    </w:p>
    <w:p w:rsidR="00E017F1" w:rsidRDefault="00E017F1">
      <w:pPr>
        <w:widowControl/>
        <w:adjustRightInd w:val="0"/>
        <w:snapToGrid w:val="0"/>
        <w:spacing w:line="276" w:lineRule="auto"/>
        <w:ind w:firstLineChars="200" w:firstLine="480"/>
        <w:contextualSpacing/>
        <w:rPr>
          <w:rFonts w:ascii="仿宋" w:eastAsia="仿宋" w:hAnsi="仿宋" w:cs="宋体"/>
          <w:color w:val="000000"/>
          <w:kern w:val="0"/>
          <w:sz w:val="24"/>
        </w:rPr>
      </w:pPr>
    </w:p>
    <w:p w:rsidR="00E017F1" w:rsidRDefault="00375E14">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E017F1" w:rsidRDefault="00E017F1">
      <w:pPr>
        <w:widowControl/>
        <w:adjustRightInd w:val="0"/>
        <w:snapToGrid w:val="0"/>
        <w:spacing w:line="276" w:lineRule="auto"/>
        <w:ind w:firstLineChars="200" w:firstLine="480"/>
        <w:contextualSpacing/>
        <w:rPr>
          <w:rFonts w:ascii="仿宋" w:eastAsia="仿宋" w:hAnsi="仿宋" w:cs="宋体"/>
          <w:kern w:val="0"/>
          <w:sz w:val="24"/>
        </w:rPr>
      </w:pPr>
    </w:p>
    <w:p w:rsidR="00E017F1" w:rsidRDefault="00375E1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管理人应当自理财产品成立日起</w:t>
      </w:r>
      <w:r>
        <w:rPr>
          <w:rFonts w:ascii="仿宋" w:eastAsia="仿宋" w:hAnsi="仿宋" w:cs="宋体" w:hint="eastAsia"/>
          <w:b/>
          <w:bCs/>
          <w:kern w:val="0"/>
          <w:sz w:val="24"/>
        </w:rPr>
        <w:t>6个月</w:t>
      </w:r>
      <w:r>
        <w:rPr>
          <w:rFonts w:ascii="仿宋" w:eastAsia="仿宋" w:hAnsi="仿宋" w:cs="宋体" w:hint="eastAsia"/>
          <w:b/>
          <w:bCs/>
          <w:color w:val="000000"/>
          <w:kern w:val="0"/>
          <w:sz w:val="24"/>
        </w:rPr>
        <w:t>内使理财产品的投资比例符合上述约定。</w:t>
      </w:r>
    </w:p>
    <w:p w:rsidR="00E017F1" w:rsidRDefault="00375E14">
      <w:pPr>
        <w:widowControl/>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bCs/>
          <w:color w:val="000000"/>
          <w:kern w:val="0"/>
          <w:sz w:val="24"/>
        </w:rPr>
        <w:t>如资产类别及投资比例发生调整，管理人将于调整事项生效前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个工作日通过本产品说明书约定的信息披露渠道予以公告</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非因管理人主观因素导致本理财产品突破上述投资比例限制的，管理人应当在所投资的</w:t>
      </w:r>
      <w:r>
        <w:rPr>
          <w:rFonts w:ascii="仿宋" w:eastAsia="仿宋" w:hAnsi="仿宋" w:hint="eastAsia"/>
          <w:sz w:val="24"/>
        </w:rPr>
        <w:t>流动性受限资产可出售、可转让或者恢复交易的15</w:t>
      </w:r>
      <w:r>
        <w:rPr>
          <w:rFonts w:ascii="仿宋" w:eastAsia="仿宋" w:hAnsi="仿宋" w:cs="宋体" w:hint="eastAsia"/>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w:t>
      </w:r>
      <w:r>
        <w:rPr>
          <w:rFonts w:ascii="仿宋" w:eastAsia="仿宋" w:hAnsi="仿宋" w:cs="宋体" w:hint="eastAsia"/>
          <w:color w:val="000000"/>
          <w:kern w:val="0"/>
          <w:sz w:val="24"/>
        </w:rPr>
        <w:lastRenderedPageBreak/>
        <w:t>据），因发行人债务违约无法进行转让或交易的债券和非金融企业债务融资工具，以及其他流动性受限资产。</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（一）本理财产品管理人为华夏理财有限责任公司。</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（二）</w:t>
      </w: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产品托管人为华夏银行股份有限公司。</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1.基本信息</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2.主要职责</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w:t>
      </w:r>
      <w:bookmarkStart w:id="0" w:name="_Hlk76384476"/>
      <w:r>
        <w:rPr>
          <w:rFonts w:ascii="仿宋" w:eastAsia="仿宋" w:hAnsi="仿宋" w:cs="宋体" w:hint="eastAsia"/>
          <w:color w:val="000000"/>
          <w:kern w:val="0"/>
          <w:sz w:val="24"/>
        </w:rPr>
        <w:t>管理人</w:t>
      </w:r>
      <w:bookmarkEnd w:id="0"/>
      <w:r>
        <w:rPr>
          <w:rFonts w:ascii="仿宋" w:eastAsia="仿宋" w:hAnsi="仿宋" w:cs="宋体" w:hint="eastAsia"/>
          <w:color w:val="000000"/>
          <w:kern w:val="0"/>
          <w:sz w:val="24"/>
        </w:rPr>
        <w:t>的投资指令，及时办理清算、交割事宜；</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E017F1" w:rsidRDefault="00375E1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(9)银行业监督管理机构规定的其他职责。</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E017F1" w:rsidRDefault="00375E14">
      <w:pPr>
        <w:widowControl/>
        <w:adjustRightInd w:val="0"/>
        <w:snapToGrid w:val="0"/>
        <w:spacing w:line="276" w:lineRule="auto"/>
        <w:ind w:firstLineChars="200" w:firstLine="480"/>
        <w:contextualSpacing/>
        <w:rPr>
          <w:rFonts w:eastAsia="黑体"/>
          <w:b/>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（一）认购、申购、赎回交易渠道和规定</w:t>
      </w:r>
    </w:p>
    <w:p w:rsidR="00E017F1" w:rsidRDefault="00375E1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w:t>
      </w:r>
      <w:r>
        <w:rPr>
          <w:rFonts w:ascii="仿宋" w:eastAsia="仿宋" w:hAnsi="仿宋" w:hint="eastAsia"/>
          <w:sz w:val="24"/>
        </w:rPr>
        <w:lastRenderedPageBreak/>
        <w:t>网上银行等</w:t>
      </w:r>
      <w:r>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kern w:val="0"/>
          <w:sz w:val="24"/>
        </w:rPr>
        <w:t>申请</w:t>
      </w:r>
      <w:r>
        <w:rPr>
          <w:rFonts w:ascii="仿宋" w:eastAsia="仿宋" w:hAnsi="仿宋" w:cs="宋体" w:hint="eastAsia"/>
          <w:kern w:val="0"/>
          <w:sz w:val="24"/>
        </w:rPr>
        <w:t>；通过代销机构购买的，认购</w:t>
      </w:r>
      <w:r>
        <w:rPr>
          <w:rFonts w:ascii="仿宋" w:eastAsia="仿宋" w:hAnsi="仿宋" w:cs="宋体" w:hint="eastAsia"/>
          <w:color w:val="000000"/>
          <w:kern w:val="0"/>
          <w:sz w:val="24"/>
        </w:rPr>
        <w:t>、</w:t>
      </w:r>
      <w:r>
        <w:rPr>
          <w:rFonts w:ascii="仿宋" w:eastAsia="仿宋" w:hAnsi="仿宋" w:cs="宋体"/>
          <w:color w:val="000000"/>
          <w:kern w:val="0"/>
          <w:sz w:val="24"/>
        </w:rPr>
        <w:t>申购</w:t>
      </w:r>
      <w:r>
        <w:rPr>
          <w:rFonts w:ascii="仿宋" w:eastAsia="仿宋" w:hAnsi="仿宋" w:cs="宋体" w:hint="eastAsia"/>
          <w:kern w:val="0"/>
          <w:sz w:val="24"/>
        </w:rPr>
        <w:t>渠道以代销机构规定为准</w:t>
      </w:r>
      <w:r>
        <w:rPr>
          <w:rFonts w:ascii="仿宋" w:eastAsia="仿宋" w:hAnsi="仿宋" w:cs="宋体"/>
          <w:kern w:val="0"/>
          <w:sz w:val="24"/>
        </w:rPr>
        <w:t>。</w:t>
      </w:r>
    </w:p>
    <w:p w:rsidR="00E017F1" w:rsidRDefault="00375E14">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b/>
          <w:bCs/>
          <w:color w:val="000000"/>
          <w:kern w:val="0"/>
          <w:sz w:val="24"/>
        </w:rPr>
        <w:t>2</w:t>
      </w:r>
      <w:r>
        <w:rPr>
          <w:rFonts w:ascii="仿宋" w:eastAsia="仿宋" w:hAnsi="仿宋" w:cs="宋体" w:hint="eastAsia"/>
          <w:b/>
          <w:bCs/>
          <w:color w:val="000000"/>
          <w:kern w:val="0"/>
          <w:sz w:val="24"/>
        </w:rPr>
        <w:t>．</w:t>
      </w:r>
      <w:r>
        <w:rPr>
          <w:rFonts w:ascii="仿宋" w:eastAsia="仿宋" w:hAnsi="仿宋" w:cs="宋体" w:hint="eastAsia"/>
          <w:b/>
          <w:bCs/>
          <w:kern w:val="0"/>
          <w:sz w:val="24"/>
        </w:rPr>
        <w:t>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产品单一投资者持有</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份额数不得超过</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份额总数的 50%。非因</w:t>
      </w:r>
      <w:r>
        <w:rPr>
          <w:rFonts w:ascii="仿宋" w:eastAsia="仿宋" w:hAnsi="仿宋" w:cs="宋体"/>
          <w:b/>
          <w:bCs/>
          <w:kern w:val="0"/>
          <w:sz w:val="24"/>
        </w:rPr>
        <w:t>管理人</w:t>
      </w:r>
      <w:r>
        <w:rPr>
          <w:rFonts w:ascii="仿宋" w:eastAsia="仿宋" w:hAnsi="仿宋" w:cs="宋体" w:hint="eastAsia"/>
          <w:b/>
          <w:bCs/>
          <w:kern w:val="0"/>
          <w:sz w:val="24"/>
        </w:rPr>
        <w:t>主观因素导致突破前款规定比例限制的，在单一投资者持有比例降至50%以下之前，</w:t>
      </w:r>
      <w:r>
        <w:rPr>
          <w:rFonts w:ascii="仿宋" w:eastAsia="仿宋" w:hAnsi="仿宋" w:cs="宋体"/>
          <w:b/>
          <w:bCs/>
          <w:kern w:val="0"/>
          <w:sz w:val="24"/>
        </w:rPr>
        <w:t>管理人将</w:t>
      </w:r>
      <w:r>
        <w:rPr>
          <w:rFonts w:ascii="仿宋" w:eastAsia="仿宋" w:hAnsi="仿宋" w:cs="宋体" w:hint="eastAsia"/>
          <w:b/>
          <w:bCs/>
          <w:kern w:val="0"/>
          <w:sz w:val="24"/>
        </w:rPr>
        <w:t>不再接受该单一投资者对本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产品的认、</w:t>
      </w:r>
      <w:r>
        <w:rPr>
          <w:rFonts w:ascii="仿宋" w:eastAsia="仿宋" w:hAnsi="仿宋" w:cs="宋体"/>
          <w:b/>
          <w:bCs/>
          <w:kern w:val="0"/>
          <w:sz w:val="24"/>
        </w:rPr>
        <w:t>申</w:t>
      </w:r>
      <w:r>
        <w:rPr>
          <w:rFonts w:ascii="仿宋" w:eastAsia="仿宋" w:hAnsi="仿宋" w:cs="宋体" w:hint="eastAsia"/>
          <w:b/>
          <w:bCs/>
          <w:kern w:val="0"/>
          <w:sz w:val="24"/>
        </w:rPr>
        <w:t>购申请。</w:t>
      </w:r>
    </w:p>
    <w:p w:rsidR="00E017F1" w:rsidRDefault="00375E1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（二）拒绝或暂停</w:t>
      </w:r>
      <w:r>
        <w:rPr>
          <w:rFonts w:ascii="仿宋" w:eastAsia="仿宋" w:hAnsi="仿宋" w:cs="宋体" w:hint="eastAsia"/>
          <w:color w:val="000000"/>
          <w:kern w:val="0"/>
          <w:sz w:val="24"/>
        </w:rPr>
        <w:t>认（申）</w:t>
      </w:r>
      <w:r>
        <w:rPr>
          <w:rFonts w:ascii="仿宋" w:eastAsia="仿宋" w:hAnsi="仿宋" w:cs="宋体" w:hint="eastAsia"/>
          <w:kern w:val="0"/>
          <w:sz w:val="24"/>
        </w:rPr>
        <w:t>购的情形</w:t>
      </w:r>
    </w:p>
    <w:p w:rsidR="00E017F1" w:rsidRDefault="00375E1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采取认（申）</w:t>
      </w:r>
      <w:proofErr w:type="gramStart"/>
      <w:r>
        <w:rPr>
          <w:rFonts w:ascii="仿宋" w:eastAsia="仿宋" w:hAnsi="仿宋" w:cs="宋体" w:hint="eastAsia"/>
          <w:b/>
          <w:bCs/>
          <w:color w:val="000000"/>
          <w:kern w:val="0"/>
          <w:sz w:val="24"/>
        </w:rPr>
        <w:t>购风险</w:t>
      </w:r>
      <w:proofErr w:type="gramEnd"/>
      <w:r>
        <w:rPr>
          <w:rFonts w:ascii="仿宋" w:eastAsia="仿宋" w:hAnsi="仿宋" w:cs="宋体" w:hint="eastAsia"/>
          <w:b/>
          <w:bCs/>
          <w:color w:val="000000"/>
          <w:kern w:val="0"/>
          <w:sz w:val="24"/>
        </w:rPr>
        <w:t>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认（申）</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2．发生本产品说明书约定的暂停估值情况。</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3．接受认（申）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可能对存量投资者利益构成重大不利影响。</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4．认购/申购日理财产品实时余额已达到规模上限。</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5.基于理财产品投资运作与风险控制需要。</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6.接受认（申）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有可能导致单一投资者持有份额的比例超过产品</w:t>
      </w:r>
      <w:r>
        <w:rPr>
          <w:rFonts w:ascii="仿宋" w:eastAsia="仿宋" w:hAnsi="仿宋" w:cs="宋体" w:hint="eastAsia"/>
          <w:kern w:val="0"/>
          <w:sz w:val="24"/>
        </w:rPr>
        <w:t>份额总数的</w:t>
      </w:r>
      <w:r>
        <w:rPr>
          <w:rFonts w:ascii="仿宋" w:eastAsia="仿宋" w:hAnsi="仿宋" w:cs="宋体" w:hint="eastAsia"/>
          <w:color w:val="000000"/>
          <w:kern w:val="0"/>
          <w:sz w:val="24"/>
        </w:rPr>
        <w:t>50%，或者出现变相规避50%集中度限制的情形。</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如果投资人的认（申）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被全部或部分拒绝的，被拒绝的认（申）购款项将退还给投资人。在暂停认（申）购的情况消除时，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（三）暂停赎回或延缓支付赎回款项的情形</w:t>
      </w:r>
    </w:p>
    <w:p w:rsidR="00E017F1" w:rsidRDefault="00375E1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在发生下列情形之一时，</w:t>
      </w:r>
      <w:r>
        <w:rPr>
          <w:rFonts w:ascii="仿宋" w:eastAsia="仿宋" w:hAnsi="仿宋" w:cs="宋体"/>
          <w:b/>
          <w:bCs/>
          <w:kern w:val="0"/>
          <w:sz w:val="24"/>
        </w:rPr>
        <w:t>管理人</w:t>
      </w:r>
      <w:r>
        <w:rPr>
          <w:rFonts w:ascii="仿宋" w:eastAsia="仿宋" w:hAnsi="仿宋" w:cs="宋体" w:hint="eastAsia"/>
          <w:b/>
          <w:bCs/>
          <w:kern w:val="0"/>
          <w:sz w:val="24"/>
        </w:rPr>
        <w:t>可以采取</w:t>
      </w:r>
      <w:r>
        <w:rPr>
          <w:rFonts w:ascii="仿宋" w:eastAsia="仿宋" w:hAnsi="仿宋" w:cs="宋体" w:hint="eastAsia"/>
          <w:b/>
          <w:bCs/>
          <w:color w:val="000000"/>
          <w:kern w:val="0"/>
          <w:sz w:val="24"/>
        </w:rPr>
        <w:t>赎回流动性风险应对措施，包括</w:t>
      </w:r>
      <w:r>
        <w:rPr>
          <w:rFonts w:ascii="仿宋" w:eastAsia="仿宋" w:hAnsi="仿宋" w:cs="宋体"/>
          <w:b/>
          <w:bCs/>
          <w:color w:val="000000"/>
          <w:kern w:val="0"/>
          <w:sz w:val="24"/>
        </w:rPr>
        <w:t>但不限于</w:t>
      </w:r>
      <w:r>
        <w:rPr>
          <w:rFonts w:ascii="仿宋" w:eastAsia="仿宋" w:hAnsi="仿宋" w:cs="宋体" w:hint="eastAsia"/>
          <w:b/>
          <w:bCs/>
          <w:color w:val="000000"/>
          <w:kern w:val="0"/>
          <w:sz w:val="24"/>
        </w:rPr>
        <w:t>延期办理巨额赎回申请、暂停接受赎回申请、延缓支付赎回款项等：</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w:t>
      </w:r>
      <w:r>
        <w:rPr>
          <w:rFonts w:ascii="仿宋" w:eastAsia="仿宋" w:hAnsi="仿宋" w:cs="宋体"/>
          <w:kern w:val="0"/>
          <w:sz w:val="24"/>
        </w:rPr>
        <w:t>管理人</w:t>
      </w:r>
      <w:r>
        <w:rPr>
          <w:rFonts w:ascii="仿宋" w:eastAsia="仿宋" w:hAnsi="仿宋" w:cs="宋体" w:hint="eastAsia"/>
          <w:color w:val="000000"/>
          <w:kern w:val="0"/>
          <w:sz w:val="24"/>
        </w:rPr>
        <w:t>不能支付赎回款项。</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2.发生本产品说明书约定的暂停估值情形。</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3</w:t>
      </w:r>
      <w:r>
        <w:rPr>
          <w:rFonts w:ascii="仿宋" w:eastAsia="仿宋" w:hAnsi="仿宋" w:cs="宋体" w:hint="eastAsia"/>
          <w:color w:val="000000"/>
          <w:kern w:val="0"/>
          <w:sz w:val="24"/>
        </w:rPr>
        <w:t>.发生巨额赎回。</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4</w:t>
      </w:r>
      <w:r>
        <w:rPr>
          <w:rFonts w:ascii="仿宋" w:eastAsia="仿宋" w:hAnsi="仿宋" w:cs="宋体" w:hint="eastAsia"/>
          <w:color w:val="000000"/>
          <w:kern w:val="0"/>
          <w:sz w:val="24"/>
        </w:rPr>
        <w:t>.连续2个以上开放日发生巨额赎回。</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hint="eastAsia"/>
          <w:bCs/>
          <w:color w:val="000000"/>
          <w:sz w:val="24"/>
        </w:rPr>
        <w:t>5.单个投资者在单个开放日的赎回超过说明书约定的赎回</w:t>
      </w:r>
      <w:r>
        <w:rPr>
          <w:rFonts w:ascii="仿宋" w:eastAsia="仿宋" w:hAnsi="仿宋"/>
          <w:bCs/>
          <w:color w:val="000000"/>
          <w:sz w:val="24"/>
        </w:rPr>
        <w:t>上限</w:t>
      </w:r>
      <w:r>
        <w:rPr>
          <w:rFonts w:ascii="仿宋" w:eastAsia="仿宋" w:hAnsi="仿宋" w:hint="eastAsia"/>
          <w:bCs/>
          <w:color w:val="000000"/>
          <w:sz w:val="24"/>
        </w:rPr>
        <w:t>。</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6.继续接受赎回申请可能对存量理财投资者利益构成潜在重大不利影响。</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7.法律法规规定或监管机构认定的其他情形。</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在暂停赎回的情形消除时，</w:t>
      </w:r>
      <w:r>
        <w:rPr>
          <w:rFonts w:ascii="仿宋" w:eastAsia="仿宋" w:hAnsi="仿宋" w:cs="宋体"/>
          <w:kern w:val="0"/>
          <w:sz w:val="24"/>
        </w:rPr>
        <w:t>管理人</w:t>
      </w:r>
      <w:r>
        <w:rPr>
          <w:rFonts w:ascii="仿宋" w:eastAsia="仿宋" w:hAnsi="仿宋" w:cs="宋体" w:hint="eastAsia"/>
          <w:kern w:val="0"/>
          <w:sz w:val="24"/>
        </w:rPr>
        <w:t>将</w:t>
      </w:r>
      <w:r>
        <w:rPr>
          <w:rFonts w:ascii="仿宋" w:eastAsia="仿宋" w:hAnsi="仿宋" w:cs="宋体" w:hint="eastAsia"/>
          <w:color w:val="000000"/>
          <w:kern w:val="0"/>
          <w:sz w:val="24"/>
        </w:rPr>
        <w:t>及时恢复办理赎回业务并公告。</w:t>
      </w:r>
    </w:p>
    <w:p w:rsidR="00E017F1" w:rsidRDefault="00375E1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本理财产品无赎回开放日，不受理投资者任何形式的赎回申请。</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例1：假设客户持有的本理财产品份额为200,000份，到期时若根据前述超额管理费条款，管理人不收取超额管理费，且产品到期日份额净值为1.0200，则客户获得金额为：200,000*1.0200=204,000.00元。</w:t>
      </w:r>
    </w:p>
    <w:p w:rsidR="00E017F1" w:rsidRDefault="00375E1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若根据前述超额管理费条款，管理人不收取超额管理费，且产品到期日份额净值为0.9980，则客户获得金额为：</w:t>
      </w:r>
      <w:r>
        <w:rPr>
          <w:rFonts w:ascii="仿宋" w:eastAsia="仿宋" w:hAnsi="仿宋" w:cs="宋体"/>
          <w:color w:val="000000"/>
          <w:kern w:val="0"/>
          <w:sz w:val="24"/>
        </w:rPr>
        <w:t>2</w:t>
      </w:r>
      <w:r>
        <w:rPr>
          <w:rFonts w:ascii="仿宋" w:eastAsia="仿宋" w:hAnsi="仿宋" w:cs="宋体" w:hint="eastAsia"/>
          <w:color w:val="000000"/>
          <w:kern w:val="0"/>
          <w:sz w:val="24"/>
        </w:rPr>
        <w:t>00,000*0.9980=</w:t>
      </w:r>
      <w:r>
        <w:rPr>
          <w:rFonts w:ascii="仿宋" w:eastAsia="仿宋" w:hAnsi="仿宋" w:cs="宋体"/>
          <w:color w:val="000000"/>
          <w:kern w:val="0"/>
          <w:sz w:val="24"/>
        </w:rPr>
        <w:t>199,600.00</w:t>
      </w:r>
      <w:r>
        <w:rPr>
          <w:rFonts w:ascii="仿宋" w:eastAsia="仿宋" w:hAnsi="仿宋" w:cs="宋体" w:hint="eastAsia"/>
          <w:color w:val="000000"/>
          <w:kern w:val="0"/>
          <w:sz w:val="24"/>
        </w:rPr>
        <w:t>元。</w:t>
      </w:r>
    </w:p>
    <w:p w:rsidR="00E017F1" w:rsidRDefault="00375E1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宋体" w:hint="eastAsia"/>
          <w:color w:val="000000"/>
          <w:kern w:val="0"/>
          <w:sz w:val="24"/>
        </w:rPr>
        <w:lastRenderedPageBreak/>
        <w:t>例2：客户在本理财产品的开放日申请购买了100,000元的本理财产品，如购买当日产品的份额净值为1.0110，则该笔购买申请确认后，该笔购买申请对应的理财产品份额为：100,000/1.0110=98,911.9</w:t>
      </w:r>
      <w:r>
        <w:rPr>
          <w:rFonts w:ascii="仿宋" w:eastAsia="仿宋" w:hAnsi="仿宋" w:cs="宋体"/>
          <w:color w:val="000000"/>
          <w:kern w:val="0"/>
          <w:sz w:val="24"/>
        </w:rPr>
        <w:t>7</w:t>
      </w:r>
      <w:r>
        <w:rPr>
          <w:rFonts w:ascii="仿宋" w:eastAsia="仿宋" w:hAnsi="仿宋" w:cs="宋体" w:hint="eastAsia"/>
          <w:color w:val="000000"/>
          <w:kern w:val="0"/>
          <w:sz w:val="24"/>
        </w:rPr>
        <w:t>份。</w:t>
      </w:r>
    </w:p>
    <w:p w:rsidR="00E017F1" w:rsidRDefault="00375E1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E017F1" w:rsidRDefault="00375E1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E017F1" w:rsidRDefault="00375E14">
      <w:pPr>
        <w:autoSpaceDE w:val="0"/>
        <w:autoSpaceDN w:val="0"/>
        <w:adjustRightInd w:val="0"/>
        <w:snapToGrid w:val="0"/>
        <w:spacing w:line="276" w:lineRule="auto"/>
        <w:ind w:firstLineChars="200" w:firstLine="482"/>
        <w:contextualSpacing/>
        <w:rPr>
          <w:rFonts w:eastAsia="黑体"/>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E017F1" w:rsidRDefault="00375E14">
      <w:pPr>
        <w:autoSpaceDE w:val="0"/>
        <w:autoSpaceDN w:val="0"/>
        <w:adjustRightInd w:val="0"/>
        <w:snapToGrid w:val="0"/>
        <w:spacing w:line="276" w:lineRule="auto"/>
        <w:ind w:firstLineChars="200" w:firstLine="482"/>
        <w:contextualSpacing/>
        <w:rPr>
          <w:rFonts w:eastAsia="黑体"/>
          <w:b/>
        </w:rPr>
      </w:pPr>
      <w:r>
        <w:rPr>
          <w:rFonts w:eastAsia="黑体" w:hint="eastAsia"/>
          <w:b/>
          <w:color w:val="000000"/>
          <w:sz w:val="24"/>
        </w:rPr>
        <w:t>本产品说明书中的任何业绩比较基准、收益示例或类似表述均不具有法律约束力，不代表投资者可能获得的实际收益，亦不构成华夏理财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003C25" w:rsidRDefault="00003C25" w:rsidP="00003C25">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003C25" w:rsidRDefault="00003C25" w:rsidP="00003C25">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003C25" w:rsidRDefault="00003C25" w:rsidP="00003C25">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003C25" w:rsidRDefault="00003C25" w:rsidP="00003C2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003C25" w:rsidRDefault="00003C25" w:rsidP="00003C25">
      <w:pPr>
        <w:widowControl/>
        <w:adjustRightInd w:val="0"/>
        <w:snapToGrid w:val="0"/>
        <w:spacing w:line="276" w:lineRule="auto"/>
        <w:ind w:firstLineChars="200" w:firstLine="420"/>
        <w:contextualSpacing/>
        <w:rPr>
          <w:rFonts w:ascii="仿宋" w:eastAsia="仿宋" w:hAnsi="仿宋"/>
        </w:rPr>
      </w:pPr>
      <w:r>
        <w:rPr>
          <w:rFonts w:ascii="仿宋" w:eastAsia="仿宋" w:hAnsi="仿宋" w:hint="eastAsia"/>
        </w:rPr>
        <w:t>（三）估值方法</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 证券交易所上市的有价证券</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 处于未上市期间的有价证券应区分如下情况处理：</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（2）首次公开发行未上市的股票、债券和权证，采用估值技术确定公允价值，在估值技术难以可靠计量公允价值的情况下，采用管理人和托管人共同认可的第三方机构提供的估值，或双方共同认可的估值；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 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 同一债券同时在两个或两个以上市场交易的，按债券所处的市场分别估值。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 证券投资基金的估值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 期货以估值日期货交易所的当日结算价估值，估值当日无结算价的，且最近交易日后经济环境未发生重大变化的，采用最近交易日结算价估值。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 汇率估值方法</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w:t>
      </w:r>
      <w:r>
        <w:rPr>
          <w:rFonts w:ascii="仿宋" w:eastAsia="仿宋" w:hAnsi="仿宋" w:cs="宋体" w:hint="eastAsia"/>
          <w:color w:val="000000"/>
          <w:kern w:val="0"/>
          <w:sz w:val="24"/>
        </w:rPr>
        <w:lastRenderedPageBreak/>
        <w:t>人民银行授权中国外汇交易中心估值日提供了该币种兑人民币的汇率，则取该汇率，如未有提供，以双方协商一致的原则确定汇率。</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10. 场内期权以估值日交易所的结算价估值，该日无交易的，以最近一日的结算价为准。</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11. 非标准化债权类资产采用估值技术确认公允价值，在估值技术难以可靠计量公允价值的情况下，按照管理人和托管人共同认可的估值。</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12.以摊</w:t>
      </w:r>
      <w:proofErr w:type="gramStart"/>
      <w:r>
        <w:rPr>
          <w:rFonts w:ascii="仿宋" w:eastAsia="仿宋" w:hAnsi="仿宋" w:cs="宋体" w:hint="eastAsia"/>
          <w:color w:val="000000"/>
          <w:kern w:val="0"/>
          <w:sz w:val="24"/>
        </w:rPr>
        <w:t>余成本</w:t>
      </w:r>
      <w:proofErr w:type="gramEnd"/>
      <w:r>
        <w:rPr>
          <w:rFonts w:ascii="仿宋" w:eastAsia="仿宋" w:hAnsi="仿宋" w:cs="宋体" w:hint="eastAsia"/>
          <w:color w:val="000000"/>
          <w:kern w:val="0"/>
          <w:sz w:val="24"/>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13. 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003C25" w:rsidRDefault="00003C25" w:rsidP="00003C2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14. 相关法律法规以及监管部门有强制规定的，从其规定。如有新增事项或变更事项，依法按最新规定计算。没有相关规定的，由产品管理人与托管人协商确定计算方法。</w:t>
      </w:r>
    </w:p>
    <w:p w:rsidR="00003C25" w:rsidRDefault="00003C25" w:rsidP="003B2288">
      <w:pPr>
        <w:widowControl/>
        <w:adjustRightInd w:val="0"/>
        <w:snapToGrid w:val="0"/>
        <w:spacing w:line="276" w:lineRule="auto"/>
        <w:ind w:firstLineChars="200" w:firstLine="480"/>
        <w:contextualSpacing/>
        <w:rPr>
          <w:rFonts w:ascii="仿宋" w:eastAsia="仿宋" w:hAnsi="仿宋" w:cs="宋体"/>
          <w:color w:val="000000"/>
          <w:kern w:val="0"/>
          <w:sz w:val="24"/>
        </w:rPr>
      </w:pPr>
      <w:r w:rsidRPr="003B2288">
        <w:rPr>
          <w:rFonts w:ascii="仿宋" w:eastAsia="仿宋" w:hAnsi="仿宋" w:cs="宋体" w:hint="eastAsia"/>
          <w:color w:val="000000"/>
          <w:kern w:val="0"/>
          <w:sz w:val="24"/>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E017F1" w:rsidRDefault="00375E14">
      <w:pPr>
        <w:autoSpaceDE w:val="0"/>
        <w:autoSpaceDN w:val="0"/>
        <w:adjustRightInd w:val="0"/>
        <w:snapToGrid w:val="0"/>
        <w:spacing w:line="276" w:lineRule="auto"/>
        <w:ind w:firstLineChars="200" w:firstLine="482"/>
        <w:contextualSpacing/>
        <w:outlineLvl w:val="1"/>
        <w:rPr>
          <w:rFonts w:ascii="仿宋" w:eastAsia="仿宋" w:hAnsi="仿宋" w:cs="宋体"/>
          <w:b/>
          <w:bCs/>
          <w:color w:val="000000"/>
          <w:kern w:val="0"/>
          <w:sz w:val="24"/>
        </w:rPr>
      </w:pPr>
      <w:r>
        <w:rPr>
          <w:rFonts w:ascii="仿宋" w:eastAsia="仿宋" w:hAnsi="仿宋" w:cs="宋体" w:hint="eastAsia"/>
          <w:b/>
          <w:bCs/>
          <w:color w:val="000000"/>
          <w:kern w:val="0"/>
          <w:sz w:val="24"/>
        </w:rPr>
        <w:t>以上“理财产品估值”章节所列的投资品种不代表本理财产品的实际投资范围，本产品实际可投资范围以本产品说明书“投资对象”章节列示为准。</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（四）暂停</w:t>
      </w:r>
      <w:r>
        <w:rPr>
          <w:rFonts w:ascii="仿宋" w:eastAsia="仿宋" w:hAnsi="仿宋" w:cs="宋体"/>
          <w:color w:val="000000"/>
          <w:kern w:val="0"/>
          <w:sz w:val="24"/>
        </w:rPr>
        <w:t>估值</w:t>
      </w:r>
    </w:p>
    <w:p w:rsidR="00E017F1" w:rsidRDefault="00375E14">
      <w:pPr>
        <w:pStyle w:val="Default"/>
        <w:snapToGrid w:val="0"/>
        <w:spacing w:line="276" w:lineRule="auto"/>
        <w:ind w:firstLine="482"/>
        <w:contextualSpacing/>
        <w:rPr>
          <w:rFonts w:ascii="仿宋" w:eastAsia="仿宋" w:hAnsi="仿宋"/>
          <w:b/>
          <w:bCs/>
        </w:rPr>
      </w:pPr>
      <w:r>
        <w:rPr>
          <w:rFonts w:ascii="仿宋" w:eastAsia="仿宋" w:hAnsi="仿宋" w:hint="eastAsia"/>
          <w:b/>
          <w:bCs/>
        </w:rPr>
        <w:t>在发生下列情形之一的，管理人可以暂停本理财产品估值：</w:t>
      </w:r>
    </w:p>
    <w:p w:rsidR="00E017F1" w:rsidRDefault="00375E1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E017F1" w:rsidRDefault="00375E1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E017F1" w:rsidRDefault="00375E14">
      <w:pPr>
        <w:pStyle w:val="Default"/>
        <w:snapToGrid w:val="0"/>
        <w:spacing w:line="276" w:lineRule="auto"/>
        <w:ind w:firstLineChars="200" w:firstLine="480"/>
        <w:contextualSpacing/>
        <w:rPr>
          <w:rFonts w:ascii="仿宋" w:eastAsia="仿宋" w:hAnsi="仿宋"/>
        </w:rPr>
      </w:pPr>
      <w:r>
        <w:rPr>
          <w:rFonts w:ascii="仿宋" w:eastAsia="仿宋" w:hAnsi="仿宋" w:hint="eastAsia"/>
        </w:rPr>
        <w:t>3.占前一估值</w:t>
      </w:r>
      <w:proofErr w:type="gramStart"/>
      <w:r>
        <w:rPr>
          <w:rFonts w:ascii="仿宋" w:eastAsia="仿宋" w:hAnsi="仿宋" w:hint="eastAsia"/>
        </w:rPr>
        <w:t>日资产</w:t>
      </w:r>
      <w:proofErr w:type="gramEnd"/>
      <w:r>
        <w:rPr>
          <w:rFonts w:ascii="仿宋" w:eastAsia="仿宋" w:hAnsi="仿宋" w:hint="eastAsia"/>
        </w:rPr>
        <w:t>净值50%以上的资产不具备活跃交易市场或者在活跃市场中无报价且采用估值技术</w:t>
      </w:r>
      <w:proofErr w:type="gramStart"/>
      <w:r>
        <w:rPr>
          <w:rFonts w:ascii="仿宋" w:eastAsia="仿宋" w:hAnsi="仿宋" w:hint="eastAsia"/>
        </w:rPr>
        <w:t>仍导致</w:t>
      </w:r>
      <w:proofErr w:type="gramEnd"/>
      <w:r>
        <w:rPr>
          <w:rFonts w:ascii="仿宋" w:eastAsia="仿宋" w:hAnsi="仿宋" w:hint="eastAsia"/>
        </w:rPr>
        <w:t>公允价值存在重大不确定性时，管理人为保障投资者的利益，经与托管人协商一致，理财产品应当暂停估值。</w:t>
      </w:r>
    </w:p>
    <w:p w:rsidR="00E017F1" w:rsidRDefault="00375E14">
      <w:pPr>
        <w:pStyle w:val="Default"/>
        <w:snapToGrid w:val="0"/>
        <w:spacing w:line="276" w:lineRule="auto"/>
        <w:ind w:firstLineChars="200" w:firstLine="480"/>
        <w:contextualSpacing/>
        <w:rPr>
          <w:rFonts w:ascii="仿宋" w:eastAsia="仿宋" w:hAnsi="仿宋"/>
        </w:rPr>
      </w:pPr>
      <w:r>
        <w:rPr>
          <w:rFonts w:ascii="仿宋" w:eastAsia="仿宋" w:hAnsi="仿宋" w:hint="eastAsia"/>
        </w:rPr>
        <w:t>4.监管机构认定或管理人、托管人有合理理由认为将影响本理财产品估值的其它情形。</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（五）</w:t>
      </w:r>
      <w:r>
        <w:rPr>
          <w:rFonts w:ascii="仿宋" w:eastAsia="仿宋" w:hAnsi="仿宋" w:cs="宋体"/>
          <w:color w:val="000000"/>
          <w:kern w:val="0"/>
          <w:sz w:val="24"/>
        </w:rPr>
        <w:t>估值</w:t>
      </w:r>
      <w:r>
        <w:rPr>
          <w:rFonts w:ascii="仿宋" w:eastAsia="仿宋" w:hAnsi="仿宋" w:cs="宋体" w:hint="eastAsia"/>
          <w:color w:val="000000"/>
          <w:kern w:val="0"/>
          <w:sz w:val="24"/>
        </w:rPr>
        <w:t>错误的</w:t>
      </w:r>
      <w:r>
        <w:rPr>
          <w:rFonts w:ascii="仿宋" w:eastAsia="仿宋" w:hAnsi="仿宋" w:cs="宋体"/>
          <w:color w:val="000000"/>
          <w:kern w:val="0"/>
          <w:sz w:val="24"/>
        </w:rPr>
        <w:t>处理</w:t>
      </w:r>
    </w:p>
    <w:p w:rsidR="00E017F1" w:rsidRDefault="00375E14">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rPr>
        <w:t>当估值出现错误时，因估值错误而获得不当得利的投资者负有及时返还不当得利的义务。</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八、</w:t>
      </w:r>
      <w:r>
        <w:rPr>
          <w:rFonts w:ascii="Times New Roman" w:eastAsia="黑体" w:cs="Times New Roman"/>
          <w:b/>
          <w:color w:val="auto"/>
        </w:rPr>
        <w:t>风险揭示</w:t>
      </w:r>
    </w:p>
    <w:p w:rsidR="00E017F1" w:rsidRDefault="00375E14">
      <w:pPr>
        <w:pStyle w:val="Default"/>
        <w:snapToGrid w:val="0"/>
        <w:spacing w:line="276" w:lineRule="auto"/>
        <w:ind w:firstLineChars="200" w:firstLine="480"/>
        <w:contextualSpacing/>
        <w:jc w:val="both"/>
        <w:rPr>
          <w:rFonts w:ascii="Times New Roman" w:eastAsia="黑体" w:cs="Times New Roman"/>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投资组合运作情况以及管理人投资能力等</w:t>
      </w:r>
      <w:r>
        <w:rPr>
          <w:rFonts w:ascii="Times New Roman" w:eastAsia="黑体" w:cs="Times New Roman"/>
          <w:b/>
        </w:rPr>
        <w:t>因素</w:t>
      </w:r>
      <w:r>
        <w:rPr>
          <w:rFonts w:ascii="Times New Roman" w:eastAsia="黑体" w:cs="Times New Roman" w:hint="eastAsia"/>
          <w:b/>
        </w:rPr>
        <w:t>的影响。在最不利的情况下，投资者可能无法获得理财产品投资收益，甚至损失全部理财本金，由此产生的风险由投资者自行承担。</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（二）信用风险：如理财产品</w:t>
      </w:r>
      <w:bookmarkStart w:id="1" w:name="_Hlk76300274"/>
      <w:r>
        <w:rPr>
          <w:rFonts w:ascii="Times New Roman" w:eastAsia="黑体" w:cs="Times New Roman" w:hint="eastAsia"/>
          <w:b/>
          <w:color w:val="auto"/>
        </w:rPr>
        <w:t>所投资的资产</w:t>
      </w:r>
      <w:bookmarkEnd w:id="1"/>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w:t>
      </w:r>
      <w:r>
        <w:rPr>
          <w:rFonts w:eastAsia="黑体"/>
          <w:b/>
        </w:rPr>
        <w:t>封闭期内</w:t>
      </w:r>
      <w:r>
        <w:rPr>
          <w:rFonts w:eastAsia="黑体" w:hint="eastAsia"/>
          <w:b/>
        </w:rPr>
        <w:t>管理人</w:t>
      </w:r>
      <w:r>
        <w:rPr>
          <w:rFonts w:eastAsia="黑体"/>
          <w:b/>
        </w:rPr>
        <w:t>不受理</w:t>
      </w:r>
      <w:r>
        <w:rPr>
          <w:rFonts w:eastAsia="黑体" w:hint="eastAsia"/>
          <w:b/>
        </w:rPr>
        <w:t>投资者</w:t>
      </w:r>
      <w:r>
        <w:rPr>
          <w:rFonts w:eastAsia="黑体"/>
          <w:b/>
        </w:rPr>
        <w:t>任何形式的提前赎回申请。以上情形均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lastRenderedPageBreak/>
        <w:t>有权宣布本理财产品不成立。</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情形，华夏理财有权提前终止本理财产品，投资者可能收益为零甚至损失理财本金。</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（十）延期风险：对于有确定到期日的理财产品，</w:t>
      </w:r>
      <w:r>
        <w:rPr>
          <w:rFonts w:eastAsia="黑体"/>
          <w:b/>
        </w:rPr>
        <w:t>如因与</w:t>
      </w:r>
      <w:r>
        <w:rPr>
          <w:rFonts w:eastAsia="黑体" w:hint="eastAsia"/>
          <w:b/>
        </w:rPr>
        <w:t>理财</w:t>
      </w:r>
      <w:r>
        <w:rPr>
          <w:rFonts w:eastAsia="黑体"/>
          <w:b/>
        </w:rPr>
        <w:t>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付理财</w:t>
      </w:r>
      <w:r>
        <w:rPr>
          <w:rFonts w:eastAsia="黑体"/>
          <w:b/>
        </w:rPr>
        <w:t>本金及收益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2"/>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。因投资者未及时告知导致的信息传递失败的风险由投资者自行承担。</w:t>
      </w:r>
    </w:p>
    <w:p w:rsidR="00E017F1" w:rsidRDefault="00375E14">
      <w:pPr>
        <w:pStyle w:val="Default"/>
        <w:snapToGrid w:val="0"/>
        <w:spacing w:line="276" w:lineRule="auto"/>
        <w:ind w:firstLine="482"/>
        <w:contextualSpacing/>
        <w:rPr>
          <w:rFonts w:ascii="Times New Roman" w:eastAsia="黑体" w:cs="Times New Roman"/>
          <w:b/>
          <w:color w:val="auto"/>
        </w:rPr>
      </w:pPr>
      <w:r>
        <w:rPr>
          <w:rFonts w:ascii="Times New Roman" w:eastAsia="黑体" w:cs="Times New Roman" w:hint="eastAsia"/>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（十三）拟投资市场及资产的流动性风险评估</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E017F1" w:rsidRDefault="00375E14">
      <w:pPr>
        <w:pStyle w:val="Default"/>
        <w:snapToGrid w:val="0"/>
        <w:spacing w:line="276" w:lineRule="auto"/>
        <w:ind w:firstLineChars="200" w:firstLine="482"/>
        <w:contextualSpacing/>
        <w:rPr>
          <w:rFonts w:ascii="仿宋" w:eastAsia="仿宋" w:hAnsi="仿宋"/>
          <w:bCs/>
          <w:szCs w:val="21"/>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1</w:t>
      </w:r>
      <w:r>
        <w:rPr>
          <w:rFonts w:ascii="Times New Roman" w:eastAsia="黑体" w:cs="Times New Roman" w:hint="eastAsia"/>
          <w:b/>
        </w:rPr>
        <w:t>．认（申）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应对措施及对投资者的潜在影响</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lastRenderedPageBreak/>
        <w:t>管理人将加强对本理财产品认（申）购环节的管理，合理控制理财产品投资者集中度，审慎确认大额认（申）购申请。当接受认（申）</w:t>
      </w:r>
      <w:proofErr w:type="gramStart"/>
      <w:r>
        <w:rPr>
          <w:rFonts w:ascii="Times New Roman" w:eastAsia="黑体" w:cs="Times New Roman" w:hint="eastAsia"/>
          <w:b/>
        </w:rPr>
        <w:t>购申请</w:t>
      </w:r>
      <w:proofErr w:type="gramEnd"/>
      <w:r>
        <w:rPr>
          <w:rFonts w:ascii="Times New Roman" w:eastAsia="黑体" w:cs="Times New Roman" w:hint="eastAsia"/>
          <w:b/>
        </w:rPr>
        <w:t>对存量理财产品投资者利益构成潜在重大不利影响时，管理人将采取设定单一投资者认（申）</w:t>
      </w:r>
      <w:proofErr w:type="gramStart"/>
      <w:r>
        <w:rPr>
          <w:rFonts w:ascii="Times New Roman" w:eastAsia="黑体" w:cs="Times New Roman" w:hint="eastAsia"/>
          <w:b/>
        </w:rPr>
        <w:t>购金额</w:t>
      </w:r>
      <w:proofErr w:type="gramEnd"/>
      <w:r>
        <w:rPr>
          <w:rFonts w:ascii="Times New Roman" w:eastAsia="黑体" w:cs="Times New Roman" w:hint="eastAsia"/>
          <w:b/>
        </w:rPr>
        <w:t>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当管理人采用认（申）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应对措施时，可能对投资者造成一定的潜在影响，包括但不限于不能认（申）</w:t>
      </w:r>
      <w:proofErr w:type="gramStart"/>
      <w:r>
        <w:rPr>
          <w:rFonts w:ascii="Times New Roman" w:eastAsia="黑体" w:cs="Times New Roman" w:hint="eastAsia"/>
          <w:b/>
        </w:rPr>
        <w:t>购本理财</w:t>
      </w:r>
      <w:proofErr w:type="gramEnd"/>
      <w:r>
        <w:rPr>
          <w:rFonts w:ascii="Times New Roman" w:eastAsia="黑体" w:cs="Times New Roman" w:hint="eastAsia"/>
          <w:b/>
        </w:rPr>
        <w:t>产品、认（申）</w:t>
      </w:r>
      <w:proofErr w:type="gramStart"/>
      <w:r>
        <w:rPr>
          <w:rFonts w:ascii="Times New Roman" w:eastAsia="黑体" w:cs="Times New Roman" w:hint="eastAsia"/>
          <w:b/>
        </w:rPr>
        <w:t>购交易</w:t>
      </w:r>
      <w:proofErr w:type="gramEnd"/>
      <w:r>
        <w:rPr>
          <w:rFonts w:ascii="Times New Roman" w:eastAsia="黑体" w:cs="Times New Roman" w:hint="eastAsia"/>
          <w:b/>
        </w:rPr>
        <w:t>全部或部分确认失败等。</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2</w:t>
      </w:r>
      <w:r>
        <w:rPr>
          <w:rFonts w:ascii="Times New Roman" w:eastAsia="黑体" w:cs="Times New Roman" w:hint="eastAsia"/>
          <w:b/>
        </w:rPr>
        <w:t>．赎回风险应对措施及对投资者的潜在影响</w:t>
      </w:r>
    </w:p>
    <w:p w:rsidR="00E017F1" w:rsidRDefault="00375E1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rsidR="00E017F1" w:rsidRDefault="00375E1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当管理人实施赎回流动性风险应对措施时，可能对投资者造成一定的潜在影响，包括但不限于赎回交易全部或部分确认失败、赎回款项延迟到账、增加</w:t>
      </w:r>
      <w:proofErr w:type="gramStart"/>
      <w:r>
        <w:rPr>
          <w:rFonts w:ascii="Times New Roman" w:eastAsia="黑体" w:cs="Times New Roman" w:hint="eastAsia"/>
          <w:b/>
        </w:rPr>
        <w:t>申赎成本</w:t>
      </w:r>
      <w:proofErr w:type="gramEnd"/>
      <w:r>
        <w:rPr>
          <w:rFonts w:ascii="Times New Roman" w:eastAsia="黑体" w:cs="Times New Roman" w:hint="eastAsia"/>
          <w:b/>
        </w:rPr>
        <w:t>或产生赎回费用等。</w:t>
      </w:r>
    </w:p>
    <w:p w:rsidR="00E017F1" w:rsidRDefault="00375E1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rPr>
        <w:t>（十五）其他风险：由于自然灾害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导致理财产品所投资资产收益降低或损失，甚至影响理财产品的受理、投资、偿还等的正常进行，进而影响理财产品的投资收益和本金安全</w:t>
      </w:r>
      <w:r w:rsidR="008F42FC">
        <w:rPr>
          <w:rFonts w:ascii="Times New Roman" w:eastAsia="黑体" w:cs="Times New Roman" w:hint="eastAsia"/>
          <w:b/>
        </w:rPr>
        <w:t>。</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E017F1" w:rsidRDefault="00375E14">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w:t>
      </w:r>
      <w:r>
        <w:rPr>
          <w:rFonts w:ascii="仿宋" w:eastAsia="仿宋" w:hAnsi="仿宋" w:cs="宋体" w:hint="eastAsia"/>
          <w:color w:val="000000"/>
          <w:kern w:val="0"/>
          <w:sz w:val="24"/>
        </w:rPr>
        <w:t>理财</w:t>
      </w:r>
      <w:r>
        <w:rPr>
          <w:rFonts w:ascii="仿宋" w:eastAsia="仿宋" w:hAnsi="仿宋" w:cs="宋体"/>
          <w:color w:val="000000"/>
          <w:kern w:val="0"/>
          <w:sz w:val="24"/>
        </w:rPr>
        <w:t>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。在理财产品季度、半年和年度报告中披露理财产品组</w:t>
      </w:r>
      <w:r>
        <w:rPr>
          <w:rFonts w:ascii="仿宋" w:eastAsia="仿宋" w:hAnsi="仿宋" w:cs="宋体" w:hint="eastAsia"/>
          <w:color w:val="000000"/>
          <w:kern w:val="0"/>
          <w:sz w:val="24"/>
        </w:rPr>
        <w:lastRenderedPageBreak/>
        <w:t>合资产情况及其流动性风险分析。</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w:t>
      </w:r>
      <w:r>
        <w:rPr>
          <w:rFonts w:ascii="仿宋" w:eastAsia="仿宋" w:hAnsi="仿宋" w:cs="宋体" w:hint="eastAsia"/>
          <w:color w:val="000000"/>
          <w:kern w:val="0"/>
          <w:sz w:val="24"/>
        </w:rPr>
        <w:t>通过本产品说明书约定的信息披露渠道发布相关公告</w:t>
      </w:r>
      <w:r>
        <w:rPr>
          <w:rFonts w:ascii="仿宋" w:eastAsia="仿宋" w:hAnsi="仿宋" w:cs="宋体"/>
          <w:color w:val="000000"/>
          <w:kern w:val="0"/>
          <w:sz w:val="24"/>
        </w:rPr>
        <w:t>。</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w:t>
      </w:r>
      <w:r>
        <w:rPr>
          <w:rFonts w:ascii="仿宋" w:eastAsia="仿宋" w:hAnsi="仿宋" w:cs="宋体"/>
          <w:kern w:val="0"/>
          <w:sz w:val="24"/>
        </w:rPr>
        <w:t>约定披露产品净值</w:t>
      </w:r>
      <w:r>
        <w:rPr>
          <w:rFonts w:ascii="仿宋" w:eastAsia="仿宋" w:hAnsi="仿宋" w:cs="宋体" w:hint="eastAsia"/>
          <w:kern w:val="0"/>
          <w:sz w:val="24"/>
        </w:rPr>
        <w:t>。</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（二）理财产品临时</w:t>
      </w:r>
      <w:r>
        <w:rPr>
          <w:rFonts w:ascii="仿宋" w:eastAsia="仿宋" w:hAnsi="仿宋" w:cs="宋体" w:hint="eastAsia"/>
          <w:color w:val="000000"/>
          <w:kern w:val="0"/>
          <w:sz w:val="24"/>
        </w:rPr>
        <w:t>性</w:t>
      </w:r>
      <w:r>
        <w:rPr>
          <w:rFonts w:ascii="仿宋" w:eastAsia="仿宋" w:hAnsi="仿宋" w:cs="宋体"/>
          <w:color w:val="000000"/>
          <w:kern w:val="0"/>
          <w:sz w:val="24"/>
        </w:rPr>
        <w:t>信息披露</w:t>
      </w:r>
      <w:r>
        <w:rPr>
          <w:rFonts w:ascii="仿宋" w:eastAsia="仿宋" w:hAnsi="仿宋" w:cs="宋体" w:hint="eastAsia"/>
          <w:color w:val="000000"/>
          <w:kern w:val="0"/>
          <w:sz w:val="24"/>
        </w:rPr>
        <w:t>及重大事项公告</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日内通过本产品说明书约定的信息披露渠道予以披露</w:t>
      </w:r>
      <w:r>
        <w:rPr>
          <w:rFonts w:ascii="仿宋" w:eastAsia="仿宋" w:hAnsi="仿宋" w:cs="宋体"/>
          <w:color w:val="000000"/>
          <w:kern w:val="0"/>
          <w:sz w:val="24"/>
        </w:rPr>
        <w:t>。</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w:t>
      </w:r>
      <w:r>
        <w:rPr>
          <w:rFonts w:ascii="仿宋" w:eastAsia="仿宋" w:hAnsi="仿宋" w:cs="宋体"/>
          <w:color w:val="000000"/>
          <w:kern w:val="0"/>
          <w:sz w:val="24"/>
        </w:rPr>
        <w:t>将于</w:t>
      </w:r>
      <w:r>
        <w:rPr>
          <w:rFonts w:ascii="仿宋" w:eastAsia="仿宋" w:hAnsi="仿宋" w:cs="宋体" w:hint="eastAsia"/>
          <w:color w:val="000000"/>
          <w:kern w:val="0"/>
          <w:sz w:val="24"/>
        </w:rPr>
        <w:t>上述调整生效</w:t>
      </w:r>
      <w:r>
        <w:rPr>
          <w:rFonts w:ascii="仿宋" w:eastAsia="仿宋" w:hAnsi="仿宋" w:cs="宋体"/>
          <w:color w:val="000000"/>
          <w:kern w:val="0"/>
          <w:sz w:val="24"/>
        </w:rPr>
        <w:t>日的前3个工作日</w:t>
      </w:r>
      <w:r>
        <w:rPr>
          <w:rFonts w:ascii="仿宋" w:eastAsia="仿宋" w:hAnsi="仿宋" w:cs="宋体" w:hint="eastAsia"/>
          <w:kern w:val="0"/>
          <w:sz w:val="24"/>
        </w:rPr>
        <w:t>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E017F1" w:rsidRDefault="00375E1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在发生涉及理财产品认（申）购、赎回事项调整或潜在影响投资者赎回等事项时，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color w:val="000000"/>
          <w:kern w:val="0"/>
          <w:sz w:val="24"/>
        </w:rPr>
        <w:t>本产品说明书约定的信息披露渠道</w:t>
      </w:r>
      <w:r>
        <w:rPr>
          <w:rFonts w:ascii="仿宋" w:eastAsia="仿宋" w:hAnsi="仿宋" w:cs="仿宋" w:hint="eastAsia"/>
          <w:kern w:val="0"/>
          <w:sz w:val="24"/>
        </w:rPr>
        <w:t>发布临时公告。</w:t>
      </w:r>
    </w:p>
    <w:p w:rsidR="00E017F1" w:rsidRDefault="00375E14">
      <w:pPr>
        <w:autoSpaceDE w:val="0"/>
        <w:autoSpaceDN w:val="0"/>
        <w:adjustRightInd w:val="0"/>
        <w:snapToGrid w:val="0"/>
        <w:spacing w:line="276" w:lineRule="auto"/>
        <w:ind w:firstLineChars="200" w:firstLine="480"/>
        <w:rPr>
          <w:rFonts w:ascii="仿宋" w:eastAsia="仿宋" w:hAnsi="仿宋" w:cs="仿宋"/>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在运用收取短期赎回费、摆动定价等措施后，</w:t>
      </w:r>
      <w:r>
        <w:rPr>
          <w:rFonts w:ascii="仿宋" w:eastAsia="仿宋" w:hAnsi="仿宋" w:cs="宋体" w:hint="eastAsia"/>
          <w:kern w:val="0"/>
          <w:sz w:val="24"/>
        </w:rPr>
        <w:t>管理人将</w:t>
      </w:r>
      <w:r>
        <w:rPr>
          <w:rFonts w:ascii="仿宋" w:eastAsia="仿宋" w:hAnsi="仿宋" w:cs="仿宋" w:hint="eastAsia"/>
          <w:kern w:val="0"/>
          <w:sz w:val="24"/>
        </w:rPr>
        <w:t>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7．</w:t>
      </w:r>
      <w:r>
        <w:rPr>
          <w:rFonts w:ascii="仿宋" w:eastAsia="仿宋" w:hAnsi="仿宋" w:cs="仿宋" w:hint="eastAsia"/>
          <w:kern w:val="0"/>
          <w:sz w:val="24"/>
        </w:rPr>
        <w:t>在运用暂停认（申）购、延期办理巨额赎回申请、暂停接受赎回申请、延缓支付赎回款项、暂停理财产品估值等措施后，</w:t>
      </w:r>
      <w:r>
        <w:rPr>
          <w:rFonts w:ascii="仿宋" w:eastAsia="仿宋" w:hAnsi="仿宋" w:cs="宋体" w:hint="eastAsia"/>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E017F1" w:rsidRDefault="00375E1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w:t>
      </w:r>
      <w:r>
        <w:rPr>
          <w:rFonts w:ascii="仿宋" w:eastAsia="仿宋" w:hAnsi="仿宋" w:cs="宋体"/>
          <w:b/>
          <w:kern w:val="0"/>
          <w:sz w:val="24"/>
        </w:rPr>
        <w:t>机构（如有）信息披露渠道</w:t>
      </w:r>
      <w:r>
        <w:rPr>
          <w:rFonts w:ascii="仿宋" w:eastAsia="仿宋" w:hAnsi="仿宋" w:cs="宋体" w:hint="eastAsia"/>
          <w:b/>
          <w:kern w:val="0"/>
          <w:sz w:val="24"/>
        </w:rPr>
        <w:t>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E017F1" w:rsidRDefault="00375E1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E017F1" w:rsidRDefault="00375E14">
      <w:pPr>
        <w:spacing w:afterLines="50" w:after="156" w:line="276" w:lineRule="auto"/>
        <w:ind w:firstLine="480"/>
        <w:contextualSpacing/>
        <w:rPr>
          <w:rFonts w:ascii="仿宋" w:eastAsia="仿宋" w:hAnsi="仿宋"/>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E017F1" w:rsidRDefault="00375E14">
      <w:pPr>
        <w:autoSpaceDE w:val="0"/>
        <w:autoSpaceDN w:val="0"/>
        <w:adjustRightInd w:val="0"/>
        <w:snapToGrid w:val="0"/>
        <w:spacing w:line="276" w:lineRule="auto"/>
        <w:ind w:firstLineChars="200" w:firstLine="482"/>
        <w:contextualSpacing/>
        <w:rPr>
          <w:rFonts w:ascii="黑体" w:eastAsia="黑体" w:hAnsi="黑体" w:cs="黑体"/>
          <w:b/>
          <w:bCs/>
          <w:color w:val="000000"/>
          <w:kern w:val="0"/>
          <w:sz w:val="24"/>
        </w:rPr>
      </w:pPr>
      <w:r>
        <w:rPr>
          <w:rFonts w:ascii="黑体" w:eastAsia="黑体" w:hAnsi="黑体" w:cs="黑体" w:hint="eastAsia"/>
          <w:b/>
          <w:bCs/>
          <w:color w:val="000000"/>
          <w:kern w:val="0"/>
          <w:sz w:val="24"/>
        </w:rPr>
        <w:lastRenderedPageBreak/>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E017F1" w:rsidRDefault="00375E1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E017F1" w:rsidRDefault="00375E14">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3" w:name="_Hlk76384810"/>
      <w:r>
        <w:rPr>
          <w:rFonts w:ascii="仿宋" w:eastAsia="仿宋" w:hAnsi="仿宋" w:cs="宋体" w:hint="eastAsia"/>
          <w:kern w:val="0"/>
          <w:sz w:val="24"/>
        </w:rPr>
        <w:t>华夏理财/代销机构</w:t>
      </w:r>
      <w:bookmarkEnd w:id="3"/>
      <w:r>
        <w:rPr>
          <w:rFonts w:ascii="仿宋" w:eastAsia="仿宋" w:hAnsi="仿宋" w:cs="宋体" w:hint="eastAsia"/>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rsidR="00E017F1" w:rsidRDefault="00375E1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bookmarkStart w:id="4" w:name="_GoBack"/>
      <w:bookmarkEnd w:id="4"/>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E017F1" w:rsidRDefault="00375E1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E017F1" w:rsidRDefault="00375E1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017F1" w:rsidRDefault="00E017F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017F1" w:rsidRDefault="00375E1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E017F1" w:rsidRDefault="00375E1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017F1" w:rsidRDefault="00375E1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E017F1" w:rsidRDefault="00375E1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管理人：华夏理财有限责任公司 </w:t>
      </w:r>
    </w:p>
    <w:p w:rsidR="00E017F1" w:rsidRDefault="00E017F1">
      <w:pPr>
        <w:autoSpaceDE w:val="0"/>
        <w:autoSpaceDN w:val="0"/>
        <w:adjustRightInd w:val="0"/>
        <w:snapToGrid w:val="0"/>
        <w:spacing w:line="276" w:lineRule="auto"/>
        <w:contextualSpacing/>
        <w:jc w:val="left"/>
        <w:rPr>
          <w:rFonts w:ascii="仿宋" w:eastAsia="仿宋" w:hAnsi="仿宋" w:cs="宋体"/>
          <w:color w:val="000000"/>
          <w:kern w:val="0"/>
          <w:sz w:val="24"/>
        </w:rPr>
      </w:pPr>
    </w:p>
    <w:p w:rsidR="00375E14" w:rsidRDefault="00375E14">
      <w:pPr>
        <w:autoSpaceDE w:val="0"/>
        <w:autoSpaceDN w:val="0"/>
        <w:adjustRightInd w:val="0"/>
        <w:snapToGrid w:val="0"/>
        <w:spacing w:line="276" w:lineRule="auto"/>
        <w:contextualSpacing/>
        <w:jc w:val="left"/>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sectPr w:rsidR="00375E14">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842" w:rsidRDefault="00453842">
      <w:pPr>
        <w:spacing w:line="240" w:lineRule="auto"/>
      </w:pPr>
      <w:r>
        <w:separator/>
      </w:r>
    </w:p>
  </w:endnote>
  <w:endnote w:type="continuationSeparator" w:id="0">
    <w:p w:rsidR="00453842" w:rsidRDefault="00453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842" w:rsidRDefault="00453842">
      <w:pPr>
        <w:spacing w:line="240" w:lineRule="auto"/>
      </w:pPr>
      <w:r>
        <w:separator/>
      </w:r>
    </w:p>
  </w:footnote>
  <w:footnote w:type="continuationSeparator" w:id="0">
    <w:p w:rsidR="00453842" w:rsidRDefault="004538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F1" w:rsidRDefault="00E017F1">
    <w:pPr>
      <w:pStyle w:val="a8"/>
      <w:pBdr>
        <w:bottom w:val="none" w:sz="0" w:space="1" w:color="auto"/>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FjNGM4MTU2NGYwYzU4Yzk0YTM2ZWYxMjcxYjBmZTAifQ=="/>
  </w:docVars>
  <w:rsids>
    <w:rsidRoot w:val="00172A27"/>
    <w:rsid w:val="00003C25"/>
    <w:rsid w:val="0001573B"/>
    <w:rsid w:val="00020F81"/>
    <w:rsid w:val="0004485A"/>
    <w:rsid w:val="00044B7F"/>
    <w:rsid w:val="0004783E"/>
    <w:rsid w:val="00063561"/>
    <w:rsid w:val="000713E1"/>
    <w:rsid w:val="000805E4"/>
    <w:rsid w:val="00085777"/>
    <w:rsid w:val="00092E28"/>
    <w:rsid w:val="000932F8"/>
    <w:rsid w:val="000973A7"/>
    <w:rsid w:val="000A0ED8"/>
    <w:rsid w:val="000A2EE9"/>
    <w:rsid w:val="000A3C07"/>
    <w:rsid w:val="000B2154"/>
    <w:rsid w:val="000B32CF"/>
    <w:rsid w:val="000C3FB4"/>
    <w:rsid w:val="000D002A"/>
    <w:rsid w:val="000D7DE2"/>
    <w:rsid w:val="000E195A"/>
    <w:rsid w:val="000F0D8C"/>
    <w:rsid w:val="00111BDB"/>
    <w:rsid w:val="0011683A"/>
    <w:rsid w:val="001260F4"/>
    <w:rsid w:val="001318D7"/>
    <w:rsid w:val="00141481"/>
    <w:rsid w:val="001414C6"/>
    <w:rsid w:val="001417FA"/>
    <w:rsid w:val="001423F3"/>
    <w:rsid w:val="00142652"/>
    <w:rsid w:val="00146323"/>
    <w:rsid w:val="00150200"/>
    <w:rsid w:val="00167A6E"/>
    <w:rsid w:val="00170760"/>
    <w:rsid w:val="00172A27"/>
    <w:rsid w:val="00191695"/>
    <w:rsid w:val="001B29E5"/>
    <w:rsid w:val="001B2C46"/>
    <w:rsid w:val="001E4307"/>
    <w:rsid w:val="001F21AD"/>
    <w:rsid w:val="001F22F3"/>
    <w:rsid w:val="001F3BC0"/>
    <w:rsid w:val="001F4C9F"/>
    <w:rsid w:val="00203B96"/>
    <w:rsid w:val="002058B3"/>
    <w:rsid w:val="00214B23"/>
    <w:rsid w:val="00216CAD"/>
    <w:rsid w:val="002473CD"/>
    <w:rsid w:val="00265998"/>
    <w:rsid w:val="00293AA7"/>
    <w:rsid w:val="00294355"/>
    <w:rsid w:val="002A2967"/>
    <w:rsid w:val="002A2FEF"/>
    <w:rsid w:val="002A4E2A"/>
    <w:rsid w:val="002C49D2"/>
    <w:rsid w:val="002C59D9"/>
    <w:rsid w:val="002C7F16"/>
    <w:rsid w:val="002D6897"/>
    <w:rsid w:val="002E5919"/>
    <w:rsid w:val="002E7F9D"/>
    <w:rsid w:val="00311EF5"/>
    <w:rsid w:val="003248AF"/>
    <w:rsid w:val="00351C38"/>
    <w:rsid w:val="003522B1"/>
    <w:rsid w:val="00365E5C"/>
    <w:rsid w:val="00367563"/>
    <w:rsid w:val="00375E14"/>
    <w:rsid w:val="003923B3"/>
    <w:rsid w:val="003B2288"/>
    <w:rsid w:val="003B43C0"/>
    <w:rsid w:val="003C0388"/>
    <w:rsid w:val="003C1EC5"/>
    <w:rsid w:val="003C51E8"/>
    <w:rsid w:val="003D55AF"/>
    <w:rsid w:val="003D65A8"/>
    <w:rsid w:val="003E4BEB"/>
    <w:rsid w:val="003F5AF4"/>
    <w:rsid w:val="003F6114"/>
    <w:rsid w:val="004021F4"/>
    <w:rsid w:val="00415D67"/>
    <w:rsid w:val="0042748A"/>
    <w:rsid w:val="0043490E"/>
    <w:rsid w:val="00440344"/>
    <w:rsid w:val="00453842"/>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C3366"/>
    <w:rsid w:val="007D5D95"/>
    <w:rsid w:val="007F32C1"/>
    <w:rsid w:val="008137C7"/>
    <w:rsid w:val="0082432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CCA"/>
    <w:rsid w:val="008D5F85"/>
    <w:rsid w:val="008E0C40"/>
    <w:rsid w:val="008F42FC"/>
    <w:rsid w:val="008F6891"/>
    <w:rsid w:val="00902123"/>
    <w:rsid w:val="00916782"/>
    <w:rsid w:val="009267C7"/>
    <w:rsid w:val="00971A91"/>
    <w:rsid w:val="00972105"/>
    <w:rsid w:val="00974013"/>
    <w:rsid w:val="00991FA8"/>
    <w:rsid w:val="009941FD"/>
    <w:rsid w:val="009A3572"/>
    <w:rsid w:val="009A3901"/>
    <w:rsid w:val="009A5350"/>
    <w:rsid w:val="009C0A85"/>
    <w:rsid w:val="009C16E3"/>
    <w:rsid w:val="009C4B76"/>
    <w:rsid w:val="009C5840"/>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C498C"/>
    <w:rsid w:val="00AD7FE0"/>
    <w:rsid w:val="00AE1B0B"/>
    <w:rsid w:val="00AF3F07"/>
    <w:rsid w:val="00B0003E"/>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6C20"/>
    <w:rsid w:val="00D31F9E"/>
    <w:rsid w:val="00D32516"/>
    <w:rsid w:val="00D3392B"/>
    <w:rsid w:val="00D34745"/>
    <w:rsid w:val="00D65353"/>
    <w:rsid w:val="00D71E38"/>
    <w:rsid w:val="00D86E74"/>
    <w:rsid w:val="00D87E03"/>
    <w:rsid w:val="00D919BF"/>
    <w:rsid w:val="00DA36BD"/>
    <w:rsid w:val="00DC1E4F"/>
    <w:rsid w:val="00DC3F67"/>
    <w:rsid w:val="00DC602D"/>
    <w:rsid w:val="00DD6242"/>
    <w:rsid w:val="00DE1921"/>
    <w:rsid w:val="00DE2987"/>
    <w:rsid w:val="00DF0967"/>
    <w:rsid w:val="00E017F1"/>
    <w:rsid w:val="00E10453"/>
    <w:rsid w:val="00E44569"/>
    <w:rsid w:val="00E46D53"/>
    <w:rsid w:val="00E64B82"/>
    <w:rsid w:val="00E80D04"/>
    <w:rsid w:val="00E816F5"/>
    <w:rsid w:val="00E879FF"/>
    <w:rsid w:val="00E95A0F"/>
    <w:rsid w:val="00E96699"/>
    <w:rsid w:val="00EB07F6"/>
    <w:rsid w:val="00EE1D7F"/>
    <w:rsid w:val="00EE7A2F"/>
    <w:rsid w:val="00F1550F"/>
    <w:rsid w:val="00F15940"/>
    <w:rsid w:val="00F36652"/>
    <w:rsid w:val="00F37C88"/>
    <w:rsid w:val="00F444A8"/>
    <w:rsid w:val="00F56D69"/>
    <w:rsid w:val="00F9415B"/>
    <w:rsid w:val="00F96177"/>
    <w:rsid w:val="00FA5902"/>
    <w:rsid w:val="00FC1677"/>
    <w:rsid w:val="00FD2903"/>
    <w:rsid w:val="00FE1291"/>
    <w:rsid w:val="00FE482B"/>
    <w:rsid w:val="00FF56AD"/>
    <w:rsid w:val="010304E8"/>
    <w:rsid w:val="018D5F51"/>
    <w:rsid w:val="01EB6FEC"/>
    <w:rsid w:val="01FE5EB7"/>
    <w:rsid w:val="02377743"/>
    <w:rsid w:val="03204429"/>
    <w:rsid w:val="03DB06FE"/>
    <w:rsid w:val="04351833"/>
    <w:rsid w:val="04B16B62"/>
    <w:rsid w:val="05215177"/>
    <w:rsid w:val="054A5192"/>
    <w:rsid w:val="05BB571F"/>
    <w:rsid w:val="062067C9"/>
    <w:rsid w:val="08497BE8"/>
    <w:rsid w:val="087A37FC"/>
    <w:rsid w:val="08961A5A"/>
    <w:rsid w:val="08A96CC2"/>
    <w:rsid w:val="08F619C1"/>
    <w:rsid w:val="095345F4"/>
    <w:rsid w:val="09E63499"/>
    <w:rsid w:val="0A0F44CD"/>
    <w:rsid w:val="0A2F0E4D"/>
    <w:rsid w:val="0AA97A8C"/>
    <w:rsid w:val="0B047D48"/>
    <w:rsid w:val="0B696845"/>
    <w:rsid w:val="0B9C5D9B"/>
    <w:rsid w:val="0BA27F6B"/>
    <w:rsid w:val="0C490CC3"/>
    <w:rsid w:val="0C510FA4"/>
    <w:rsid w:val="0C7A12C2"/>
    <w:rsid w:val="0C9E5955"/>
    <w:rsid w:val="0D511F69"/>
    <w:rsid w:val="0DC52C23"/>
    <w:rsid w:val="0DC653B7"/>
    <w:rsid w:val="0DF70178"/>
    <w:rsid w:val="0E247DD8"/>
    <w:rsid w:val="0E3C3C0F"/>
    <w:rsid w:val="0E8143FC"/>
    <w:rsid w:val="0EBE477B"/>
    <w:rsid w:val="0F2862EC"/>
    <w:rsid w:val="0F6D0551"/>
    <w:rsid w:val="0FD93279"/>
    <w:rsid w:val="0FE53808"/>
    <w:rsid w:val="1031679E"/>
    <w:rsid w:val="117C0D4E"/>
    <w:rsid w:val="11B162FD"/>
    <w:rsid w:val="11BB3DB9"/>
    <w:rsid w:val="11CB222C"/>
    <w:rsid w:val="11D21B30"/>
    <w:rsid w:val="121940A5"/>
    <w:rsid w:val="123B658C"/>
    <w:rsid w:val="12745A53"/>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6F1F45"/>
    <w:rsid w:val="16800450"/>
    <w:rsid w:val="169510B8"/>
    <w:rsid w:val="16DD4AF1"/>
    <w:rsid w:val="170A0D35"/>
    <w:rsid w:val="17322FFC"/>
    <w:rsid w:val="174C5C47"/>
    <w:rsid w:val="178D27B4"/>
    <w:rsid w:val="182014A2"/>
    <w:rsid w:val="18294E04"/>
    <w:rsid w:val="185276F3"/>
    <w:rsid w:val="1892050E"/>
    <w:rsid w:val="18D80C51"/>
    <w:rsid w:val="18EE0BF6"/>
    <w:rsid w:val="18F60201"/>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76767C"/>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124DEA"/>
    <w:rsid w:val="2B3649F4"/>
    <w:rsid w:val="2B3A7D52"/>
    <w:rsid w:val="2B4675FA"/>
    <w:rsid w:val="2BB602C5"/>
    <w:rsid w:val="2BD85FC4"/>
    <w:rsid w:val="2BE937E9"/>
    <w:rsid w:val="2BF50AB4"/>
    <w:rsid w:val="2BFA0E70"/>
    <w:rsid w:val="2CDB7E63"/>
    <w:rsid w:val="2D434FF8"/>
    <w:rsid w:val="2DA05DCE"/>
    <w:rsid w:val="2EC208DF"/>
    <w:rsid w:val="2EF8259B"/>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236B3F"/>
    <w:rsid w:val="3232204B"/>
    <w:rsid w:val="323649A0"/>
    <w:rsid w:val="329A0B6A"/>
    <w:rsid w:val="32C642E9"/>
    <w:rsid w:val="330A495A"/>
    <w:rsid w:val="332573C9"/>
    <w:rsid w:val="338406B7"/>
    <w:rsid w:val="34477241"/>
    <w:rsid w:val="34854AB1"/>
    <w:rsid w:val="34A63F82"/>
    <w:rsid w:val="350A7012"/>
    <w:rsid w:val="36003080"/>
    <w:rsid w:val="360161F0"/>
    <w:rsid w:val="36050641"/>
    <w:rsid w:val="36365F0F"/>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CA44C74"/>
    <w:rsid w:val="3D2A5959"/>
    <w:rsid w:val="3D3B3330"/>
    <w:rsid w:val="3E1D00E4"/>
    <w:rsid w:val="3EEA1A18"/>
    <w:rsid w:val="3F7A3BA7"/>
    <w:rsid w:val="3F857305"/>
    <w:rsid w:val="3F9148EF"/>
    <w:rsid w:val="3F996600"/>
    <w:rsid w:val="4071483C"/>
    <w:rsid w:val="40897331"/>
    <w:rsid w:val="40A300AE"/>
    <w:rsid w:val="40DD3147"/>
    <w:rsid w:val="41450ED1"/>
    <w:rsid w:val="419803FF"/>
    <w:rsid w:val="41A75327"/>
    <w:rsid w:val="41DE07D6"/>
    <w:rsid w:val="425932C8"/>
    <w:rsid w:val="42726493"/>
    <w:rsid w:val="42FB382F"/>
    <w:rsid w:val="434F08E3"/>
    <w:rsid w:val="436469F4"/>
    <w:rsid w:val="44181054"/>
    <w:rsid w:val="44866415"/>
    <w:rsid w:val="44C2436C"/>
    <w:rsid w:val="44D90650"/>
    <w:rsid w:val="45225B34"/>
    <w:rsid w:val="453F0192"/>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4E65F3"/>
    <w:rsid w:val="51713776"/>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F562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6C0E57"/>
    <w:rsid w:val="59AD702D"/>
    <w:rsid w:val="59D14CC4"/>
    <w:rsid w:val="59E7688C"/>
    <w:rsid w:val="59FF73A2"/>
    <w:rsid w:val="5A945937"/>
    <w:rsid w:val="5AA340C2"/>
    <w:rsid w:val="5AB6501F"/>
    <w:rsid w:val="5B4361C9"/>
    <w:rsid w:val="5B9E1D5B"/>
    <w:rsid w:val="5BA64252"/>
    <w:rsid w:val="5BCB323C"/>
    <w:rsid w:val="5C083989"/>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1F1723C"/>
    <w:rsid w:val="620D6B6D"/>
    <w:rsid w:val="6210426E"/>
    <w:rsid w:val="625C0D00"/>
    <w:rsid w:val="62832265"/>
    <w:rsid w:val="62B00797"/>
    <w:rsid w:val="62CA41E4"/>
    <w:rsid w:val="63110999"/>
    <w:rsid w:val="63216D47"/>
    <w:rsid w:val="63510BEE"/>
    <w:rsid w:val="638119A8"/>
    <w:rsid w:val="639107D6"/>
    <w:rsid w:val="642D51FD"/>
    <w:rsid w:val="642E3652"/>
    <w:rsid w:val="644E4B1D"/>
    <w:rsid w:val="64651B49"/>
    <w:rsid w:val="6500463F"/>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D51554"/>
    <w:rsid w:val="6AF542A4"/>
    <w:rsid w:val="6B832B04"/>
    <w:rsid w:val="6BD916EE"/>
    <w:rsid w:val="6C194573"/>
    <w:rsid w:val="6CCA1A7F"/>
    <w:rsid w:val="6DD805CD"/>
    <w:rsid w:val="6E035291"/>
    <w:rsid w:val="6E1206A4"/>
    <w:rsid w:val="6E306FE2"/>
    <w:rsid w:val="6E5A3D7E"/>
    <w:rsid w:val="6E8F1B46"/>
    <w:rsid w:val="6EBA7775"/>
    <w:rsid w:val="6F2A116E"/>
    <w:rsid w:val="6F795870"/>
    <w:rsid w:val="6F992C36"/>
    <w:rsid w:val="703933A1"/>
    <w:rsid w:val="704E185C"/>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8A42D6"/>
    <w:rsid w:val="75F14B52"/>
    <w:rsid w:val="75F80517"/>
    <w:rsid w:val="75F95482"/>
    <w:rsid w:val="762B2264"/>
    <w:rsid w:val="7633094E"/>
    <w:rsid w:val="763D3893"/>
    <w:rsid w:val="766248A9"/>
    <w:rsid w:val="76C57715"/>
    <w:rsid w:val="76D0751B"/>
    <w:rsid w:val="76E27EE7"/>
    <w:rsid w:val="76E6192C"/>
    <w:rsid w:val="771479EA"/>
    <w:rsid w:val="771C35A1"/>
    <w:rsid w:val="7730512A"/>
    <w:rsid w:val="77A03719"/>
    <w:rsid w:val="781F3664"/>
    <w:rsid w:val="78280CD8"/>
    <w:rsid w:val="784D14BC"/>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BFE28B9"/>
    <w:rsid w:val="7C157916"/>
    <w:rsid w:val="7C4B2499"/>
    <w:rsid w:val="7C691A6C"/>
    <w:rsid w:val="7C721F5F"/>
    <w:rsid w:val="7C7D36C4"/>
    <w:rsid w:val="7DAD733C"/>
    <w:rsid w:val="7E431677"/>
    <w:rsid w:val="7E5572E2"/>
    <w:rsid w:val="7E871182"/>
    <w:rsid w:val="7E9D3347"/>
    <w:rsid w:val="7ED67996"/>
    <w:rsid w:val="7EFE58EB"/>
    <w:rsid w:val="7F0171EB"/>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6EE460A0-E834-442B-8C77-B7FA3ED8E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Body Text Indent 2"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81">
    <w:name w:val="font81"/>
    <w:rPr>
      <w:rFonts w:ascii="微软简仿宋" w:eastAsia="微软简仿宋" w:hAnsi="微软简仿宋" w:cs="微软简仿宋" w:hint="default"/>
      <w:color w:val="000000"/>
      <w:sz w:val="24"/>
      <w:szCs w:val="24"/>
      <w:u w:val="none"/>
    </w:rPr>
  </w:style>
  <w:style w:type="character" w:customStyle="1" w:styleId="font01">
    <w:name w:val="font01"/>
    <w:qFormat/>
    <w:rPr>
      <w:rFonts w:ascii="Times New Roman" w:hAnsi="Times New Roman" w:cs="Times New Roman" w:hint="default"/>
      <w:color w:val="000000"/>
      <w:sz w:val="24"/>
      <w:szCs w:val="24"/>
      <w:u w:val="none"/>
    </w:rPr>
  </w:style>
  <w:style w:type="character" w:customStyle="1" w:styleId="font51">
    <w:name w:val="font51"/>
    <w:qFormat/>
    <w:rPr>
      <w:rFonts w:ascii="Times New Roman" w:hAnsi="Times New Roman" w:cs="Times New Roman" w:hint="default"/>
      <w:color w:val="000000"/>
      <w:sz w:val="24"/>
      <w:szCs w:val="24"/>
      <w:u w:val="none"/>
    </w:rPr>
  </w:style>
  <w:style w:type="character" w:styleId="a3">
    <w:name w:val="annotation reference"/>
    <w:qFormat/>
    <w:rPr>
      <w:sz w:val="21"/>
      <w:szCs w:val="21"/>
    </w:rPr>
  </w:style>
  <w:style w:type="character" w:customStyle="1" w:styleId="font11">
    <w:name w:val="font11"/>
    <w:qFormat/>
    <w:rPr>
      <w:rFonts w:ascii="微软简仿宋" w:eastAsia="微软简仿宋" w:hAnsi="微软简仿宋" w:cs="微软简仿宋" w:hint="default"/>
      <w:color w:val="000000"/>
      <w:sz w:val="24"/>
      <w:szCs w:val="24"/>
      <w:u w:val="none"/>
    </w:rPr>
  </w:style>
  <w:style w:type="paragraph" w:customStyle="1" w:styleId="10">
    <w:name w:val="修订1"/>
    <w:uiPriority w:val="99"/>
    <w:unhideWhenUsed/>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4">
    <w:name w:val="footer"/>
    <w:basedOn w:val="a"/>
    <w:unhideWhenUsed/>
    <w:qFormat/>
    <w:pPr>
      <w:tabs>
        <w:tab w:val="center" w:pos="4153"/>
        <w:tab w:val="right" w:pos="8306"/>
      </w:tabs>
      <w:snapToGrid w:val="0"/>
      <w:jc w:val="left"/>
    </w:pPr>
    <w:rPr>
      <w:sz w:val="18"/>
      <w:szCs w:val="20"/>
    </w:rPr>
  </w:style>
  <w:style w:type="paragraph" w:styleId="a5">
    <w:name w:val="Balloon Text"/>
    <w:basedOn w:val="a"/>
    <w:semiHidden/>
    <w:qFormat/>
    <w:rPr>
      <w:sz w:val="18"/>
      <w:szCs w:val="18"/>
    </w:rPr>
  </w:style>
  <w:style w:type="paragraph" w:styleId="20">
    <w:name w:val="Body Text Indent 2"/>
    <w:basedOn w:val="a"/>
    <w:unhideWhenUsed/>
    <w:qFormat/>
    <w:pPr>
      <w:ind w:firstLine="600"/>
    </w:pPr>
    <w:rPr>
      <w:kern w:val="0"/>
      <w:sz w:val="24"/>
    </w:rPr>
  </w:style>
  <w:style w:type="paragraph" w:styleId="a6">
    <w:name w:val="Body Text Indent"/>
    <w:basedOn w:val="a"/>
    <w:unhideWhenUsed/>
    <w:qFormat/>
    <w:pPr>
      <w:ind w:firstLine="630"/>
    </w:pPr>
    <w:rPr>
      <w:kern w:val="0"/>
      <w:sz w:val="24"/>
    </w:rPr>
  </w:style>
  <w:style w:type="paragraph" w:styleId="a7">
    <w:name w:val="annotation text"/>
    <w:basedOn w:val="a"/>
    <w:qFormat/>
    <w:pPr>
      <w:jc w:val="left"/>
    </w:p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20"/>
    </w:rPr>
  </w:style>
  <w:style w:type="paragraph" w:customStyle="1" w:styleId="p0">
    <w:name w:val="p0"/>
    <w:basedOn w:val="a"/>
    <w:qFormat/>
    <w:pPr>
      <w:widowControl/>
    </w:pPr>
    <w:rPr>
      <w:kern w:val="0"/>
      <w:szCs w:val="21"/>
    </w:rPr>
  </w:style>
  <w:style w:type="paragraph" w:customStyle="1" w:styleId="21">
    <w:name w:val="修订2"/>
    <w:uiPriority w:val="99"/>
    <w:semiHidden/>
    <w:qFormat/>
    <w:rPr>
      <w:kern w:val="2"/>
      <w:sz w:val="21"/>
      <w:szCs w:val="24"/>
    </w:rPr>
  </w:style>
  <w:style w:type="paragraph" w:customStyle="1" w:styleId="A9">
    <w:name w:val="正文 A"/>
    <w:qFormat/>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customStyle="1" w:styleId="YJH-nei">
    <w:name w:val="YJH-nei"/>
    <w:qFormat/>
    <w:pPr>
      <w:spacing w:line="600" w:lineRule="exact"/>
      <w:ind w:firstLineChars="200" w:firstLine="200"/>
    </w:pPr>
    <w:rPr>
      <w:rFonts w:ascii="仿宋_GB2312" w:eastAsia="仿宋_GB2312" w:hAnsi="宋体"/>
      <w:sz w:val="30"/>
      <w:szCs w:val="30"/>
    </w:rPr>
  </w:style>
  <w:style w:type="table" w:styleId="aa">
    <w:name w:val="Table Grid"/>
    <w:basedOn w:val="a1"/>
    <w:unhideWhenUsed/>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2745</Words>
  <Characters>15652</Characters>
  <Application>Microsoft Office Word</Application>
  <DocSecurity>0</DocSecurity>
  <PresentationFormat/>
  <Lines>130</Lines>
  <Paragraphs>36</Paragraphs>
  <Slides>0</Slides>
  <Notes>0</Notes>
  <HiddenSlides>0</HiddenSlides>
  <MMClips>0</MMClips>
  <ScaleCrop>false</ScaleCrop>
  <Manager/>
  <Company>华夏银行总行</Company>
  <LinksUpToDate>false</LinksUpToDate>
  <CharactersWithSpaces>18361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华夏理财悦享三年期</dc:title>
  <dc:subject/>
  <dc:creator>ylh</dc:creator>
  <cp:keywords>23-4</cp:keywords>
  <dc:description/>
  <cp:lastModifiedBy>产品营销部</cp:lastModifiedBy>
  <cp:revision>3</cp:revision>
  <cp:lastPrinted>2022-09-13T10:17:00Z</cp:lastPrinted>
  <dcterms:created xsi:type="dcterms:W3CDTF">2023-03-29T07:50:00Z</dcterms:created>
  <dcterms:modified xsi:type="dcterms:W3CDTF">2023-03-29T07:50:00Z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