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eastAsia="黑体"/>
          <w:bCs/>
          <w:sz w:val="36"/>
          <w:szCs w:val="36"/>
        </w:rPr>
      </w:pPr>
      <w:r>
        <w:rPr>
          <w:rFonts w:hint="eastAsia" w:eastAsia="黑体"/>
          <w:bCs/>
          <w:sz w:val="36"/>
          <w:szCs w:val="36"/>
        </w:rPr>
        <w:t>华夏理财跃盈封闭式理财产品6号说明书</w:t>
      </w:r>
    </w:p>
    <w:p>
      <w:pPr>
        <w:pStyle w:val="3"/>
        <w:widowControl/>
        <w:spacing w:line="240" w:lineRule="auto"/>
        <w:ind w:firstLine="0"/>
        <w:jc w:val="center"/>
        <w:rPr>
          <w:rFonts w:eastAsia="黑体"/>
          <w:bCs/>
          <w:sz w:val="36"/>
          <w:szCs w:val="36"/>
        </w:rPr>
      </w:pPr>
    </w:p>
    <w:tbl>
      <w:tblPr>
        <w:tblStyle w:val="8"/>
        <w:tblW w:w="8569"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8"/>
        <w:tblW w:w="9134"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华夏理财跃盈封闭式理财产品6号</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产品简称“华夏理财跃盈6号181天（中证1000鲨鱼鳍）”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23121606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Z7003923000083</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若观察日产品关联指数发生敲出事件，则业绩比较基准（年化）为</w:t>
            </w:r>
            <w:r>
              <w:rPr>
                <w:rFonts w:ascii="仿宋" w:hAnsi="仿宋" w:eastAsia="仿宋" w:cs="Cambria"/>
                <w:bCs/>
                <w:szCs w:val="21"/>
              </w:rPr>
              <w:t>4.20%</w:t>
            </w:r>
            <w:r>
              <w:rPr>
                <w:rFonts w:hint="eastAsia" w:ascii="仿宋" w:hAnsi="仿宋" w:eastAsia="仿宋" w:cs="Cambria"/>
                <w:bCs/>
                <w:szCs w:val="21"/>
              </w:rPr>
              <w:t>；若观察日产品关联指数未发生敲出事件，则产品业绩比较基准（年化）为1.50%-</w:t>
            </w:r>
            <w:r>
              <w:rPr>
                <w:rFonts w:ascii="仿宋" w:hAnsi="仿宋" w:eastAsia="仿宋" w:cs="Cambria"/>
                <w:bCs/>
                <w:szCs w:val="21"/>
              </w:rPr>
              <w:t>5.50%</w:t>
            </w:r>
            <w:r>
              <w:rPr>
                <w:rFonts w:hint="eastAsia" w:ascii="仿宋" w:hAnsi="仿宋" w:eastAsia="仿宋" w:cs="Cambria"/>
                <w:bCs/>
                <w:szCs w:val="21"/>
              </w:rPr>
              <w:t>。以产品债券类资产仓位60%-70%，收益凭证等非标债权类资产仓位30%-40%为例，参考久期匹配的目标债券到期收益率、收益凭证的收益结构，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华夏理财有权根据市场情况及产品运作情况调整业绩比较基准，并至少于新业绩比较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3" w:colFirst="1" w:colLast="1"/>
            <w:bookmarkStart w:id="3" w:name="_Hlk290294163"/>
            <w:bookmarkStart w:id="4" w:name="OLE_LINK2" w:colFirst="1" w:colLast="1"/>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2023年4月12日</w:t>
            </w:r>
            <w:r>
              <w:rPr>
                <w:rFonts w:ascii="仿宋" w:hAnsi="仿宋" w:eastAsia="仿宋"/>
                <w:bCs/>
                <w:szCs w:val="21"/>
              </w:rPr>
              <w:t>－</w:t>
            </w:r>
            <w:r>
              <w:rPr>
                <w:rFonts w:hint="eastAsia" w:ascii="仿宋" w:hAnsi="仿宋" w:eastAsia="仿宋"/>
                <w:bCs/>
                <w:szCs w:val="21"/>
              </w:rPr>
              <w:t>2023年4月18日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2023年4月19日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181</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2023年10月17日理财产品正常到期，到期日如为非工作日，则顺延至下一工作日。如理财产品因故提前或延迟到期的，则终止日以华夏理财发布的公告为准。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keepNext/>
              <w:adjustRightInd w:val="0"/>
              <w:snapToGrid w:val="0"/>
              <w:spacing w:line="300" w:lineRule="exact"/>
              <w:ind w:firstLine="422" w:firstLineChars="200"/>
              <w:rPr>
                <w:rFonts w:ascii="仿宋" w:hAnsi="仿宋" w:eastAsia="仿宋"/>
                <w:bCs/>
                <w:szCs w:val="21"/>
              </w:rPr>
            </w:pPr>
            <w:r>
              <w:rPr>
                <w:rFonts w:hint="eastAsia"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rPr>
              <w:t>1</w:t>
            </w:r>
            <w:r>
              <w:rPr>
                <w:rFonts w:ascii="仿宋" w:hAnsi="仿宋" w:eastAsia="仿宋"/>
                <w:bCs/>
                <w:szCs w:val="21"/>
              </w:rPr>
              <w:t>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
                <w:szCs w:val="21"/>
              </w:rPr>
            </w:pPr>
            <w:r>
              <w:rPr>
                <w:rFonts w:hint="eastAsia" w:ascii="仿宋" w:hAnsi="仿宋" w:eastAsia="仿宋"/>
                <w:b/>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
                <w:szCs w:val="21"/>
              </w:rPr>
            </w:pPr>
            <w:r>
              <w:rPr>
                <w:rFonts w:hint="eastAsia" w:ascii="仿宋" w:hAnsi="仿宋" w:eastAsia="仿宋"/>
                <w:b/>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0.03%/年，以前一日资产净值为基数，每日计提。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uto"/>
              <w:ind w:firstLine="420"/>
              <w:jc w:val="left"/>
              <w:rPr>
                <w:rFonts w:ascii="仿宋" w:hAnsi="仿宋" w:eastAsia="仿宋"/>
                <w:b/>
                <w:szCs w:val="21"/>
              </w:rPr>
            </w:pPr>
            <w:r>
              <w:rPr>
                <w:rFonts w:hint="eastAsia" w:ascii="仿宋" w:hAnsi="仿宋" w:eastAsia="仿宋"/>
                <w:b/>
                <w:szCs w:val="21"/>
              </w:rPr>
              <w:t>F=E×【0.03%】/当年天数。F为托管费；E为计算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jc w:val="left"/>
              <w:rPr>
                <w:rFonts w:ascii="仿宋" w:hAnsi="仿宋" w:eastAsia="仿宋"/>
                <w:b/>
                <w:szCs w:val="21"/>
              </w:rPr>
            </w:pP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0.20%</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w:t>
            </w:r>
            <w:r>
              <w:rPr>
                <w:rFonts w:ascii="仿宋" w:hAnsi="仿宋" w:eastAsia="仿宋"/>
                <w:b/>
                <w:szCs w:val="21"/>
              </w:rPr>
              <w:t>0.20%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ascii="仿宋" w:hAnsi="仿宋" w:eastAsia="仿宋"/>
                <w:b/>
                <w:szCs w:val="21"/>
              </w:rPr>
              <w:t>0.20%</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300" w:lineRule="exact"/>
              <w:ind w:firstLine="420"/>
              <w:rPr>
                <w:rFonts w:ascii="仿宋" w:hAnsi="仿宋" w:eastAsia="仿宋"/>
                <w:b/>
                <w:szCs w:val="21"/>
              </w:rPr>
            </w:pPr>
            <w:r>
              <w:rPr>
                <w:rFonts w:hint="eastAsia" w:ascii="仿宋" w:hAnsi="仿宋" w:eastAsia="仿宋"/>
                <w:b/>
                <w:szCs w:val="21"/>
              </w:rPr>
              <w:t>F=E×【</w:t>
            </w:r>
            <w:r>
              <w:rPr>
                <w:rFonts w:ascii="仿宋" w:hAnsi="仿宋" w:eastAsia="仿宋"/>
                <w:b/>
                <w:szCs w:val="21"/>
              </w:rPr>
              <w:t>0.20%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。F为固定管理费；E为计算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超额</w:t>
            </w:r>
            <w:r>
              <w:rPr>
                <w:rFonts w:ascii="仿宋" w:hAnsi="仿宋" w:eastAsia="仿宋"/>
                <w:b/>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超额管理费计提基准为</w:t>
            </w:r>
            <w:r>
              <w:rPr>
                <w:rFonts w:ascii="仿宋" w:hAnsi="仿宋" w:eastAsia="仿宋" w:cs="Cambria"/>
                <w:b/>
                <w:bCs/>
                <w:szCs w:val="21"/>
              </w:rPr>
              <w:t>4.20%</w:t>
            </w:r>
            <w:r>
              <w:rPr>
                <w:rFonts w:hint="eastAsia" w:ascii="仿宋" w:hAnsi="仿宋" w:eastAsia="仿宋" w:cs="Cambria"/>
                <w:b/>
                <w:bCs/>
                <w:szCs w:val="21"/>
              </w:rPr>
              <w:t>（年化）。</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本产品超额管理费的计算公式：</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其中：</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年化收益率=（计提日累计单位净值-1.0000）÷1.0000×365÷当期持有天数。</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bCs/>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szCs w:val="21"/>
                <w:u w:val="single"/>
              </w:rPr>
            </w:pPr>
            <w:r>
              <w:rPr>
                <w:rFonts w:hint="eastAsia" w:ascii="仿宋" w:hAnsi="仿宋" w:eastAsia="仿宋"/>
                <w:b/>
                <w:szCs w:val="21"/>
              </w:rPr>
              <w:t>华夏理财有权根据市场及产品运作情况调整上述规则，并至少于生效前3个工作日通过本产品说明书约定的信息披露渠道进行公告。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其他</w:t>
            </w:r>
            <w:r>
              <w:rPr>
                <w:rFonts w:ascii="仿宋" w:hAnsi="仿宋" w:eastAsia="仿宋"/>
                <w:b/>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
                <w:szCs w:val="21"/>
              </w:rPr>
            </w:pPr>
            <w:r>
              <w:rPr>
                <w:rFonts w:hint="eastAsia" w:ascii="仿宋" w:hAnsi="仿宋" w:eastAsia="仿宋"/>
                <w:b/>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本理财产品将100%投资于固定收益类资产，主要投资于货币市场工具、标准化债权类资产、非标准化债权类资产等固定收益类资产。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非标债权类资产包括中证机构间报价系统股份有限公司的收益凭证等《标准化债权类资产认定规则》认定的非标准化债权类资产。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keepNext/>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8"/>
        <w:tblW w:w="7900" w:type="dxa"/>
        <w:tblCellSpacing w:w="0" w:type="dxa"/>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439"/>
        <w:gridCol w:w="3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4439" w:type="dxa"/>
            <w:vAlign w:val="center"/>
          </w:tcPr>
          <w:p>
            <w:pPr>
              <w:adjustRightInd w:val="0"/>
              <w:snapToGrid w:val="0"/>
              <w:spacing w:line="400" w:lineRule="atLeast"/>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3461" w:type="dxa"/>
            <w:vAlign w:val="center"/>
          </w:tcPr>
          <w:p>
            <w:pPr>
              <w:adjustRightInd w:val="0"/>
              <w:snapToGrid w:val="0"/>
              <w:spacing w:line="400" w:lineRule="atLeast"/>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4439" w:type="dxa"/>
            <w:vAlign w:val="center"/>
          </w:tcPr>
          <w:p>
            <w:pPr>
              <w:adjustRightInd w:val="0"/>
              <w:snapToGrid w:val="0"/>
              <w:spacing w:line="400" w:lineRule="atLeast"/>
              <w:jc w:val="center"/>
              <w:rPr>
                <w:rFonts w:ascii="仿宋" w:hAnsi="仿宋" w:eastAsia="仿宋" w:cs="宋体"/>
                <w:color w:val="000000"/>
                <w:kern w:val="0"/>
                <w:sz w:val="24"/>
              </w:rPr>
            </w:pPr>
            <w:r>
              <w:rPr>
                <w:rFonts w:hint="eastAsia" w:ascii="仿宋" w:hAnsi="仿宋" w:eastAsia="仿宋" w:cs="宋体"/>
                <w:color w:val="000000"/>
                <w:kern w:val="0"/>
                <w:sz w:val="24"/>
              </w:rPr>
              <w:t>非标债权类资产</w:t>
            </w:r>
          </w:p>
          <w:p>
            <w:pPr>
              <w:adjustRightInd w:val="0"/>
              <w:snapToGrid w:val="0"/>
              <w:spacing w:line="400"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（券商收益凭证）</w:t>
            </w:r>
          </w:p>
        </w:tc>
        <w:tc>
          <w:tcPr>
            <w:tcW w:w="3461" w:type="dxa"/>
            <w:vAlign w:val="center"/>
          </w:tcPr>
          <w:p>
            <w:pPr>
              <w:adjustRightInd w:val="0"/>
              <w:snapToGrid w:val="0"/>
              <w:spacing w:line="400" w:lineRule="atLeast"/>
              <w:jc w:val="center"/>
              <w:rPr>
                <w:rFonts w:eastAsia="仿宋"/>
                <w:color w:val="000000"/>
                <w:kern w:val="0"/>
                <w:sz w:val="24"/>
              </w:rPr>
            </w:pPr>
            <w:r>
              <w:rPr>
                <w:rFonts w:hint="eastAsia" w:ascii="仿宋" w:hAnsi="仿宋" w:eastAsia="仿宋" w:cs="宋体"/>
                <w:color w:val="000000"/>
                <w:kern w:val="0"/>
                <w:sz w:val="24"/>
              </w:rPr>
              <w:t>0%-</w:t>
            </w:r>
            <w:r>
              <w:rPr>
                <w:rFonts w:ascii="仿宋" w:hAnsi="仿宋" w:eastAsia="仿宋" w:cs="宋体"/>
                <w:color w:val="000000"/>
                <w:kern w:val="0"/>
                <w:sz w:val="24"/>
              </w:rPr>
              <w:t>40</w:t>
            </w:r>
            <w:r>
              <w:rPr>
                <w:rFonts w:hint="eastAsia" w:ascii="仿宋" w:hAnsi="仿宋" w:eastAsia="仿宋" w:cs="宋体"/>
                <w:color w:val="00000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4439" w:type="dxa"/>
            <w:vAlign w:val="center"/>
          </w:tcPr>
          <w:p>
            <w:pPr>
              <w:adjustRightInd w:val="0"/>
              <w:snapToGrid w:val="0"/>
              <w:spacing w:line="400" w:lineRule="atLeast"/>
              <w:jc w:val="center"/>
              <w:rPr>
                <w:rFonts w:ascii="仿宋" w:hAnsi="仿宋" w:eastAsia="仿宋" w:cs="宋体"/>
                <w:color w:val="000000"/>
                <w:kern w:val="0"/>
                <w:sz w:val="24"/>
              </w:rPr>
            </w:pPr>
            <w:r>
              <w:rPr>
                <w:rFonts w:hint="eastAsia" w:ascii="仿宋" w:hAnsi="仿宋" w:eastAsia="仿宋" w:cs="宋体"/>
                <w:color w:val="000000"/>
                <w:kern w:val="0"/>
                <w:sz w:val="24"/>
              </w:rPr>
              <w:t>货币市场工具、标准化债权类资产</w:t>
            </w:r>
          </w:p>
        </w:tc>
        <w:tc>
          <w:tcPr>
            <w:tcW w:w="3461" w:type="dxa"/>
            <w:vAlign w:val="center"/>
          </w:tcPr>
          <w:p>
            <w:pPr>
              <w:adjustRightInd w:val="0"/>
              <w:snapToGrid w:val="0"/>
              <w:spacing w:line="400" w:lineRule="atLeast"/>
              <w:jc w:val="center"/>
              <w:rPr>
                <w:rFonts w:ascii="仿宋" w:hAnsi="仿宋" w:eastAsia="仿宋" w:cs="宋体"/>
                <w:color w:val="000000"/>
                <w:kern w:val="0"/>
                <w:sz w:val="24"/>
              </w:rPr>
            </w:pPr>
            <w:r>
              <w:rPr>
                <w:rFonts w:ascii="仿宋" w:hAnsi="仿宋" w:eastAsia="仿宋" w:cs="宋体"/>
                <w:color w:val="000000"/>
                <w:kern w:val="0"/>
                <w:sz w:val="24"/>
              </w:rPr>
              <w:t>60</w:t>
            </w:r>
            <w:r>
              <w:rPr>
                <w:rFonts w:hint="eastAsia" w:ascii="仿宋" w:hAnsi="仿宋" w:eastAsia="仿宋" w:cs="宋体"/>
                <w:color w:val="000000"/>
                <w:kern w:val="0"/>
                <w:sz w:val="24"/>
              </w:rPr>
              <w:t>%-100%</w:t>
            </w:r>
          </w:p>
        </w:tc>
      </w:tr>
    </w:tbl>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kern w:val="0"/>
          <w:sz w:val="24"/>
        </w:rPr>
      </w:pPr>
      <w:bookmarkStart w:id="7" w:name="_GoBack"/>
      <w:bookmarkEnd w:id="7"/>
      <w:r>
        <w:rPr>
          <w:rFonts w:hint="eastAsia" w:ascii="仿宋" w:hAnsi="仿宋" w:eastAsia="仿宋" w:cs="宋体"/>
          <w:b/>
          <w:bCs/>
          <w:color w:val="000000"/>
          <w:kern w:val="0"/>
          <w:sz w:val="24"/>
        </w:rPr>
        <w:t>底层资产介绍</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本理财产品拟</w:t>
      </w:r>
      <w:r>
        <w:rPr>
          <w:rFonts w:ascii="仿宋" w:hAnsi="仿宋" w:eastAsia="仿宋" w:cs="宋体"/>
          <w:kern w:val="0"/>
          <w:sz w:val="24"/>
        </w:rPr>
        <w:t>以</w:t>
      </w:r>
      <w:r>
        <w:rPr>
          <w:rFonts w:hint="eastAsia" w:ascii="仿宋" w:hAnsi="仿宋" w:eastAsia="仿宋" w:cs="宋体"/>
          <w:kern w:val="0"/>
          <w:sz w:val="24"/>
        </w:rPr>
        <w:t>不超过50</w:t>
      </w:r>
      <w:r>
        <w:rPr>
          <w:rFonts w:ascii="仿宋" w:hAnsi="仿宋" w:eastAsia="仿宋" w:cs="宋体"/>
          <w:kern w:val="0"/>
          <w:sz w:val="24"/>
        </w:rPr>
        <w:t>%的资金投资于券商发行的浮动收益凭证</w:t>
      </w:r>
      <w:r>
        <w:rPr>
          <w:rFonts w:hint="eastAsia" w:ascii="仿宋" w:hAnsi="仿宋" w:eastAsia="仿宋" w:cs="宋体"/>
          <w:kern w:val="0"/>
          <w:sz w:val="24"/>
        </w:rPr>
        <w:t>。为便于投资者了解拟投资浮动收益凭证的概要，理财产品管理人列举以下浮动收益凭证核心要素，但本要素表信息并非本理财产品投资信息之全部。</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9"/>
        <w:gridCol w:w="61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sz w:val="22"/>
              </w:rPr>
            </w:pPr>
          </w:p>
        </w:tc>
        <w:tc>
          <w:tcPr>
            <w:tcW w:w="6143" w:type="dxa"/>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鲨鱼鳍结构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挂钩标的</w:t>
            </w:r>
          </w:p>
        </w:tc>
        <w:tc>
          <w:tcPr>
            <w:tcW w:w="6143" w:type="dxa"/>
          </w:tcPr>
          <w:p>
            <w:pPr>
              <w:spacing w:line="240" w:lineRule="auto"/>
              <w:rPr>
                <w:rFonts w:ascii="仿宋" w:hAnsi="仿宋" w:eastAsia="仿宋" w:cs="微软简仿宋"/>
                <w:sz w:val="22"/>
              </w:rPr>
            </w:pPr>
            <w:r>
              <w:rPr>
                <w:rFonts w:hint="eastAsia" w:ascii="仿宋" w:hAnsi="仿宋" w:eastAsia="仿宋" w:cs="微软简仿宋"/>
                <w:sz w:val="22"/>
              </w:rPr>
              <w:t>中证1</w:t>
            </w:r>
            <w:r>
              <w:rPr>
                <w:rFonts w:ascii="仿宋" w:hAnsi="仿宋" w:eastAsia="仿宋" w:cs="微软简仿宋"/>
                <w:sz w:val="22"/>
              </w:rPr>
              <w:t>000</w:t>
            </w:r>
            <w:r>
              <w:rPr>
                <w:rFonts w:hint="eastAsia" w:ascii="仿宋" w:hAnsi="仿宋" w:eastAsia="仿宋" w:cs="微软简仿宋"/>
                <w:sz w:val="22"/>
              </w:rPr>
              <w:t>指数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初始观察日</w:t>
            </w:r>
          </w:p>
        </w:tc>
        <w:tc>
          <w:tcPr>
            <w:tcW w:w="6143" w:type="dxa"/>
          </w:tcPr>
          <w:p>
            <w:pPr>
              <w:spacing w:line="240" w:lineRule="auto"/>
              <w:rPr>
                <w:rFonts w:ascii="仿宋" w:hAnsi="仿宋" w:eastAsia="仿宋" w:cs="微软简仿宋"/>
                <w:sz w:val="22"/>
              </w:rPr>
            </w:pPr>
            <w:r>
              <w:rPr>
                <w:rFonts w:hint="eastAsia" w:ascii="仿宋" w:hAnsi="仿宋" w:eastAsia="仿宋" w:cs="微软简仿宋"/>
                <w:sz w:val="22"/>
              </w:rPr>
              <w:t>收益凭证投资起始日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初始价格</w:t>
            </w:r>
          </w:p>
        </w:tc>
        <w:tc>
          <w:tcPr>
            <w:tcW w:w="6143" w:type="dxa"/>
          </w:tcPr>
          <w:p>
            <w:pPr>
              <w:spacing w:line="240" w:lineRule="auto"/>
              <w:rPr>
                <w:rFonts w:ascii="仿宋" w:hAnsi="仿宋" w:eastAsia="仿宋" w:cs="微软简仿宋"/>
                <w:sz w:val="22"/>
              </w:rPr>
            </w:pPr>
            <w:r>
              <w:rPr>
                <w:rFonts w:hint="eastAsia" w:ascii="仿宋" w:hAnsi="仿宋" w:eastAsia="仿宋" w:cs="微软简仿宋"/>
                <w:sz w:val="22"/>
              </w:rPr>
              <w:t>初始观察日的指数价格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观察日</w:t>
            </w:r>
          </w:p>
        </w:tc>
        <w:tc>
          <w:tcPr>
            <w:tcW w:w="6143" w:type="dxa"/>
          </w:tcPr>
          <w:p>
            <w:pPr>
              <w:spacing w:line="240" w:lineRule="auto"/>
              <w:rPr>
                <w:rFonts w:ascii="仿宋" w:hAnsi="仿宋" w:eastAsia="仿宋" w:cs="微软简仿宋"/>
                <w:sz w:val="22"/>
              </w:rPr>
            </w:pPr>
            <w:r>
              <w:rPr>
                <w:rFonts w:hint="eastAsia" w:ascii="仿宋" w:hAnsi="仿宋" w:eastAsia="仿宋" w:cs="微软简仿宋"/>
                <w:sz w:val="22"/>
              </w:rPr>
              <w:t>收益</w:t>
            </w:r>
            <w:r>
              <w:rPr>
                <w:rFonts w:ascii="仿宋" w:hAnsi="仿宋" w:eastAsia="仿宋" w:cs="微软简仿宋"/>
                <w:sz w:val="22"/>
              </w:rPr>
              <w:t>凭证</w:t>
            </w:r>
            <w:r>
              <w:rPr>
                <w:rFonts w:hint="eastAsia" w:ascii="仿宋" w:hAnsi="仿宋" w:eastAsia="仿宋" w:cs="微软简仿宋"/>
                <w:sz w:val="22"/>
              </w:rPr>
              <w:t>到期日观察一次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行权价</w:t>
            </w:r>
          </w:p>
        </w:tc>
        <w:tc>
          <w:tcPr>
            <w:tcW w:w="6143" w:type="dxa"/>
          </w:tcPr>
          <w:p>
            <w:pPr>
              <w:spacing w:line="240" w:lineRule="auto"/>
              <w:rPr>
                <w:rFonts w:ascii="仿宋" w:hAnsi="仿宋" w:eastAsia="仿宋" w:cs="微软简仿宋"/>
                <w:sz w:val="22"/>
              </w:rPr>
            </w:pPr>
            <w:r>
              <w:rPr>
                <w:rFonts w:hint="eastAsia" w:ascii="仿宋" w:hAnsi="仿宋" w:eastAsia="仿宋" w:cs="微软简仿宋"/>
                <w:sz w:val="22"/>
              </w:rPr>
              <w:t>初始价格*</w:t>
            </w:r>
            <w:r>
              <w:rPr>
                <w:rFonts w:ascii="仿宋" w:hAnsi="仿宋" w:eastAsia="仿宋" w:cs="微软简仿宋"/>
                <w:sz w:val="22"/>
              </w:rPr>
              <w:t>1</w:t>
            </w:r>
            <w:r>
              <w:rPr>
                <w:rFonts w:hint="eastAsia" w:ascii="仿宋" w:hAnsi="仿宋" w:eastAsia="仿宋" w:cs="微软简仿宋"/>
                <w:sz w:val="22"/>
              </w:rPr>
              <w:t>0</w:t>
            </w:r>
            <w:r>
              <w:rPr>
                <w:rFonts w:ascii="仿宋" w:hAnsi="仿宋" w:eastAsia="仿宋" w:cs="微软简仿宋"/>
                <w:sz w:val="22"/>
              </w:rPr>
              <w:t>0</w:t>
            </w:r>
            <w:r>
              <w:rPr>
                <w:rFonts w:hint="eastAsia" w:ascii="仿宋" w:hAnsi="仿宋" w:eastAsia="仿宋" w:cs="微软简仿宋"/>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障碍价</w:t>
            </w:r>
          </w:p>
        </w:tc>
        <w:tc>
          <w:tcPr>
            <w:tcW w:w="6143" w:type="dxa"/>
          </w:tcPr>
          <w:p>
            <w:pPr>
              <w:spacing w:line="240" w:lineRule="auto"/>
              <w:rPr>
                <w:rFonts w:ascii="仿宋" w:hAnsi="仿宋" w:eastAsia="仿宋" w:cs="微软简仿宋"/>
                <w:sz w:val="22"/>
              </w:rPr>
            </w:pPr>
            <w:r>
              <w:rPr>
                <w:rFonts w:hint="eastAsia" w:ascii="仿宋" w:hAnsi="仿宋" w:eastAsia="仿宋" w:cs="微软简仿宋"/>
                <w:sz w:val="22"/>
              </w:rPr>
              <w:t>初始价格*</w:t>
            </w:r>
            <w:r>
              <w:rPr>
                <w:rFonts w:ascii="仿宋" w:hAnsi="仿宋" w:eastAsia="仿宋" w:cs="微软简仿宋"/>
                <w:sz w:val="22"/>
              </w:rPr>
              <w:t>110</w:t>
            </w:r>
            <w:r>
              <w:rPr>
                <w:rFonts w:hint="eastAsia" w:ascii="仿宋" w:hAnsi="仿宋" w:eastAsia="仿宋" w:cs="微软简仿宋"/>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参与率</w:t>
            </w:r>
          </w:p>
        </w:tc>
        <w:tc>
          <w:tcPr>
            <w:tcW w:w="6143" w:type="dxa"/>
          </w:tcPr>
          <w:p>
            <w:pPr>
              <w:spacing w:line="240" w:lineRule="auto"/>
              <w:rPr>
                <w:rFonts w:ascii="仿宋" w:hAnsi="仿宋" w:eastAsia="仿宋" w:cs="微软简仿宋"/>
                <w:sz w:val="22"/>
              </w:rPr>
            </w:pPr>
            <w:r>
              <w:rPr>
                <w:rFonts w:hint="eastAsia" w:ascii="仿宋" w:hAnsi="仿宋" w:eastAsia="仿宋" w:cs="微软简仿宋"/>
                <w:sz w:val="2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敲出事件</w:t>
            </w:r>
          </w:p>
        </w:tc>
        <w:tc>
          <w:tcPr>
            <w:tcW w:w="6143" w:type="dxa"/>
          </w:tcPr>
          <w:p>
            <w:pPr>
              <w:spacing w:line="240" w:lineRule="auto"/>
              <w:rPr>
                <w:rFonts w:ascii="仿宋" w:hAnsi="仿宋" w:eastAsia="仿宋" w:cs="微软简仿宋"/>
                <w:sz w:val="22"/>
              </w:rPr>
            </w:pPr>
            <w:r>
              <w:rPr>
                <w:rFonts w:hint="eastAsia" w:ascii="仿宋" w:hAnsi="仿宋" w:eastAsia="仿宋" w:cs="微软简仿宋"/>
                <w:sz w:val="22"/>
              </w:rPr>
              <w:t>观察日的指数价格大于等于障碍价</w:t>
            </w:r>
          </w:p>
        </w:tc>
      </w:tr>
    </w:tbl>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line="276" w:lineRule="auto"/>
        <w:ind w:firstLine="480" w:firstLineChars="200"/>
        <w:jc w:val="both"/>
        <w:rPr>
          <w:rFonts w:hint="eastAsia" w:ascii="仿宋" w:hAnsi="仿宋" w:eastAsia="仿宋"/>
        </w:rPr>
      </w:pP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1.0100</w:t>
      </w:r>
      <w:r>
        <w:rPr>
          <w:rFonts w:hint="eastAsia" w:ascii="仿宋" w:hAnsi="仿宋" w:eastAsia="仿宋" w:cs="仿宋"/>
          <w:sz w:val="24"/>
        </w:rPr>
        <w:t>，客户到期获得的金额为：</w:t>
      </w:r>
      <w:r>
        <w:rPr>
          <w:rFonts w:ascii="仿宋" w:hAnsi="仿宋" w:eastAsia="仿宋" w:cs="仿宋"/>
          <w:sz w:val="24"/>
        </w:rPr>
        <w:t>100,000*1.0100=101,000.00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本理财产品所投资的银行存款、货币市场工具等标准化债权类资产、非标准化债权类资产以及资产管理产品等资产。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ascii="仿宋" w:hAnsi="仿宋" w:eastAsia="仿宋"/>
          <w:color w:val="auto"/>
        </w:rPr>
        <w:t xml:space="preserve">11. </w:t>
      </w:r>
      <w:r>
        <w:rPr>
          <w:rFonts w:hint="eastAsia" w:ascii="仿宋" w:hAnsi="仿宋" w:eastAsia="仿宋"/>
          <w:color w:val="auto"/>
        </w:rPr>
        <w:t>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仿宋" w:hAnsi="仿宋" w:eastAsia="仿宋" w:cs="宋体"/>
          <w:b/>
          <w:bCs/>
          <w:kern w:val="0"/>
          <w:sz w:val="24"/>
        </w:rPr>
        <w:t>华夏理财有限责任公司官方网站（www.hxwm.com.cn）、</w:t>
      </w:r>
      <w:r>
        <w:rPr>
          <w:rFonts w:ascii="仿宋" w:hAnsi="仿宋" w:eastAsia="仿宋" w:cs="宋体"/>
          <w:b/>
          <w:bCs/>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简仿宋">
    <w:panose1 w:val="00000000000000000000"/>
    <w:charset w:val="86"/>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trackedChanges"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5F33"/>
    <w:rsid w:val="00033110"/>
    <w:rsid w:val="0003409D"/>
    <w:rsid w:val="000431D6"/>
    <w:rsid w:val="00056226"/>
    <w:rsid w:val="00063AA0"/>
    <w:rsid w:val="00066824"/>
    <w:rsid w:val="00080678"/>
    <w:rsid w:val="0008310E"/>
    <w:rsid w:val="00096678"/>
    <w:rsid w:val="000A088E"/>
    <w:rsid w:val="000A6ED7"/>
    <w:rsid w:val="000B0F79"/>
    <w:rsid w:val="000C03A9"/>
    <w:rsid w:val="000C784C"/>
    <w:rsid w:val="000D02FE"/>
    <w:rsid w:val="000D0355"/>
    <w:rsid w:val="000F06E2"/>
    <w:rsid w:val="000F0814"/>
    <w:rsid w:val="000F42B8"/>
    <w:rsid w:val="00103712"/>
    <w:rsid w:val="00112345"/>
    <w:rsid w:val="0012371E"/>
    <w:rsid w:val="0013018C"/>
    <w:rsid w:val="00133FA8"/>
    <w:rsid w:val="0013677C"/>
    <w:rsid w:val="0016435C"/>
    <w:rsid w:val="00165B63"/>
    <w:rsid w:val="0017498E"/>
    <w:rsid w:val="0017523A"/>
    <w:rsid w:val="00186079"/>
    <w:rsid w:val="00190BB4"/>
    <w:rsid w:val="0019200F"/>
    <w:rsid w:val="001D2415"/>
    <w:rsid w:val="001E1606"/>
    <w:rsid w:val="001E3E69"/>
    <w:rsid w:val="001E41AD"/>
    <w:rsid w:val="001F7D2D"/>
    <w:rsid w:val="00215C06"/>
    <w:rsid w:val="00216AB4"/>
    <w:rsid w:val="002318DF"/>
    <w:rsid w:val="00244A8F"/>
    <w:rsid w:val="002553C2"/>
    <w:rsid w:val="00257913"/>
    <w:rsid w:val="00257999"/>
    <w:rsid w:val="00262B55"/>
    <w:rsid w:val="00280398"/>
    <w:rsid w:val="00282182"/>
    <w:rsid w:val="002960B6"/>
    <w:rsid w:val="002A05D2"/>
    <w:rsid w:val="002A2ED1"/>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32CD8"/>
    <w:rsid w:val="00443D10"/>
    <w:rsid w:val="00460001"/>
    <w:rsid w:val="00463DC3"/>
    <w:rsid w:val="00482583"/>
    <w:rsid w:val="0048600F"/>
    <w:rsid w:val="00493909"/>
    <w:rsid w:val="004A2CEA"/>
    <w:rsid w:val="004B2316"/>
    <w:rsid w:val="004B3C7D"/>
    <w:rsid w:val="004C7E7D"/>
    <w:rsid w:val="004D72E5"/>
    <w:rsid w:val="004E4564"/>
    <w:rsid w:val="004E46BF"/>
    <w:rsid w:val="004E7458"/>
    <w:rsid w:val="004F3054"/>
    <w:rsid w:val="00511A6C"/>
    <w:rsid w:val="00511F92"/>
    <w:rsid w:val="0051737C"/>
    <w:rsid w:val="00520E98"/>
    <w:rsid w:val="005228EC"/>
    <w:rsid w:val="0053489D"/>
    <w:rsid w:val="00541B21"/>
    <w:rsid w:val="005622E8"/>
    <w:rsid w:val="0058195A"/>
    <w:rsid w:val="00587F99"/>
    <w:rsid w:val="005902F0"/>
    <w:rsid w:val="005A1AD3"/>
    <w:rsid w:val="005B0C42"/>
    <w:rsid w:val="005B5A4F"/>
    <w:rsid w:val="005B7070"/>
    <w:rsid w:val="005B7E09"/>
    <w:rsid w:val="005D1B39"/>
    <w:rsid w:val="005D5825"/>
    <w:rsid w:val="005E041A"/>
    <w:rsid w:val="005E0594"/>
    <w:rsid w:val="005E4F8D"/>
    <w:rsid w:val="005E772E"/>
    <w:rsid w:val="006030F8"/>
    <w:rsid w:val="00603823"/>
    <w:rsid w:val="006120F9"/>
    <w:rsid w:val="006144F1"/>
    <w:rsid w:val="00623292"/>
    <w:rsid w:val="006309B4"/>
    <w:rsid w:val="0064430D"/>
    <w:rsid w:val="0066001D"/>
    <w:rsid w:val="006609EB"/>
    <w:rsid w:val="00661DAE"/>
    <w:rsid w:val="00664F8D"/>
    <w:rsid w:val="00665902"/>
    <w:rsid w:val="00665BDD"/>
    <w:rsid w:val="006714E1"/>
    <w:rsid w:val="00697279"/>
    <w:rsid w:val="006A3BD2"/>
    <w:rsid w:val="006B7A12"/>
    <w:rsid w:val="006C3AB4"/>
    <w:rsid w:val="006D1929"/>
    <w:rsid w:val="006D5CC0"/>
    <w:rsid w:val="006D61F9"/>
    <w:rsid w:val="006E465C"/>
    <w:rsid w:val="006E5108"/>
    <w:rsid w:val="006F108E"/>
    <w:rsid w:val="0070057F"/>
    <w:rsid w:val="00712D65"/>
    <w:rsid w:val="00714FA0"/>
    <w:rsid w:val="00734FCC"/>
    <w:rsid w:val="0075453D"/>
    <w:rsid w:val="00755C63"/>
    <w:rsid w:val="00757C4D"/>
    <w:rsid w:val="007660D1"/>
    <w:rsid w:val="0077151B"/>
    <w:rsid w:val="0078428F"/>
    <w:rsid w:val="007930D6"/>
    <w:rsid w:val="00794BCC"/>
    <w:rsid w:val="007A782E"/>
    <w:rsid w:val="007B16C0"/>
    <w:rsid w:val="007D7E45"/>
    <w:rsid w:val="007E69F8"/>
    <w:rsid w:val="007F34D2"/>
    <w:rsid w:val="007F5C98"/>
    <w:rsid w:val="008111D2"/>
    <w:rsid w:val="00813D80"/>
    <w:rsid w:val="008207C1"/>
    <w:rsid w:val="008218B0"/>
    <w:rsid w:val="00826EBE"/>
    <w:rsid w:val="00827E04"/>
    <w:rsid w:val="00832FBF"/>
    <w:rsid w:val="00836DCD"/>
    <w:rsid w:val="0084396D"/>
    <w:rsid w:val="00846542"/>
    <w:rsid w:val="00852297"/>
    <w:rsid w:val="00853BBD"/>
    <w:rsid w:val="0087356D"/>
    <w:rsid w:val="00875B22"/>
    <w:rsid w:val="00881449"/>
    <w:rsid w:val="00881AFC"/>
    <w:rsid w:val="00891BE8"/>
    <w:rsid w:val="008A758D"/>
    <w:rsid w:val="008C587B"/>
    <w:rsid w:val="008C5F1D"/>
    <w:rsid w:val="008C7FC7"/>
    <w:rsid w:val="008D32C9"/>
    <w:rsid w:val="008D4672"/>
    <w:rsid w:val="008E0E7F"/>
    <w:rsid w:val="008E7C57"/>
    <w:rsid w:val="00904F66"/>
    <w:rsid w:val="0091544A"/>
    <w:rsid w:val="0092398B"/>
    <w:rsid w:val="009266ED"/>
    <w:rsid w:val="00926B88"/>
    <w:rsid w:val="00940AE1"/>
    <w:rsid w:val="00950B58"/>
    <w:rsid w:val="0096591A"/>
    <w:rsid w:val="009707BD"/>
    <w:rsid w:val="009767AD"/>
    <w:rsid w:val="00991585"/>
    <w:rsid w:val="0099257B"/>
    <w:rsid w:val="009A1572"/>
    <w:rsid w:val="009B40CA"/>
    <w:rsid w:val="009B5749"/>
    <w:rsid w:val="009B654D"/>
    <w:rsid w:val="009C25C2"/>
    <w:rsid w:val="009E64E1"/>
    <w:rsid w:val="009F3291"/>
    <w:rsid w:val="00A10AA6"/>
    <w:rsid w:val="00A148B3"/>
    <w:rsid w:val="00A23D14"/>
    <w:rsid w:val="00A40B5C"/>
    <w:rsid w:val="00A55BA0"/>
    <w:rsid w:val="00A762A9"/>
    <w:rsid w:val="00AA20BC"/>
    <w:rsid w:val="00AB6C5C"/>
    <w:rsid w:val="00AC051A"/>
    <w:rsid w:val="00AC0C84"/>
    <w:rsid w:val="00AC28C2"/>
    <w:rsid w:val="00AD1A8E"/>
    <w:rsid w:val="00AD5773"/>
    <w:rsid w:val="00AE3F67"/>
    <w:rsid w:val="00AE55A6"/>
    <w:rsid w:val="00AF0D6A"/>
    <w:rsid w:val="00AF2148"/>
    <w:rsid w:val="00AF4114"/>
    <w:rsid w:val="00AF79D6"/>
    <w:rsid w:val="00B017EB"/>
    <w:rsid w:val="00B12B80"/>
    <w:rsid w:val="00B13FB3"/>
    <w:rsid w:val="00B15AEA"/>
    <w:rsid w:val="00B2549A"/>
    <w:rsid w:val="00B26E45"/>
    <w:rsid w:val="00B302D6"/>
    <w:rsid w:val="00B33142"/>
    <w:rsid w:val="00B34C10"/>
    <w:rsid w:val="00B37587"/>
    <w:rsid w:val="00B64A10"/>
    <w:rsid w:val="00B7068C"/>
    <w:rsid w:val="00B75E52"/>
    <w:rsid w:val="00B835AA"/>
    <w:rsid w:val="00B86087"/>
    <w:rsid w:val="00B90CDB"/>
    <w:rsid w:val="00B960A6"/>
    <w:rsid w:val="00B97A5C"/>
    <w:rsid w:val="00BC7FC9"/>
    <w:rsid w:val="00BE486A"/>
    <w:rsid w:val="00C07B9F"/>
    <w:rsid w:val="00C2501F"/>
    <w:rsid w:val="00C26621"/>
    <w:rsid w:val="00C34AF2"/>
    <w:rsid w:val="00C34C70"/>
    <w:rsid w:val="00C461D7"/>
    <w:rsid w:val="00C7590C"/>
    <w:rsid w:val="00C8002D"/>
    <w:rsid w:val="00CA6243"/>
    <w:rsid w:val="00CB07A0"/>
    <w:rsid w:val="00CB300C"/>
    <w:rsid w:val="00CC6613"/>
    <w:rsid w:val="00CD1AC8"/>
    <w:rsid w:val="00CD75FB"/>
    <w:rsid w:val="00CE795C"/>
    <w:rsid w:val="00CF453E"/>
    <w:rsid w:val="00D03E60"/>
    <w:rsid w:val="00D06EC1"/>
    <w:rsid w:val="00D07C3B"/>
    <w:rsid w:val="00D10CA5"/>
    <w:rsid w:val="00D20E48"/>
    <w:rsid w:val="00D224A0"/>
    <w:rsid w:val="00D54E89"/>
    <w:rsid w:val="00D62515"/>
    <w:rsid w:val="00D62EAE"/>
    <w:rsid w:val="00D633D2"/>
    <w:rsid w:val="00D64CD6"/>
    <w:rsid w:val="00D7194A"/>
    <w:rsid w:val="00D74E35"/>
    <w:rsid w:val="00D81EE7"/>
    <w:rsid w:val="00D842DC"/>
    <w:rsid w:val="00D92F2F"/>
    <w:rsid w:val="00D96806"/>
    <w:rsid w:val="00DA1051"/>
    <w:rsid w:val="00DB3201"/>
    <w:rsid w:val="00DB6A3F"/>
    <w:rsid w:val="00DC5F87"/>
    <w:rsid w:val="00DE1803"/>
    <w:rsid w:val="00DE30BD"/>
    <w:rsid w:val="00DE7DB8"/>
    <w:rsid w:val="00DF01F0"/>
    <w:rsid w:val="00E01C5E"/>
    <w:rsid w:val="00E02F1C"/>
    <w:rsid w:val="00E064E3"/>
    <w:rsid w:val="00E254D4"/>
    <w:rsid w:val="00E32C0D"/>
    <w:rsid w:val="00E51A3D"/>
    <w:rsid w:val="00E52D92"/>
    <w:rsid w:val="00E53D13"/>
    <w:rsid w:val="00E62046"/>
    <w:rsid w:val="00E65F0B"/>
    <w:rsid w:val="00E8067C"/>
    <w:rsid w:val="00E844E1"/>
    <w:rsid w:val="00E86945"/>
    <w:rsid w:val="00E91719"/>
    <w:rsid w:val="00E93A95"/>
    <w:rsid w:val="00E97A4D"/>
    <w:rsid w:val="00EA4EFE"/>
    <w:rsid w:val="00EC1941"/>
    <w:rsid w:val="00ED51B9"/>
    <w:rsid w:val="00ED5CA8"/>
    <w:rsid w:val="00EE0EFC"/>
    <w:rsid w:val="00EE2805"/>
    <w:rsid w:val="00EE4B28"/>
    <w:rsid w:val="00EE5ED9"/>
    <w:rsid w:val="00F02D76"/>
    <w:rsid w:val="00F045C3"/>
    <w:rsid w:val="00F05127"/>
    <w:rsid w:val="00F208BA"/>
    <w:rsid w:val="00F512E9"/>
    <w:rsid w:val="00F54606"/>
    <w:rsid w:val="00F67A6A"/>
    <w:rsid w:val="00F67A9C"/>
    <w:rsid w:val="00F72DB1"/>
    <w:rsid w:val="00F77DC9"/>
    <w:rsid w:val="00F82368"/>
    <w:rsid w:val="00FA70D5"/>
    <w:rsid w:val="00FB10EC"/>
    <w:rsid w:val="00FB60EA"/>
    <w:rsid w:val="00FC0983"/>
    <w:rsid w:val="00FC21F8"/>
    <w:rsid w:val="00FC5119"/>
    <w:rsid w:val="00FC6689"/>
    <w:rsid w:val="00FC72F2"/>
    <w:rsid w:val="00FF1A4F"/>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9EF471A"/>
    <w:rsid w:val="0A01440A"/>
    <w:rsid w:val="0A513B0D"/>
    <w:rsid w:val="0A5478A3"/>
    <w:rsid w:val="0CF0675C"/>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4E3B0B"/>
    <w:rsid w:val="11585397"/>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C01B0"/>
    <w:rsid w:val="1584793E"/>
    <w:rsid w:val="15874EAA"/>
    <w:rsid w:val="15C47445"/>
    <w:rsid w:val="15DF45C9"/>
    <w:rsid w:val="15E41B70"/>
    <w:rsid w:val="162E0DFB"/>
    <w:rsid w:val="16440A35"/>
    <w:rsid w:val="16577530"/>
    <w:rsid w:val="167255CF"/>
    <w:rsid w:val="16840173"/>
    <w:rsid w:val="16FB6F37"/>
    <w:rsid w:val="170D06E0"/>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4D1B"/>
    <w:rsid w:val="1BCE5D96"/>
    <w:rsid w:val="1BDE2098"/>
    <w:rsid w:val="1BE069CA"/>
    <w:rsid w:val="1C465E86"/>
    <w:rsid w:val="1C726314"/>
    <w:rsid w:val="1C8B0511"/>
    <w:rsid w:val="1CE252F3"/>
    <w:rsid w:val="1D104FDC"/>
    <w:rsid w:val="1D117096"/>
    <w:rsid w:val="1D4E59B7"/>
    <w:rsid w:val="1DE516B8"/>
    <w:rsid w:val="1E047274"/>
    <w:rsid w:val="1E433C85"/>
    <w:rsid w:val="1E890F40"/>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324AF8"/>
    <w:rsid w:val="25C3267A"/>
    <w:rsid w:val="25D568B4"/>
    <w:rsid w:val="25F33B9E"/>
    <w:rsid w:val="260C731E"/>
    <w:rsid w:val="26103F21"/>
    <w:rsid w:val="26ED1684"/>
    <w:rsid w:val="27C604DA"/>
    <w:rsid w:val="27EA63D1"/>
    <w:rsid w:val="287A5D0E"/>
    <w:rsid w:val="28B05EE9"/>
    <w:rsid w:val="28D30187"/>
    <w:rsid w:val="28E571A8"/>
    <w:rsid w:val="294C4E21"/>
    <w:rsid w:val="295264D7"/>
    <w:rsid w:val="296D4B02"/>
    <w:rsid w:val="2A103412"/>
    <w:rsid w:val="2A1E1418"/>
    <w:rsid w:val="2A770C99"/>
    <w:rsid w:val="2B2942A8"/>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4746F38"/>
    <w:rsid w:val="35034F52"/>
    <w:rsid w:val="352C602C"/>
    <w:rsid w:val="35B16527"/>
    <w:rsid w:val="36774E48"/>
    <w:rsid w:val="36B76A85"/>
    <w:rsid w:val="36B82ADE"/>
    <w:rsid w:val="37174190"/>
    <w:rsid w:val="376879F0"/>
    <w:rsid w:val="378F057D"/>
    <w:rsid w:val="37EC4B4C"/>
    <w:rsid w:val="383529C2"/>
    <w:rsid w:val="387B665C"/>
    <w:rsid w:val="39690814"/>
    <w:rsid w:val="39B76C90"/>
    <w:rsid w:val="39C37A55"/>
    <w:rsid w:val="39C53B44"/>
    <w:rsid w:val="39EF39C3"/>
    <w:rsid w:val="3A021304"/>
    <w:rsid w:val="3A23092B"/>
    <w:rsid w:val="3A35598B"/>
    <w:rsid w:val="3A595F4B"/>
    <w:rsid w:val="3A9D0C11"/>
    <w:rsid w:val="3AE57AB9"/>
    <w:rsid w:val="3B4C73CF"/>
    <w:rsid w:val="3BC55932"/>
    <w:rsid w:val="3C7826C2"/>
    <w:rsid w:val="3C8F2051"/>
    <w:rsid w:val="3CD87A38"/>
    <w:rsid w:val="3D83215E"/>
    <w:rsid w:val="3DF76443"/>
    <w:rsid w:val="3DFF3A1A"/>
    <w:rsid w:val="3EA946F7"/>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6E93EA5"/>
    <w:rsid w:val="476049FD"/>
    <w:rsid w:val="47802A85"/>
    <w:rsid w:val="47E65D23"/>
    <w:rsid w:val="47F6480D"/>
    <w:rsid w:val="4801691C"/>
    <w:rsid w:val="483003A5"/>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4F8F4B84"/>
    <w:rsid w:val="4FC031BD"/>
    <w:rsid w:val="500C5A60"/>
    <w:rsid w:val="501E233E"/>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DC1578"/>
    <w:rsid w:val="5EE6353D"/>
    <w:rsid w:val="5F0310B7"/>
    <w:rsid w:val="5F0C287E"/>
    <w:rsid w:val="5F1655AE"/>
    <w:rsid w:val="5F5952B0"/>
    <w:rsid w:val="602E28A2"/>
    <w:rsid w:val="603E2C23"/>
    <w:rsid w:val="60C0423D"/>
    <w:rsid w:val="60E7450D"/>
    <w:rsid w:val="6166406C"/>
    <w:rsid w:val="618F3AF2"/>
    <w:rsid w:val="61DA68DC"/>
    <w:rsid w:val="622708C6"/>
    <w:rsid w:val="62460A47"/>
    <w:rsid w:val="627931BD"/>
    <w:rsid w:val="63554C8E"/>
    <w:rsid w:val="63890B77"/>
    <w:rsid w:val="63970830"/>
    <w:rsid w:val="639D1EC4"/>
    <w:rsid w:val="63A13700"/>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26D33"/>
    <w:rsid w:val="6AAC3F8C"/>
    <w:rsid w:val="6AFD414A"/>
    <w:rsid w:val="6B4C2F45"/>
    <w:rsid w:val="6B6E4269"/>
    <w:rsid w:val="6B961612"/>
    <w:rsid w:val="6B966680"/>
    <w:rsid w:val="6C161AD0"/>
    <w:rsid w:val="6D157AE9"/>
    <w:rsid w:val="6D275220"/>
    <w:rsid w:val="6D2E7D50"/>
    <w:rsid w:val="6DD90E21"/>
    <w:rsid w:val="6DE0162F"/>
    <w:rsid w:val="6DFA3383"/>
    <w:rsid w:val="6E1A49C5"/>
    <w:rsid w:val="6E254EA7"/>
    <w:rsid w:val="6E4B2AEB"/>
    <w:rsid w:val="6EBB30B7"/>
    <w:rsid w:val="6F0D185D"/>
    <w:rsid w:val="6F786BDA"/>
    <w:rsid w:val="6F7F6679"/>
    <w:rsid w:val="6FA9351C"/>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37D3686"/>
    <w:rsid w:val="73E20E2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994D54"/>
    <w:rsid w:val="7CDB4C9F"/>
    <w:rsid w:val="7D016D57"/>
    <w:rsid w:val="7D2B624D"/>
    <w:rsid w:val="7D6F00D9"/>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annotation subject"/>
    <w:basedOn w:val="2"/>
    <w:next w:val="2"/>
    <w:link w:val="12"/>
    <w:qFormat/>
    <w:uiPriority w:val="0"/>
    <w:rPr>
      <w:b/>
      <w:bCs/>
    </w:rPr>
  </w:style>
  <w:style w:type="table" w:styleId="9">
    <w:name w:val="Table Grid"/>
    <w:basedOn w:val="8"/>
    <w:unhideWhenUs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1">
    <w:name w:val="annotation reference"/>
    <w:qFormat/>
    <w:uiPriority w:val="0"/>
    <w:rPr>
      <w:sz w:val="21"/>
      <w:szCs w:val="21"/>
    </w:rPr>
  </w:style>
  <w:style w:type="character" w:customStyle="1" w:styleId="12">
    <w:name w:val="批注主题 Char"/>
    <w:link w:val="7"/>
    <w:qFormat/>
    <w:uiPriority w:val="0"/>
    <w:rPr>
      <w:b/>
      <w:bCs/>
      <w:kern w:val="2"/>
      <w:sz w:val="21"/>
      <w:szCs w:val="24"/>
    </w:rPr>
  </w:style>
  <w:style w:type="character" w:customStyle="1" w:styleId="13">
    <w:name w:val="批注文字 Char"/>
    <w:link w:val="2"/>
    <w:qFormat/>
    <w:uiPriority w:val="0"/>
    <w:rPr>
      <w:kern w:val="2"/>
      <w:sz w:val="21"/>
      <w:szCs w:val="24"/>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2430</Words>
  <Characters>13857</Characters>
  <Lines>115</Lines>
  <Paragraphs>32</Paragraphs>
  <TotalTime>6</TotalTime>
  <ScaleCrop>false</ScaleCrop>
  <LinksUpToDate>false</LinksUpToDate>
  <CharactersWithSpaces>16255</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2023-04-10T06:05:00Z</dcterms:created>
  <dc:creator>ylh</dc:creator>
  <cp:keywords>跃盈</cp:keywords>
  <cp:lastModifiedBy>RORO</cp:lastModifiedBy>
  <cp:lastPrinted>2021-07-21T07:06:00Z</cp:lastPrinted>
  <dcterms:modified xsi:type="dcterms:W3CDTF">2023-04-10T09:21:02Z</dcterms:modified>
  <dc:title>华夏理财跃盈封闭式</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7FD58229F76F425C97CE679FD6D5D50E</vt:lpwstr>
  </property>
</Properties>
</file>