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华夏理财跃盈封闭式理财产品5号说明书</w:t>
      </w:r>
    </w:p>
    <w:p>
      <w:pPr>
        <w:pStyle w:val="3"/>
        <w:widowControl/>
        <w:spacing w:line="240" w:lineRule="auto"/>
        <w:ind w:firstLine="0"/>
        <w:jc w:val="center"/>
        <w:rPr>
          <w:rFonts w:eastAsia="黑体"/>
          <w:bCs/>
          <w:sz w:val="36"/>
          <w:szCs w:val="36"/>
        </w:rPr>
      </w:pPr>
    </w:p>
    <w:tbl>
      <w:tblPr>
        <w:tblStyle w:val="8"/>
        <w:tblW w:w="85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华夏理财跃盈封闭式理财产品5号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产品简称“华夏理财跃盈5号188天（中证1000鲨鱼鳍）”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23121605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Z7003923000082</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若观察日产品关联指数发生敲出事件，则业绩比较基准（年化）为</w:t>
            </w:r>
            <w:r>
              <w:rPr>
                <w:rFonts w:ascii="仿宋" w:hAnsi="仿宋" w:eastAsia="仿宋" w:cs="Cambria"/>
                <w:bCs/>
                <w:szCs w:val="21"/>
              </w:rPr>
              <w:t>4.00%</w:t>
            </w:r>
            <w:r>
              <w:rPr>
                <w:rFonts w:hint="eastAsia" w:ascii="仿宋" w:hAnsi="仿宋" w:eastAsia="仿宋" w:cs="Cambria"/>
                <w:bCs/>
                <w:szCs w:val="21"/>
              </w:rPr>
              <w:t>;若观察日产品关联指数未发生敲出事件，则产品业绩比较基准（年化）为1.50%-</w:t>
            </w:r>
            <w:r>
              <w:rPr>
                <w:rFonts w:ascii="仿宋" w:hAnsi="仿宋" w:eastAsia="仿宋" w:cs="Cambria"/>
                <w:bCs/>
                <w:szCs w:val="21"/>
              </w:rPr>
              <w:t>5.50%</w:t>
            </w:r>
            <w:r>
              <w:rPr>
                <w:rFonts w:hint="eastAsia" w:ascii="仿宋" w:hAnsi="仿宋" w:eastAsia="仿宋" w:cs="Cambria"/>
                <w:bCs/>
                <w:szCs w:val="21"/>
              </w:rPr>
              <w:t>。以产品债券类资产仓位</w:t>
            </w:r>
            <w:r>
              <w:rPr>
                <w:rFonts w:hint="eastAsia" w:ascii="仿宋" w:hAnsi="仿宋" w:eastAsia="仿宋" w:cs="Cambria"/>
                <w:bCs/>
                <w:szCs w:val="21"/>
                <w:lang w:val="en-US" w:eastAsia="zh-CN"/>
              </w:rPr>
              <w:t>6</w:t>
            </w:r>
            <w:bookmarkStart w:id="7" w:name="_GoBack"/>
            <w:bookmarkEnd w:id="7"/>
            <w:r>
              <w:rPr>
                <w:rFonts w:hint="eastAsia" w:ascii="仿宋" w:hAnsi="仿宋" w:eastAsia="仿宋" w:cs="Cambria"/>
                <w:bCs/>
                <w:szCs w:val="21"/>
              </w:rPr>
              <w:t>0%-70%，收益凭证等非标债权类资产仓位30%-40%为例，参考期限匹配的目标债券到期收益率、收益凭证的收益结构，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华夏理财有权根据市场情况及产品运作情况调整业绩比较基准，并至少于新业绩比较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2023年4月3日</w:t>
            </w:r>
            <w:r>
              <w:rPr>
                <w:rFonts w:ascii="仿宋" w:hAnsi="仿宋" w:eastAsia="仿宋"/>
                <w:bCs/>
                <w:szCs w:val="21"/>
              </w:rPr>
              <w:t>－</w:t>
            </w:r>
            <w:r>
              <w:rPr>
                <w:rFonts w:hint="eastAsia" w:ascii="仿宋" w:hAnsi="仿宋" w:eastAsia="仿宋"/>
                <w:bCs/>
                <w:szCs w:val="21"/>
              </w:rPr>
              <w:t>2023年4月11日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2023年4月12日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188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2023年10月17日理财产品正常到期，到期日如为非工作日，则顺延至下一工作日。如理财产品因故提前或延迟到期的，则终止日以华夏理财发布的公告为准。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rPr>
              <w:t>1</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本理财产品不收取超额管理费。</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本理财产品将100%投资于固定收益类资产，主要投资于货币市场工具、标准化债权类资产、非标准化债权类资产等固定收益类资产。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非标债权类资产包括中证机构间报价系统股份有限公司的收益凭证等《标准化债权类资产认定规则》认定的非标准化债权类资产。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8"/>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439"/>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3461" w:type="dxa"/>
            <w:vAlign w:val="center"/>
          </w:tcPr>
          <w:p>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非标债权类资产</w:t>
            </w:r>
          </w:p>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（券商收益凭证）</w:t>
            </w:r>
          </w:p>
        </w:tc>
        <w:tc>
          <w:tcPr>
            <w:tcW w:w="3461" w:type="dxa"/>
            <w:vAlign w:val="center"/>
          </w:tcPr>
          <w:p>
            <w:pPr>
              <w:adjustRightInd w:val="0"/>
              <w:snapToGrid w:val="0"/>
              <w:spacing w:line="400" w:lineRule="atLeast"/>
              <w:jc w:val="center"/>
              <w:rPr>
                <w:rFonts w:eastAsia="仿宋"/>
                <w:color w:val="000000"/>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40</w:t>
            </w:r>
            <w:r>
              <w:rPr>
                <w:rFonts w:hint="eastAsia" w:ascii="仿宋" w:hAnsi="仿宋" w:eastAsia="仿宋"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货币市场工具、标准化债权类资产</w:t>
            </w:r>
          </w:p>
        </w:tc>
        <w:tc>
          <w:tcPr>
            <w:tcW w:w="3461" w:type="dxa"/>
            <w:vAlign w:val="center"/>
          </w:tcPr>
          <w:p>
            <w:pPr>
              <w:adjustRightInd w:val="0"/>
              <w:snapToGrid w:val="0"/>
              <w:spacing w:line="400" w:lineRule="atLeast"/>
              <w:jc w:val="center"/>
              <w:rPr>
                <w:rFonts w:ascii="仿宋" w:hAnsi="仿宋" w:eastAsia="仿宋" w:cs="宋体"/>
                <w:color w:val="000000"/>
                <w:kern w:val="0"/>
                <w:sz w:val="24"/>
              </w:rPr>
            </w:pPr>
            <w:r>
              <w:rPr>
                <w:rFonts w:ascii="仿宋" w:hAnsi="仿宋" w:eastAsia="仿宋" w:cs="宋体"/>
                <w:color w:val="000000"/>
                <w:kern w:val="0"/>
                <w:sz w:val="24"/>
              </w:rPr>
              <w:t>60</w:t>
            </w:r>
            <w:r>
              <w:rPr>
                <w:rFonts w:hint="eastAsia" w:ascii="仿宋" w:hAnsi="仿宋" w:eastAsia="仿宋" w:cs="宋体"/>
                <w:color w:val="000000"/>
                <w:kern w:val="0"/>
                <w:sz w:val="24"/>
              </w:rPr>
              <w:t>%-100%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底层资产介绍</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本理财产品拟</w:t>
      </w:r>
      <w:r>
        <w:rPr>
          <w:rFonts w:ascii="仿宋" w:hAnsi="仿宋" w:eastAsia="仿宋" w:cs="宋体"/>
          <w:kern w:val="0"/>
          <w:sz w:val="24"/>
        </w:rPr>
        <w:t>以</w:t>
      </w:r>
      <w:r>
        <w:rPr>
          <w:rFonts w:hint="eastAsia" w:ascii="仿宋" w:hAnsi="仿宋" w:eastAsia="仿宋" w:cs="宋体"/>
          <w:kern w:val="0"/>
          <w:sz w:val="24"/>
        </w:rPr>
        <w:t>不超过50</w:t>
      </w:r>
      <w:r>
        <w:rPr>
          <w:rFonts w:ascii="仿宋" w:hAnsi="仿宋" w:eastAsia="仿宋" w:cs="宋体"/>
          <w:kern w:val="0"/>
          <w:sz w:val="24"/>
        </w:rPr>
        <w:t>%的资金投资于券商发行的浮动收益凭证</w:t>
      </w:r>
      <w:r>
        <w:rPr>
          <w:rFonts w:hint="eastAsia" w:ascii="仿宋" w:hAnsi="仿宋" w:eastAsia="仿宋" w:cs="宋体"/>
          <w:kern w:val="0"/>
          <w:sz w:val="24"/>
        </w:rPr>
        <w:t>。为便于投资者了解拟投资浮动收益凭证的概要，理财产品管理人列举以下浮动收益凭证核心要素，但本要素表信息并非本理财产品投资信息之全部。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6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sz w:val="22"/>
              </w:rPr>
            </w:pPr>
          </w:p>
        </w:tc>
        <w:tc>
          <w:tcPr>
            <w:tcW w:w="6143" w:type="dxa"/>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鲨鱼鳍结构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挂钩标的</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中证1</w:t>
            </w:r>
            <w:r>
              <w:rPr>
                <w:rFonts w:ascii="仿宋" w:hAnsi="仿宋" w:eastAsia="仿宋" w:cs="微软简仿宋"/>
                <w:sz w:val="22"/>
              </w:rPr>
              <w:t>000</w:t>
            </w:r>
            <w:r>
              <w:rPr>
                <w:rFonts w:hint="eastAsia" w:ascii="仿宋" w:hAnsi="仿宋" w:eastAsia="仿宋" w:cs="微软简仿宋"/>
                <w:sz w:val="22"/>
              </w:rPr>
              <w:t>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初始观察日</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收益凭证投资起始日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初始价格</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初始观察日的指数价格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观察日</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收益</w:t>
            </w:r>
            <w:r>
              <w:rPr>
                <w:rFonts w:ascii="仿宋" w:hAnsi="仿宋" w:eastAsia="仿宋" w:cs="微软简仿宋"/>
                <w:sz w:val="22"/>
              </w:rPr>
              <w:t>凭证</w:t>
            </w:r>
            <w:r>
              <w:rPr>
                <w:rFonts w:hint="eastAsia" w:ascii="仿宋" w:hAnsi="仿宋" w:eastAsia="仿宋" w:cs="微软简仿宋"/>
                <w:sz w:val="22"/>
              </w:rPr>
              <w:t>到期日观察一次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行权价</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初始价格*</w:t>
            </w:r>
            <w:r>
              <w:rPr>
                <w:rFonts w:ascii="仿宋" w:hAnsi="仿宋" w:eastAsia="仿宋" w:cs="微软简仿宋"/>
                <w:sz w:val="22"/>
              </w:rPr>
              <w:t>1</w:t>
            </w:r>
            <w:r>
              <w:rPr>
                <w:rFonts w:hint="eastAsia" w:ascii="仿宋" w:hAnsi="仿宋" w:eastAsia="仿宋" w:cs="微软简仿宋"/>
                <w:sz w:val="22"/>
              </w:rPr>
              <w:t>0</w:t>
            </w:r>
            <w:r>
              <w:rPr>
                <w:rFonts w:ascii="仿宋" w:hAnsi="仿宋" w:eastAsia="仿宋" w:cs="微软简仿宋"/>
                <w:sz w:val="22"/>
              </w:rPr>
              <w:t>0</w:t>
            </w:r>
            <w:r>
              <w:rPr>
                <w:rFonts w:hint="eastAsia" w:ascii="仿宋" w:hAnsi="仿宋" w:eastAsia="仿宋" w:cs="微软简仿宋"/>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障碍价</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初始价格*</w:t>
            </w:r>
            <w:r>
              <w:rPr>
                <w:rFonts w:ascii="仿宋" w:hAnsi="仿宋" w:eastAsia="仿宋" w:cs="微软简仿宋"/>
                <w:sz w:val="22"/>
              </w:rPr>
              <w:t>110</w:t>
            </w:r>
            <w:r>
              <w:rPr>
                <w:rFonts w:hint="eastAsia" w:ascii="仿宋" w:hAnsi="仿宋" w:eastAsia="仿宋" w:cs="微软简仿宋"/>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参与率</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敲出事件</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观察日的指数价格大于等于障碍价</w:t>
            </w:r>
          </w:p>
        </w:tc>
      </w:tr>
    </w:tbl>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ascii="仿宋" w:hAnsi="仿宋" w:eastAsia="仿宋"/>
          <w:color w:val="auto"/>
        </w:rPr>
        <w:t xml:space="preserve">11. </w:t>
      </w:r>
      <w:r>
        <w:rPr>
          <w:rFonts w:hint="eastAsia" w:ascii="仿宋" w:hAnsi="仿宋" w:eastAsia="仿宋"/>
          <w:color w:val="auto"/>
        </w:rPr>
        <w:t>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简仿宋">
    <w:panose1 w:val="00000000000000000000"/>
    <w:charset w:val="86"/>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B0F79"/>
    <w:rsid w:val="000C03A9"/>
    <w:rsid w:val="000C784C"/>
    <w:rsid w:val="000D02FE"/>
    <w:rsid w:val="000D0355"/>
    <w:rsid w:val="000F06E2"/>
    <w:rsid w:val="000F0814"/>
    <w:rsid w:val="000F42B8"/>
    <w:rsid w:val="00103712"/>
    <w:rsid w:val="00112345"/>
    <w:rsid w:val="0012371E"/>
    <w:rsid w:val="0013018C"/>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16AB4"/>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60001"/>
    <w:rsid w:val="00463DC3"/>
    <w:rsid w:val="00482583"/>
    <w:rsid w:val="0048600F"/>
    <w:rsid w:val="00493909"/>
    <w:rsid w:val="004A2CEA"/>
    <w:rsid w:val="004B2316"/>
    <w:rsid w:val="004B3C7D"/>
    <w:rsid w:val="004C7E7D"/>
    <w:rsid w:val="004D72E5"/>
    <w:rsid w:val="004E4564"/>
    <w:rsid w:val="004E46BF"/>
    <w:rsid w:val="004E7458"/>
    <w:rsid w:val="004F3054"/>
    <w:rsid w:val="00511A6C"/>
    <w:rsid w:val="00511F92"/>
    <w:rsid w:val="0051737C"/>
    <w:rsid w:val="00520E98"/>
    <w:rsid w:val="005228EC"/>
    <w:rsid w:val="0053489D"/>
    <w:rsid w:val="00541B21"/>
    <w:rsid w:val="005622E8"/>
    <w:rsid w:val="0058195A"/>
    <w:rsid w:val="00587F99"/>
    <w:rsid w:val="005902F0"/>
    <w:rsid w:val="005A1AD3"/>
    <w:rsid w:val="005B0C42"/>
    <w:rsid w:val="005B5A4F"/>
    <w:rsid w:val="005B7070"/>
    <w:rsid w:val="005B7E09"/>
    <w:rsid w:val="005D1B39"/>
    <w:rsid w:val="005D5825"/>
    <w:rsid w:val="005E041A"/>
    <w:rsid w:val="005E4F8D"/>
    <w:rsid w:val="006030F8"/>
    <w:rsid w:val="00603823"/>
    <w:rsid w:val="006120F9"/>
    <w:rsid w:val="006144F1"/>
    <w:rsid w:val="00623292"/>
    <w:rsid w:val="006309B4"/>
    <w:rsid w:val="0064430D"/>
    <w:rsid w:val="0066001D"/>
    <w:rsid w:val="006609EB"/>
    <w:rsid w:val="00661DAE"/>
    <w:rsid w:val="00664F8D"/>
    <w:rsid w:val="00665902"/>
    <w:rsid w:val="00665BDD"/>
    <w:rsid w:val="006714E1"/>
    <w:rsid w:val="00697279"/>
    <w:rsid w:val="006A3BD2"/>
    <w:rsid w:val="006B7A12"/>
    <w:rsid w:val="006C3AB4"/>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7F5C98"/>
    <w:rsid w:val="008111D2"/>
    <w:rsid w:val="00813D80"/>
    <w:rsid w:val="008207C1"/>
    <w:rsid w:val="008218B0"/>
    <w:rsid w:val="00826EBE"/>
    <w:rsid w:val="00827E04"/>
    <w:rsid w:val="00832FBF"/>
    <w:rsid w:val="00836DCD"/>
    <w:rsid w:val="0084396D"/>
    <w:rsid w:val="00846542"/>
    <w:rsid w:val="00852297"/>
    <w:rsid w:val="00853BBD"/>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6ED"/>
    <w:rsid w:val="00926B88"/>
    <w:rsid w:val="00940AE1"/>
    <w:rsid w:val="00950B58"/>
    <w:rsid w:val="0096591A"/>
    <w:rsid w:val="009707BD"/>
    <w:rsid w:val="009767AD"/>
    <w:rsid w:val="00991585"/>
    <w:rsid w:val="0099257B"/>
    <w:rsid w:val="009A1572"/>
    <w:rsid w:val="009B40CA"/>
    <w:rsid w:val="009B5749"/>
    <w:rsid w:val="009B654D"/>
    <w:rsid w:val="009C25C2"/>
    <w:rsid w:val="009E64E1"/>
    <w:rsid w:val="009F3291"/>
    <w:rsid w:val="00A10AA6"/>
    <w:rsid w:val="00A148B3"/>
    <w:rsid w:val="00A23D14"/>
    <w:rsid w:val="00A40B5C"/>
    <w:rsid w:val="00A55BA0"/>
    <w:rsid w:val="00A762A9"/>
    <w:rsid w:val="00AA20BC"/>
    <w:rsid w:val="00AB6C5C"/>
    <w:rsid w:val="00AC051A"/>
    <w:rsid w:val="00AC0C84"/>
    <w:rsid w:val="00AC28C2"/>
    <w:rsid w:val="00AD1A8E"/>
    <w:rsid w:val="00AD5773"/>
    <w:rsid w:val="00AE3F67"/>
    <w:rsid w:val="00AE55A6"/>
    <w:rsid w:val="00AF0D6A"/>
    <w:rsid w:val="00AF2148"/>
    <w:rsid w:val="00AF4114"/>
    <w:rsid w:val="00AF79D6"/>
    <w:rsid w:val="00B017EB"/>
    <w:rsid w:val="00B12B80"/>
    <w:rsid w:val="00B13FB3"/>
    <w:rsid w:val="00B15AEA"/>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07B9F"/>
    <w:rsid w:val="00C2501F"/>
    <w:rsid w:val="00C26621"/>
    <w:rsid w:val="00C34AF2"/>
    <w:rsid w:val="00C34C70"/>
    <w:rsid w:val="00C461D7"/>
    <w:rsid w:val="00C7590C"/>
    <w:rsid w:val="00C8002D"/>
    <w:rsid w:val="00CA6243"/>
    <w:rsid w:val="00CB07A0"/>
    <w:rsid w:val="00CB300C"/>
    <w:rsid w:val="00CC6613"/>
    <w:rsid w:val="00CD1AC8"/>
    <w:rsid w:val="00CD75FB"/>
    <w:rsid w:val="00CE795C"/>
    <w:rsid w:val="00CF453E"/>
    <w:rsid w:val="00D03E60"/>
    <w:rsid w:val="00D06EC1"/>
    <w:rsid w:val="00D07C3B"/>
    <w:rsid w:val="00D10CA5"/>
    <w:rsid w:val="00D20E48"/>
    <w:rsid w:val="00D224A0"/>
    <w:rsid w:val="00D54E89"/>
    <w:rsid w:val="00D62515"/>
    <w:rsid w:val="00D62EAE"/>
    <w:rsid w:val="00D633D2"/>
    <w:rsid w:val="00D64CD6"/>
    <w:rsid w:val="00D7194A"/>
    <w:rsid w:val="00D74E35"/>
    <w:rsid w:val="00D81EE7"/>
    <w:rsid w:val="00D842DC"/>
    <w:rsid w:val="00D92F2F"/>
    <w:rsid w:val="00D96806"/>
    <w:rsid w:val="00DA1051"/>
    <w:rsid w:val="00DB3201"/>
    <w:rsid w:val="00DB6A3F"/>
    <w:rsid w:val="00DC5F87"/>
    <w:rsid w:val="00DE1803"/>
    <w:rsid w:val="00DE30BD"/>
    <w:rsid w:val="00DE7DB8"/>
    <w:rsid w:val="00DF01F0"/>
    <w:rsid w:val="00E01C5E"/>
    <w:rsid w:val="00E02F1C"/>
    <w:rsid w:val="00E064E3"/>
    <w:rsid w:val="00E254D4"/>
    <w:rsid w:val="00E32C0D"/>
    <w:rsid w:val="00E51A3D"/>
    <w:rsid w:val="00E52D92"/>
    <w:rsid w:val="00E53D13"/>
    <w:rsid w:val="00E62046"/>
    <w:rsid w:val="00E65F0B"/>
    <w:rsid w:val="00E8067C"/>
    <w:rsid w:val="00E844E1"/>
    <w:rsid w:val="00E86945"/>
    <w:rsid w:val="00E91719"/>
    <w:rsid w:val="00E93A95"/>
    <w:rsid w:val="00E97A4D"/>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5119"/>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9EF471A"/>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4D1B"/>
    <w:rsid w:val="1BCE5D96"/>
    <w:rsid w:val="1BDE2098"/>
    <w:rsid w:val="1BE069CA"/>
    <w:rsid w:val="1C465E86"/>
    <w:rsid w:val="1C726314"/>
    <w:rsid w:val="1C8B0511"/>
    <w:rsid w:val="1CE252F3"/>
    <w:rsid w:val="1D104FDC"/>
    <w:rsid w:val="1D117096"/>
    <w:rsid w:val="1D4E59B7"/>
    <w:rsid w:val="1DE516B8"/>
    <w:rsid w:val="1E047274"/>
    <w:rsid w:val="1E433C85"/>
    <w:rsid w:val="1E890F40"/>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324AF8"/>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A34E0F"/>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4FC031BD"/>
    <w:rsid w:val="500C5A60"/>
    <w:rsid w:val="501E233E"/>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DC1578"/>
    <w:rsid w:val="5EE6353D"/>
    <w:rsid w:val="5F0310B7"/>
    <w:rsid w:val="5F0C287E"/>
    <w:rsid w:val="5F1655AE"/>
    <w:rsid w:val="5F5952B0"/>
    <w:rsid w:val="602E28A2"/>
    <w:rsid w:val="603E2C23"/>
    <w:rsid w:val="60C0423D"/>
    <w:rsid w:val="60E7450D"/>
    <w:rsid w:val="6166406C"/>
    <w:rsid w:val="618F3AF2"/>
    <w:rsid w:val="61DA68DC"/>
    <w:rsid w:val="622708C6"/>
    <w:rsid w:val="62460A47"/>
    <w:rsid w:val="627931BD"/>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37D3686"/>
    <w:rsid w:val="73E20E2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2"/>
    <w:qFormat/>
    <w:uiPriority w:val="0"/>
    <w:rPr>
      <w:b/>
      <w:bCs/>
    </w:rPr>
  </w:style>
  <w:style w:type="table" w:styleId="9">
    <w:name w:val="Table Grid"/>
    <w:basedOn w:val="8"/>
    <w:unhideWhenUs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annotation reference"/>
    <w:qFormat/>
    <w:uiPriority w:val="0"/>
    <w:rPr>
      <w:sz w:val="21"/>
      <w:szCs w:val="21"/>
    </w:rPr>
  </w:style>
  <w:style w:type="character" w:customStyle="1" w:styleId="12">
    <w:name w:val="批注主题 Char"/>
    <w:link w:val="7"/>
    <w:qFormat/>
    <w:uiPriority w:val="0"/>
    <w:rPr>
      <w:b/>
      <w:bCs/>
      <w:kern w:val="2"/>
      <w:sz w:val="21"/>
      <w:szCs w:val="24"/>
    </w:rPr>
  </w:style>
  <w:style w:type="character" w:customStyle="1" w:styleId="13">
    <w:name w:val="批注文字 Char"/>
    <w:link w:val="2"/>
    <w:qFormat/>
    <w:uiPriority w:val="0"/>
    <w:rPr>
      <w:kern w:val="2"/>
      <w:sz w:val="21"/>
      <w:szCs w:val="24"/>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2342</Words>
  <Characters>13354</Characters>
  <Lines>111</Lines>
  <Paragraphs>31</Paragraphs>
  <TotalTime>5</TotalTime>
  <ScaleCrop>false</ScaleCrop>
  <LinksUpToDate>false</LinksUpToDate>
  <CharactersWithSpaces>15665</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2023-03-30T08:57:00Z</dcterms:created>
  <dc:creator>ylh</dc:creator>
  <cp:keywords>跃盈</cp:keywords>
  <cp:lastModifiedBy>RORO</cp:lastModifiedBy>
  <cp:lastPrinted>2021-07-21T07:06:00Z</cp:lastPrinted>
  <dcterms:modified xsi:type="dcterms:W3CDTF">2023-03-31T03:19:42Z</dcterms:modified>
  <dc:title>华夏理财跃盈封闭式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7FD58229F76F425C97CE679FD6D5D50E</vt:lpwstr>
  </property>
</Properties>
</file>