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华夏理财固定收益增强型封闭式理财产品</w:t>
      </w:r>
      <w:r>
        <w:rPr>
          <w:rFonts w:hint="eastAsia" w:eastAsia="黑体"/>
          <w:bCs/>
          <w:sz w:val="36"/>
          <w:szCs w:val="36"/>
          <w:lang w:val="en-US" w:eastAsia="zh-CN"/>
        </w:rPr>
        <w:t>73号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noWrap w:val="0"/>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73号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w:t>
            </w:r>
            <w:r>
              <w:rPr>
                <w:rFonts w:hint="eastAsia" w:ascii="仿宋" w:hAnsi="仿宋" w:eastAsia="仿宋"/>
                <w:b/>
                <w:bCs/>
                <w:szCs w:val="21"/>
                <w:lang w:val="en-US" w:eastAsia="zh-CN"/>
              </w:rPr>
              <w:t>73号1083天</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22131073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Z7003922000116</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5.10%</w:t>
            </w:r>
            <w:r>
              <w:rPr>
                <w:rFonts w:hint="eastAsia" w:ascii="仿宋" w:hAnsi="仿宋" w:eastAsia="仿宋" w:cs="Cambria"/>
                <w:bCs/>
                <w:szCs w:val="21"/>
              </w:rPr>
              <w:t>（年化）。以产品投资利率债仓位0-5%，信用债仓位70%-80%，非标债权类资产仓位20%-40%，权益类资产仓位0-10%，组合杠杆率115%-125%为例，参考中债-国债总财富（1-3年）指数、中债-信用债总财富（1-3年）指数、Wind混合型基金总指数以及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2023年1月20日</w:t>
            </w:r>
            <w:r>
              <w:rPr>
                <w:rFonts w:ascii="仿宋" w:hAnsi="仿宋" w:eastAsia="仿宋"/>
                <w:bCs/>
                <w:szCs w:val="21"/>
              </w:rPr>
              <w:t>－</w:t>
            </w:r>
            <w:r>
              <w:rPr>
                <w:rFonts w:hint="eastAsia" w:ascii="仿宋" w:hAnsi="仿宋" w:eastAsia="仿宋"/>
                <w:bCs/>
                <w:szCs w:val="21"/>
              </w:rPr>
              <w:t>2023年2月1日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2023年2月2日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1083</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2026年1月20日理财产品正常到期，到期日如为非工作日，则顺延至下一工作日。如理财产品因故提前或延迟到期的，则终止日以华夏理财发布的公告为准。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认购起点金额1元，以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hint="eastAsia" w:ascii="仿宋" w:hAnsi="仿宋" w:eastAsia="仿宋"/>
                <w:color w:val="auto"/>
                <w:lang w:val="en-US" w:eastAsia="zh-CN"/>
              </w:rPr>
            </w:pPr>
            <w:r>
              <w:rPr>
                <w:rFonts w:hint="eastAsia" w:ascii="仿宋" w:hAnsi="仿宋" w:eastAsia="仿宋"/>
                <w:color w:val="auto"/>
                <w:lang w:val="en-US" w:eastAsia="zh-CN"/>
              </w:rPr>
              <w:t>最高持有限额要求：单一投资者持有本产品份额数不得超过本产品份额总数的50%。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2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t xml:space="preserve"> </w:t>
            </w:r>
            <w:r>
              <w:rPr>
                <w:rFonts w:ascii="仿宋" w:hAnsi="仿宋" w:eastAsia="仿宋"/>
                <w:bCs/>
                <w:szCs w:val="21"/>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w:t>
            </w:r>
            <w:r>
              <w:rPr>
                <w:rFonts w:ascii="仿宋" w:hAnsi="仿宋" w:eastAsia="仿宋"/>
                <w:bCs/>
                <w:szCs w:val="21"/>
              </w:rPr>
              <w:t>30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default"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ascii="仿宋" w:hAnsi="仿宋" w:eastAsia="仿宋"/>
                <w:bCs/>
                <w:szCs w:val="21"/>
              </w:rPr>
              <w:t>0</w:t>
            </w:r>
            <w:r>
              <w:rPr>
                <w:rFonts w:hint="eastAsia" w:ascii="仿宋" w:hAnsi="仿宋" w:eastAsia="仿宋"/>
                <w:bCs/>
                <w:szCs w:val="21"/>
                <w:lang w:val="en-US" w:eastAsia="zh-CN"/>
              </w:rPr>
              <w:t>.2</w:t>
            </w:r>
            <w:r>
              <w:rPr>
                <w:rFonts w:ascii="仿宋" w:hAnsi="仿宋" w:eastAsia="仿宋"/>
                <w:bCs/>
                <w:szCs w:val="21"/>
              </w:rPr>
              <w:t>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超额管理费计提基准为5.10%（年化）。</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本产品超额管理费的计算公式：</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其中：年化收益率=（计提日累计单位净值-1.0000）÷1.0000×365÷当期持有天数。</w:t>
            </w:r>
          </w:p>
          <w:p>
            <w:pPr>
              <w:adjustRightInd w:val="0"/>
              <w:snapToGrid w:val="0"/>
              <w:spacing w:line="300" w:lineRule="exact"/>
              <w:ind w:firstLine="420"/>
              <w:rPr>
                <w:rFonts w:hint="eastAsia" w:ascii="仿宋" w:hAnsi="仿宋" w:eastAsia="仿宋" w:cs="Cambria"/>
                <w:bCs/>
                <w:szCs w:val="21"/>
                <w:lang w:val="en-US" w:eastAsia="zh-CN"/>
              </w:rPr>
            </w:pPr>
            <w:r>
              <w:rPr>
                <w:rFonts w:hint="eastAsia" w:ascii="仿宋" w:hAnsi="仿宋" w:eastAsia="仿宋" w:cs="Cambria"/>
                <w:bCs/>
                <w:szCs w:val="21"/>
                <w:lang w:val="en-US" w:eastAsia="zh-CN"/>
              </w:rPr>
              <w:t>“产品份额”为产品份额，若有红利再投时，将剔除红利再投产生份额的影响。</w:t>
            </w:r>
          </w:p>
          <w:p>
            <w:pPr>
              <w:adjustRightInd w:val="0"/>
              <w:snapToGrid w:val="0"/>
              <w:spacing w:line="300" w:lineRule="exact"/>
              <w:ind w:firstLine="420"/>
              <w:rPr>
                <w:rFonts w:hint="eastAsia" w:ascii="仿宋" w:hAnsi="仿宋" w:eastAsia="仿宋"/>
                <w:bCs/>
                <w:szCs w:val="21"/>
                <w:u w:val="single"/>
              </w:rPr>
            </w:pPr>
            <w:r>
              <w:rPr>
                <w:rFonts w:hint="eastAsia" w:ascii="仿宋" w:hAnsi="仿宋" w:eastAsia="仿宋" w:cs="Cambria"/>
                <w:bCs/>
                <w:szCs w:val="21"/>
                <w:lang w:val="en-US" w:eastAsia="zh-CN"/>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uto"/>
              <w:ind w:firstLine="420" w:firstLineChars="200"/>
              <w:jc w:val="left"/>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产品成立每满一年后，管理人可根据投资情况决定是否分红，具体分红安排见公告。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833"/>
        <w:gridCol w:w="5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833" w:type="dxa"/>
            <w:noWrap w:val="0"/>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5041" w:type="dxa"/>
            <w:noWrap w:val="0"/>
            <w:vAlign w:val="center"/>
          </w:tcPr>
          <w:p>
            <w:pPr>
              <w:adjustRightInd w:val="0"/>
              <w:snapToGrid w:val="0"/>
              <w:jc w:val="center"/>
              <w:rPr>
                <w:rFonts w:eastAsia="仿宋"/>
                <w:kern w:val="0"/>
                <w:sz w:val="24"/>
              </w:rPr>
            </w:pPr>
            <w:r>
              <w:rPr>
                <w:rFonts w:eastAsia="仿宋"/>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833" w:type="dxa"/>
            <w:noWrap w:val="0"/>
            <w:vAlign w:val="center"/>
          </w:tcPr>
          <w:p>
            <w:pPr>
              <w:adjustRightInd w:val="0"/>
              <w:snapToGrid w:val="0"/>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041" w:type="dxa"/>
            <w:noWrap w:val="0"/>
            <w:vAlign w:val="center"/>
          </w:tcPr>
          <w:p>
            <w:pPr>
              <w:adjustRightInd w:val="0"/>
              <w:snapToGrid w:val="0"/>
              <w:spacing w:line="400" w:lineRule="exact"/>
              <w:jc w:val="center"/>
              <w:rPr>
                <w:rFonts w:eastAsia="仿宋"/>
                <w:kern w:val="0"/>
                <w:sz w:val="24"/>
              </w:rPr>
            </w:pPr>
            <w:r>
              <w:rPr>
                <w:rFonts w:ascii="仿宋" w:hAnsi="仿宋" w:eastAsia="仿宋" w:cs="宋体"/>
                <w:color w:val="000000"/>
                <w:kern w:val="0"/>
                <w:sz w:val="24"/>
              </w:rPr>
              <w:t>80</w:t>
            </w:r>
            <w:r>
              <w:rPr>
                <w:rFonts w:hint="eastAsia" w:ascii="仿宋" w:hAnsi="仿宋" w:eastAsia="仿宋" w:cs="宋体"/>
                <w:color w:val="000000"/>
                <w:kern w:val="0"/>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3833" w:type="dxa"/>
            <w:noWrap w:val="0"/>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5041" w:type="dxa"/>
            <w:noWrap w:val="0"/>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20</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 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ascii="Times New Roman" w:eastAsia="黑体" w:cs="Times New Roman"/>
          <w:b/>
          <w:color w:val="auto"/>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w:t>
      </w:r>
      <w:r>
        <w:rPr>
          <w:rFonts w:hint="eastAsia" w:ascii="仿宋" w:hAnsi="仿宋" w:eastAsia="仿宋"/>
        </w:rPr>
        <w:t>，权益类资产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bookmarkStart w:id="7" w:name="_GoBack"/>
      <w:bookmarkEnd w:id="7"/>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0"/>
  <w:bordersDoNotSurroundFooter w:val="0"/>
  <w:documentProtection w:edit="trackedChanges"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417756"/>
    <w:rsid w:val="02E40AD0"/>
    <w:rsid w:val="033A4D39"/>
    <w:rsid w:val="034644C7"/>
    <w:rsid w:val="04196F12"/>
    <w:rsid w:val="04435A9E"/>
    <w:rsid w:val="04950991"/>
    <w:rsid w:val="054B7EFA"/>
    <w:rsid w:val="05831998"/>
    <w:rsid w:val="060A409E"/>
    <w:rsid w:val="0610015A"/>
    <w:rsid w:val="066C6455"/>
    <w:rsid w:val="06930C07"/>
    <w:rsid w:val="072859C3"/>
    <w:rsid w:val="073F3B20"/>
    <w:rsid w:val="07853686"/>
    <w:rsid w:val="079A3378"/>
    <w:rsid w:val="07B45D81"/>
    <w:rsid w:val="07C26F1E"/>
    <w:rsid w:val="07C52B3D"/>
    <w:rsid w:val="07D6576F"/>
    <w:rsid w:val="07F1682B"/>
    <w:rsid w:val="08064FC2"/>
    <w:rsid w:val="080D6F41"/>
    <w:rsid w:val="0878556D"/>
    <w:rsid w:val="08A87A0E"/>
    <w:rsid w:val="08D300AE"/>
    <w:rsid w:val="09277EEB"/>
    <w:rsid w:val="096506FA"/>
    <w:rsid w:val="0A01440A"/>
    <w:rsid w:val="0A513B0D"/>
    <w:rsid w:val="0A5478A3"/>
    <w:rsid w:val="0CC36DA9"/>
    <w:rsid w:val="0CE74AB8"/>
    <w:rsid w:val="0D3600BA"/>
    <w:rsid w:val="0DD32259"/>
    <w:rsid w:val="0DDA2DC7"/>
    <w:rsid w:val="0EF43DB9"/>
    <w:rsid w:val="0F850895"/>
    <w:rsid w:val="102F133E"/>
    <w:rsid w:val="10987645"/>
    <w:rsid w:val="10ED247D"/>
    <w:rsid w:val="110764BF"/>
    <w:rsid w:val="113A6DA1"/>
    <w:rsid w:val="114758B1"/>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D31FDC"/>
    <w:rsid w:val="17D76C2B"/>
    <w:rsid w:val="17F8769D"/>
    <w:rsid w:val="18041AB4"/>
    <w:rsid w:val="190F268E"/>
    <w:rsid w:val="19287585"/>
    <w:rsid w:val="19610BFF"/>
    <w:rsid w:val="19953307"/>
    <w:rsid w:val="19A07D04"/>
    <w:rsid w:val="1AB13D5A"/>
    <w:rsid w:val="1B2C6F2C"/>
    <w:rsid w:val="1B5D5F33"/>
    <w:rsid w:val="1BA24967"/>
    <w:rsid w:val="1BAF6A57"/>
    <w:rsid w:val="1BCE5D96"/>
    <w:rsid w:val="1BDE2098"/>
    <w:rsid w:val="1BE069CA"/>
    <w:rsid w:val="1C465E86"/>
    <w:rsid w:val="1C726314"/>
    <w:rsid w:val="1C990302"/>
    <w:rsid w:val="1CD84F49"/>
    <w:rsid w:val="1CE252F3"/>
    <w:rsid w:val="1D104FDC"/>
    <w:rsid w:val="1D117096"/>
    <w:rsid w:val="1DE516B8"/>
    <w:rsid w:val="1E433C85"/>
    <w:rsid w:val="1ED877DF"/>
    <w:rsid w:val="1F0B3DFE"/>
    <w:rsid w:val="1F5522A7"/>
    <w:rsid w:val="1FD45CE1"/>
    <w:rsid w:val="21433609"/>
    <w:rsid w:val="214D162F"/>
    <w:rsid w:val="22171129"/>
    <w:rsid w:val="222D0D62"/>
    <w:rsid w:val="2350568B"/>
    <w:rsid w:val="23534618"/>
    <w:rsid w:val="237F35E5"/>
    <w:rsid w:val="23A50D24"/>
    <w:rsid w:val="23E44373"/>
    <w:rsid w:val="242806AA"/>
    <w:rsid w:val="24392A65"/>
    <w:rsid w:val="2467066D"/>
    <w:rsid w:val="24E91956"/>
    <w:rsid w:val="252E26F1"/>
    <w:rsid w:val="25C3267A"/>
    <w:rsid w:val="25D568B4"/>
    <w:rsid w:val="25F33B9E"/>
    <w:rsid w:val="260C731E"/>
    <w:rsid w:val="26103F21"/>
    <w:rsid w:val="27EA63D1"/>
    <w:rsid w:val="287A5D0E"/>
    <w:rsid w:val="28B05EE9"/>
    <w:rsid w:val="28CF556A"/>
    <w:rsid w:val="28D30187"/>
    <w:rsid w:val="28E571A8"/>
    <w:rsid w:val="294C4E21"/>
    <w:rsid w:val="296D4B02"/>
    <w:rsid w:val="2A103412"/>
    <w:rsid w:val="2A1E1418"/>
    <w:rsid w:val="2A770C99"/>
    <w:rsid w:val="2BBB2833"/>
    <w:rsid w:val="2BC42334"/>
    <w:rsid w:val="2BCC4DCB"/>
    <w:rsid w:val="2C1011CD"/>
    <w:rsid w:val="2C40390A"/>
    <w:rsid w:val="2C4C703B"/>
    <w:rsid w:val="2D241337"/>
    <w:rsid w:val="2D753D30"/>
    <w:rsid w:val="2D8529B1"/>
    <w:rsid w:val="2DC02129"/>
    <w:rsid w:val="2E010168"/>
    <w:rsid w:val="2E1D013D"/>
    <w:rsid w:val="2E6A7D66"/>
    <w:rsid w:val="2EA972CC"/>
    <w:rsid w:val="2EC31B75"/>
    <w:rsid w:val="2F0241AF"/>
    <w:rsid w:val="2FE72027"/>
    <w:rsid w:val="2FF53796"/>
    <w:rsid w:val="306A1371"/>
    <w:rsid w:val="3127549C"/>
    <w:rsid w:val="31533557"/>
    <w:rsid w:val="31B41A9A"/>
    <w:rsid w:val="31C723A9"/>
    <w:rsid w:val="31C74937"/>
    <w:rsid w:val="31F02E84"/>
    <w:rsid w:val="32062205"/>
    <w:rsid w:val="322068C9"/>
    <w:rsid w:val="326170B4"/>
    <w:rsid w:val="328F3B54"/>
    <w:rsid w:val="329A11A0"/>
    <w:rsid w:val="32FF7EB7"/>
    <w:rsid w:val="34126396"/>
    <w:rsid w:val="345E593B"/>
    <w:rsid w:val="34605A84"/>
    <w:rsid w:val="346C230B"/>
    <w:rsid w:val="35034F52"/>
    <w:rsid w:val="352C602C"/>
    <w:rsid w:val="35B16527"/>
    <w:rsid w:val="36B76A85"/>
    <w:rsid w:val="36B82ADE"/>
    <w:rsid w:val="376879F0"/>
    <w:rsid w:val="37EC4B4C"/>
    <w:rsid w:val="387B665C"/>
    <w:rsid w:val="39690814"/>
    <w:rsid w:val="39B76C90"/>
    <w:rsid w:val="39C37A55"/>
    <w:rsid w:val="39C53B44"/>
    <w:rsid w:val="39EF39C3"/>
    <w:rsid w:val="3A23092B"/>
    <w:rsid w:val="3A35598B"/>
    <w:rsid w:val="3A595F4B"/>
    <w:rsid w:val="3B4C73CF"/>
    <w:rsid w:val="3B6A1532"/>
    <w:rsid w:val="3BC55932"/>
    <w:rsid w:val="3C7826C2"/>
    <w:rsid w:val="3C8F2051"/>
    <w:rsid w:val="3CD87A38"/>
    <w:rsid w:val="3D83215E"/>
    <w:rsid w:val="3DFF3A1A"/>
    <w:rsid w:val="3EA946F7"/>
    <w:rsid w:val="3EB343C7"/>
    <w:rsid w:val="3ED615CF"/>
    <w:rsid w:val="3EEC674A"/>
    <w:rsid w:val="3F8907F6"/>
    <w:rsid w:val="3F8B7D7F"/>
    <w:rsid w:val="3FDA33E1"/>
    <w:rsid w:val="3FF20B0E"/>
    <w:rsid w:val="3FF874DE"/>
    <w:rsid w:val="40670EF7"/>
    <w:rsid w:val="40974D22"/>
    <w:rsid w:val="40AB1A12"/>
    <w:rsid w:val="41012626"/>
    <w:rsid w:val="417575F2"/>
    <w:rsid w:val="41BD7655"/>
    <w:rsid w:val="41CC7DB7"/>
    <w:rsid w:val="42F60353"/>
    <w:rsid w:val="438556A7"/>
    <w:rsid w:val="43A6228A"/>
    <w:rsid w:val="44CC2C77"/>
    <w:rsid w:val="4524487F"/>
    <w:rsid w:val="45CC078F"/>
    <w:rsid w:val="466B6F06"/>
    <w:rsid w:val="46860155"/>
    <w:rsid w:val="476049FD"/>
    <w:rsid w:val="47802A85"/>
    <w:rsid w:val="487C60FD"/>
    <w:rsid w:val="489E098C"/>
    <w:rsid w:val="48B61CC6"/>
    <w:rsid w:val="492A5B50"/>
    <w:rsid w:val="49321AAF"/>
    <w:rsid w:val="493A681C"/>
    <w:rsid w:val="493C2E02"/>
    <w:rsid w:val="494D579F"/>
    <w:rsid w:val="498C1FB1"/>
    <w:rsid w:val="4A255416"/>
    <w:rsid w:val="4A937164"/>
    <w:rsid w:val="4A9750EA"/>
    <w:rsid w:val="4AA40703"/>
    <w:rsid w:val="4B1D70C8"/>
    <w:rsid w:val="4B690413"/>
    <w:rsid w:val="4BB86F47"/>
    <w:rsid w:val="4BF60566"/>
    <w:rsid w:val="4C263A21"/>
    <w:rsid w:val="4C973694"/>
    <w:rsid w:val="4CCE54E6"/>
    <w:rsid w:val="4D2F6AA2"/>
    <w:rsid w:val="4EDD4EDE"/>
    <w:rsid w:val="4EE45C33"/>
    <w:rsid w:val="500C5A60"/>
    <w:rsid w:val="50461117"/>
    <w:rsid w:val="509A5F14"/>
    <w:rsid w:val="51954E8A"/>
    <w:rsid w:val="519B5496"/>
    <w:rsid w:val="51BE3D24"/>
    <w:rsid w:val="52667895"/>
    <w:rsid w:val="52B20439"/>
    <w:rsid w:val="53735224"/>
    <w:rsid w:val="537D24F6"/>
    <w:rsid w:val="538A5F1E"/>
    <w:rsid w:val="543C05E0"/>
    <w:rsid w:val="54B9651A"/>
    <w:rsid w:val="54F9389F"/>
    <w:rsid w:val="55222910"/>
    <w:rsid w:val="55643FAD"/>
    <w:rsid w:val="559032FC"/>
    <w:rsid w:val="55EF2193"/>
    <w:rsid w:val="560165A7"/>
    <w:rsid w:val="560B3FD6"/>
    <w:rsid w:val="563121A3"/>
    <w:rsid w:val="563A5292"/>
    <w:rsid w:val="5646747A"/>
    <w:rsid w:val="567B0F8C"/>
    <w:rsid w:val="56D476A1"/>
    <w:rsid w:val="574328BF"/>
    <w:rsid w:val="584667E1"/>
    <w:rsid w:val="5884596F"/>
    <w:rsid w:val="598336AE"/>
    <w:rsid w:val="599B3F0F"/>
    <w:rsid w:val="59A2047A"/>
    <w:rsid w:val="59C53CBD"/>
    <w:rsid w:val="5A41650D"/>
    <w:rsid w:val="5A7852B1"/>
    <w:rsid w:val="5AA97C90"/>
    <w:rsid w:val="5AE4319D"/>
    <w:rsid w:val="5C7E5C8C"/>
    <w:rsid w:val="5CE90207"/>
    <w:rsid w:val="5E3B759B"/>
    <w:rsid w:val="5E501568"/>
    <w:rsid w:val="5E50611E"/>
    <w:rsid w:val="5EB138AE"/>
    <w:rsid w:val="5EB53035"/>
    <w:rsid w:val="5ED23CC7"/>
    <w:rsid w:val="5EE6353D"/>
    <w:rsid w:val="5F0310B7"/>
    <w:rsid w:val="5F0C287E"/>
    <w:rsid w:val="5F5952B0"/>
    <w:rsid w:val="602E28A2"/>
    <w:rsid w:val="60C0423D"/>
    <w:rsid w:val="60E7450D"/>
    <w:rsid w:val="6166406C"/>
    <w:rsid w:val="618558B6"/>
    <w:rsid w:val="618F3AF2"/>
    <w:rsid w:val="61DA68DC"/>
    <w:rsid w:val="622708C6"/>
    <w:rsid w:val="62460A47"/>
    <w:rsid w:val="63554C8E"/>
    <w:rsid w:val="63890B77"/>
    <w:rsid w:val="639D1EC4"/>
    <w:rsid w:val="63A13700"/>
    <w:rsid w:val="63DA03E2"/>
    <w:rsid w:val="64541B77"/>
    <w:rsid w:val="64667487"/>
    <w:rsid w:val="64E9282A"/>
    <w:rsid w:val="65A741CF"/>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1223B"/>
    <w:rsid w:val="698C4C9E"/>
    <w:rsid w:val="69E719A0"/>
    <w:rsid w:val="6A5B0FA5"/>
    <w:rsid w:val="6A983C35"/>
    <w:rsid w:val="6B4C2F45"/>
    <w:rsid w:val="6B966680"/>
    <w:rsid w:val="6C161AD0"/>
    <w:rsid w:val="6D157AE9"/>
    <w:rsid w:val="6D2E7D50"/>
    <w:rsid w:val="6DD90E21"/>
    <w:rsid w:val="6DE0162F"/>
    <w:rsid w:val="6DFA3383"/>
    <w:rsid w:val="6E1A49C5"/>
    <w:rsid w:val="6E254EA7"/>
    <w:rsid w:val="6EBB30B7"/>
    <w:rsid w:val="6F786BDA"/>
    <w:rsid w:val="709573C6"/>
    <w:rsid w:val="709E2354"/>
    <w:rsid w:val="70A45D37"/>
    <w:rsid w:val="70E70772"/>
    <w:rsid w:val="71900429"/>
    <w:rsid w:val="719027A5"/>
    <w:rsid w:val="71C9496E"/>
    <w:rsid w:val="71EE76F7"/>
    <w:rsid w:val="725F0CAE"/>
    <w:rsid w:val="72981180"/>
    <w:rsid w:val="729C09F9"/>
    <w:rsid w:val="73155C46"/>
    <w:rsid w:val="7366194C"/>
    <w:rsid w:val="74062834"/>
    <w:rsid w:val="740D552E"/>
    <w:rsid w:val="74136087"/>
    <w:rsid w:val="74A805D6"/>
    <w:rsid w:val="74A870B6"/>
    <w:rsid w:val="74F17D43"/>
    <w:rsid w:val="74FA0674"/>
    <w:rsid w:val="754F1383"/>
    <w:rsid w:val="75DC198B"/>
    <w:rsid w:val="764A2B58"/>
    <w:rsid w:val="76661B90"/>
    <w:rsid w:val="76770E44"/>
    <w:rsid w:val="77731DCC"/>
    <w:rsid w:val="77B301A9"/>
    <w:rsid w:val="77F43C8B"/>
    <w:rsid w:val="78FB1E09"/>
    <w:rsid w:val="79BB4445"/>
    <w:rsid w:val="79CC1086"/>
    <w:rsid w:val="79EF28EF"/>
    <w:rsid w:val="7A0E66B3"/>
    <w:rsid w:val="7A300713"/>
    <w:rsid w:val="7A3B7268"/>
    <w:rsid w:val="7AB968E7"/>
    <w:rsid w:val="7AC65BFC"/>
    <w:rsid w:val="7B0735D8"/>
    <w:rsid w:val="7B0F7EA2"/>
    <w:rsid w:val="7B2F3DDD"/>
    <w:rsid w:val="7B4B41CD"/>
    <w:rsid w:val="7B5A24C6"/>
    <w:rsid w:val="7CDB4C9F"/>
    <w:rsid w:val="7D016D57"/>
    <w:rsid w:val="7D2B624D"/>
    <w:rsid w:val="7DA04052"/>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8">
    <w:name w:val="Normal Table"/>
    <w:unhideWhenUsed/>
    <w:uiPriority w:val="99"/>
    <w:tblPr>
      <w:tblStyle w:val="8"/>
      <w:tblLayout w:type="fixed"/>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uiPriority w:val="0"/>
    <w:rPr>
      <w:b/>
      <w:bCs/>
    </w:rPr>
  </w:style>
  <w:style w:type="character" w:styleId="10">
    <w:name w:val="annotation reference"/>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2360</Words>
  <Characters>13452</Characters>
  <Lines>112</Lines>
  <Paragraphs>31</Paragraphs>
  <TotalTime>2</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RORO</cp:lastModifiedBy>
  <cp:lastPrinted>2021-07-21T07:06:00Z</cp:lastPrinted>
  <dcterms:modified xsi:type="dcterms:W3CDTF">2023-01-13T07:42:52Z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F1F6118076854A19BA3D04EB58E7529E</vt:lpwstr>
  </property>
</Properties>
</file>