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20" w:rsidRDefault="00382196">
      <w:pPr>
        <w:pStyle w:val="a5"/>
        <w:widowControl/>
        <w:spacing w:line="240" w:lineRule="auto"/>
        <w:ind w:firstLine="0"/>
        <w:jc w:val="center"/>
        <w:rPr>
          <w:rFonts w:eastAsia="黑体"/>
          <w:bCs/>
          <w:sz w:val="36"/>
          <w:szCs w:val="36"/>
        </w:rPr>
      </w:pPr>
      <w:r>
        <w:rPr>
          <w:rFonts w:eastAsia="黑体" w:hint="eastAsia"/>
          <w:bCs/>
          <w:sz w:val="36"/>
          <w:szCs w:val="36"/>
        </w:rPr>
        <w:t>华夏理财固定收益增强型精选封闭式理财产品</w:t>
      </w:r>
      <w:r w:rsidR="005521CA" w:rsidRPr="005521CA">
        <w:rPr>
          <w:rFonts w:eastAsia="黑体"/>
          <w:bCs/>
          <w:sz w:val="36"/>
          <w:szCs w:val="36"/>
        </w:rPr>
        <w:t>12</w:t>
      </w:r>
      <w:r>
        <w:rPr>
          <w:rFonts w:eastAsia="黑体" w:hint="eastAsia"/>
          <w:bCs/>
          <w:sz w:val="36"/>
          <w:szCs w:val="36"/>
        </w:rPr>
        <w:t>号</w:t>
      </w:r>
    </w:p>
    <w:p w:rsidR="00322620" w:rsidRDefault="00382196">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322620">
        <w:trPr>
          <w:trHeight w:val="6140"/>
          <w:jc w:val="center"/>
        </w:trPr>
        <w:tc>
          <w:tcPr>
            <w:tcW w:w="8569" w:type="dxa"/>
            <w:tcBorders>
              <w:top w:val="single" w:sz="4" w:space="0" w:color="auto"/>
              <w:left w:val="single" w:sz="4" w:space="0" w:color="auto"/>
              <w:right w:val="single" w:sz="4" w:space="0" w:color="auto"/>
            </w:tcBorders>
            <w:vAlign w:val="center"/>
          </w:tcPr>
          <w:p w:rsidR="00322620" w:rsidRDefault="0038219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322620" w:rsidRDefault="00382196">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322620" w:rsidRDefault="0038219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322620" w:rsidRDefault="0038219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322620" w:rsidRDefault="00382196">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322620">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华夏理财固定收益增强型精选封闭式理财产品</w:t>
            </w:r>
            <w:r w:rsidR="005521CA" w:rsidRPr="005521CA">
              <w:rPr>
                <w:rFonts w:ascii="仿宋" w:eastAsia="仿宋" w:hAnsi="仿宋"/>
                <w:b/>
                <w:bCs/>
                <w:szCs w:val="21"/>
              </w:rPr>
              <w:t>12</w:t>
            </w:r>
            <w:r>
              <w:rPr>
                <w:rFonts w:ascii="仿宋" w:eastAsia="仿宋" w:hAnsi="仿宋" w:hint="eastAsia"/>
                <w:b/>
                <w:bCs/>
                <w:szCs w:val="21"/>
              </w:rPr>
              <w:t>号</w:t>
            </w:r>
          </w:p>
          <w:p w:rsidR="00322620" w:rsidRDefault="00382196">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A份额简称：“华夏理财固收增强精选封闭式</w:t>
            </w:r>
            <w:r w:rsidR="005521CA" w:rsidRPr="005521CA">
              <w:rPr>
                <w:rFonts w:ascii="仿宋" w:eastAsia="仿宋" w:hAnsi="仿宋" w:hint="eastAsia"/>
                <w:b/>
                <w:bCs/>
                <w:szCs w:val="21"/>
              </w:rPr>
              <w:t>12号397天</w:t>
            </w:r>
            <w:r>
              <w:rPr>
                <w:rFonts w:ascii="仿宋" w:eastAsia="仿宋" w:hAnsi="仿宋" w:hint="eastAsia"/>
                <w:b/>
                <w:bCs/>
                <w:szCs w:val="21"/>
              </w:rPr>
              <w:t>A”</w:t>
            </w:r>
          </w:p>
          <w:p w:rsidR="00322620" w:rsidRDefault="00382196" w:rsidP="005521CA">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B份额简称：“华夏理财固收增强精选封闭式</w:t>
            </w:r>
            <w:r w:rsidR="005521CA" w:rsidRPr="005521CA">
              <w:rPr>
                <w:rFonts w:ascii="仿宋" w:eastAsia="仿宋" w:hAnsi="仿宋" w:hint="eastAsia"/>
                <w:b/>
                <w:bCs/>
                <w:szCs w:val="21"/>
              </w:rPr>
              <w:t>12号397天</w:t>
            </w:r>
            <w:r>
              <w:rPr>
                <w:rFonts w:ascii="仿宋" w:eastAsia="仿宋" w:hAnsi="仿宋" w:hint="eastAsia"/>
                <w:b/>
                <w:bCs/>
                <w:szCs w:val="21"/>
              </w:rPr>
              <w:t>B”</w:t>
            </w:r>
          </w:p>
          <w:p w:rsidR="003E19F9" w:rsidRDefault="003E19F9" w:rsidP="003E19F9">
            <w:pPr>
              <w:adjustRightInd w:val="0"/>
              <w:snapToGrid w:val="0"/>
              <w:spacing w:line="300" w:lineRule="exact"/>
              <w:jc w:val="center"/>
              <w:rPr>
                <w:rFonts w:ascii="仿宋" w:eastAsia="仿宋" w:hAnsi="仿宋"/>
                <w:b/>
                <w:bCs/>
                <w:szCs w:val="21"/>
              </w:rPr>
            </w:pPr>
            <w:r>
              <w:rPr>
                <w:rFonts w:ascii="仿宋" w:eastAsia="仿宋" w:hAnsi="仿宋"/>
                <w:b/>
                <w:bCs/>
                <w:szCs w:val="21"/>
              </w:rPr>
              <w:t>C</w:t>
            </w:r>
            <w:r>
              <w:rPr>
                <w:rFonts w:ascii="仿宋" w:eastAsia="仿宋" w:hAnsi="仿宋" w:hint="eastAsia"/>
                <w:b/>
                <w:bCs/>
                <w:szCs w:val="21"/>
              </w:rPr>
              <w:t>份额简称：“华夏理财固收增强精选封闭式</w:t>
            </w:r>
            <w:r w:rsidRPr="005521CA">
              <w:rPr>
                <w:rFonts w:ascii="仿宋" w:eastAsia="仿宋" w:hAnsi="仿宋" w:hint="eastAsia"/>
                <w:b/>
                <w:bCs/>
                <w:szCs w:val="21"/>
              </w:rPr>
              <w:t>12号397天</w:t>
            </w:r>
            <w:r>
              <w:rPr>
                <w:rFonts w:ascii="仿宋" w:eastAsia="仿宋" w:hAnsi="仿宋"/>
                <w:b/>
                <w:bCs/>
                <w:szCs w:val="21"/>
              </w:rPr>
              <w:t>C</w:t>
            </w:r>
            <w:r>
              <w:rPr>
                <w:rFonts w:ascii="仿宋" w:eastAsia="仿宋" w:hAnsi="仿宋" w:hint="eastAsia"/>
                <w:b/>
                <w:bCs/>
                <w:szCs w:val="21"/>
              </w:rPr>
              <w:t>”</w:t>
            </w:r>
          </w:p>
        </w:tc>
      </w:tr>
      <w:tr w:rsidR="00322620">
        <w:trPr>
          <w:trHeight w:val="346"/>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5521CA">
            <w:pPr>
              <w:adjustRightInd w:val="0"/>
              <w:snapToGrid w:val="0"/>
              <w:spacing w:line="300" w:lineRule="exact"/>
              <w:jc w:val="center"/>
              <w:rPr>
                <w:rFonts w:ascii="仿宋" w:eastAsia="仿宋" w:hAnsi="仿宋"/>
                <w:bCs/>
                <w:szCs w:val="21"/>
              </w:rPr>
            </w:pPr>
            <w:r w:rsidRPr="005521CA">
              <w:rPr>
                <w:rFonts w:ascii="仿宋" w:eastAsia="仿宋" w:hAnsi="仿宋"/>
                <w:bCs/>
                <w:szCs w:val="21"/>
              </w:rPr>
              <w:t>22151012</w:t>
            </w:r>
          </w:p>
        </w:tc>
      </w:tr>
      <w:tr w:rsidR="00322620">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5521CA" w:rsidRPr="005521CA">
              <w:rPr>
                <w:rFonts w:ascii="仿宋" w:eastAsia="仿宋" w:hAnsi="仿宋"/>
                <w:bCs/>
                <w:szCs w:val="21"/>
              </w:rPr>
              <w:t>22151012</w:t>
            </w:r>
            <w:r>
              <w:rPr>
                <w:rFonts w:ascii="仿宋" w:eastAsia="仿宋" w:hAnsi="仿宋" w:hint="eastAsia"/>
                <w:bCs/>
                <w:szCs w:val="21"/>
              </w:rPr>
              <w:t>A</w:t>
            </w:r>
          </w:p>
          <w:p w:rsidR="00322620" w:rsidRDefault="00382196" w:rsidP="005521CA">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5521CA" w:rsidRPr="005521CA">
              <w:rPr>
                <w:rFonts w:ascii="仿宋" w:eastAsia="仿宋" w:hAnsi="仿宋"/>
                <w:bCs/>
                <w:szCs w:val="21"/>
              </w:rPr>
              <w:t>22151012</w:t>
            </w:r>
            <w:r>
              <w:rPr>
                <w:rFonts w:ascii="仿宋" w:eastAsia="仿宋" w:hAnsi="仿宋" w:hint="eastAsia"/>
                <w:bCs/>
                <w:szCs w:val="21"/>
              </w:rPr>
              <w:t>B</w:t>
            </w:r>
          </w:p>
          <w:p w:rsidR="003E19F9" w:rsidRDefault="003E19F9" w:rsidP="003E19F9">
            <w:pPr>
              <w:adjustRightInd w:val="0"/>
              <w:snapToGrid w:val="0"/>
              <w:spacing w:line="300" w:lineRule="exact"/>
              <w:jc w:val="center"/>
              <w:rPr>
                <w:rFonts w:ascii="仿宋" w:eastAsia="仿宋" w:hAnsi="仿宋"/>
                <w:bCs/>
                <w:szCs w:val="21"/>
              </w:rPr>
            </w:pPr>
            <w:r>
              <w:rPr>
                <w:rFonts w:ascii="仿宋" w:eastAsia="仿宋" w:hAnsi="仿宋"/>
                <w:bCs/>
                <w:szCs w:val="21"/>
              </w:rPr>
              <w:t>C</w:t>
            </w:r>
            <w:r>
              <w:rPr>
                <w:rFonts w:ascii="仿宋" w:eastAsia="仿宋" w:hAnsi="仿宋" w:hint="eastAsia"/>
                <w:bCs/>
                <w:szCs w:val="21"/>
              </w:rPr>
              <w:t>份额代码：</w:t>
            </w:r>
            <w:r w:rsidRPr="005521CA">
              <w:rPr>
                <w:rFonts w:ascii="仿宋" w:eastAsia="仿宋" w:hAnsi="仿宋"/>
                <w:bCs/>
                <w:szCs w:val="21"/>
              </w:rPr>
              <w:t>22151012</w:t>
            </w:r>
            <w:r>
              <w:rPr>
                <w:rFonts w:ascii="仿宋" w:eastAsia="仿宋" w:hAnsi="仿宋"/>
                <w:bCs/>
                <w:szCs w:val="21"/>
              </w:rPr>
              <w:t>C</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5521CA">
            <w:pPr>
              <w:keepNext/>
              <w:adjustRightInd w:val="0"/>
              <w:snapToGrid w:val="0"/>
              <w:spacing w:line="300" w:lineRule="exact"/>
              <w:jc w:val="center"/>
              <w:rPr>
                <w:rFonts w:ascii="仿宋" w:eastAsia="仿宋" w:hAnsi="仿宋"/>
                <w:bCs/>
                <w:szCs w:val="21"/>
              </w:rPr>
            </w:pPr>
            <w:r w:rsidRPr="005521CA">
              <w:rPr>
                <w:rFonts w:ascii="仿宋" w:eastAsia="仿宋" w:hAnsi="仿宋"/>
                <w:bCs/>
                <w:szCs w:val="21"/>
              </w:rPr>
              <w:t>Z7003922000123</w:t>
            </w:r>
          </w:p>
          <w:p w:rsidR="00322620" w:rsidRDefault="00382196">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322620" w:rsidRDefault="00382196">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hAnsi="仿宋"/>
              </w:rPr>
              <w:t xml:space="preserve"> </w:t>
            </w:r>
            <w:r>
              <w:rPr>
                <w:rFonts w:ascii="仿宋" w:eastAsia="仿宋" w:hAnsi="仿宋" w:hint="eastAsia"/>
                <w:bCs/>
                <w:szCs w:val="21"/>
              </w:rPr>
              <w:t>PR2级（中低风险）</w:t>
            </w:r>
            <w:r>
              <w:rPr>
                <w:rFonts w:ascii="仿宋" w:hAnsi="仿宋"/>
              </w:rPr>
              <w:t xml:space="preserve"> </w:t>
            </w:r>
            <w:r>
              <w:rPr>
                <w:rFonts w:ascii="仿宋" w:eastAsia="仿宋" w:hAnsi="仿宋"/>
                <w:bCs/>
                <w:szCs w:val="21"/>
              </w:rPr>
              <w:t>理财产品。</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hAnsi="仿宋"/>
                <w:b/>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szCs w:val="21"/>
              </w:rPr>
              <w:t>。</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个人投资者、机构投资</w:t>
            </w:r>
            <w:r>
              <w:rPr>
                <w:rFonts w:ascii="仿宋" w:eastAsia="仿宋" w:hAnsi="仿宋"/>
                <w:bCs/>
                <w:szCs w:val="21"/>
              </w:rPr>
              <w:t>者</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 xml:space="preserve"> CR2（稳健型）、CR3（平衡型）、CR4（进取型）、CR5（激进型）</w:t>
            </w:r>
            <w:r>
              <w:rPr>
                <w:rFonts w:ascii="仿宋" w:hAnsi="仿宋"/>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cs="仿宋" w:hint="eastAsia"/>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005521CA" w:rsidRPr="005521CA">
              <w:rPr>
                <w:rFonts w:ascii="仿宋" w:eastAsia="仿宋" w:hAnsi="仿宋" w:cs="Cambria"/>
                <w:bCs/>
                <w:szCs w:val="21"/>
              </w:rPr>
              <w:t>4.00%</w:t>
            </w:r>
            <w:r>
              <w:rPr>
                <w:rFonts w:ascii="仿宋" w:eastAsia="仿宋" w:hAnsi="仿宋" w:cs="Cambria" w:hint="eastAsia"/>
                <w:bCs/>
                <w:szCs w:val="21"/>
              </w:rPr>
              <w:t>（年化）</w:t>
            </w:r>
            <w:r w:rsidR="00B2731B">
              <w:rPr>
                <w:rFonts w:ascii="仿宋" w:eastAsia="仿宋" w:hAnsi="仿宋" w:cs="Cambria" w:hint="eastAsia"/>
                <w:bCs/>
                <w:szCs w:val="21"/>
              </w:rPr>
              <w:t>；</w:t>
            </w:r>
            <w:r>
              <w:rPr>
                <w:rFonts w:ascii="仿宋" w:eastAsia="仿宋" w:hAnsi="仿宋" w:cs="Cambria" w:hint="eastAsia"/>
                <w:bCs/>
                <w:szCs w:val="21"/>
              </w:rPr>
              <w:t>B份额：业绩</w:t>
            </w:r>
            <w:r>
              <w:rPr>
                <w:rFonts w:ascii="仿宋" w:eastAsia="仿宋" w:hAnsi="仿宋" w:hint="eastAsia"/>
                <w:bCs/>
                <w:szCs w:val="21"/>
              </w:rPr>
              <w:t>比较</w:t>
            </w:r>
            <w:r>
              <w:rPr>
                <w:rFonts w:ascii="仿宋" w:eastAsia="仿宋" w:hAnsi="仿宋" w:cs="Cambria" w:hint="eastAsia"/>
                <w:bCs/>
                <w:szCs w:val="21"/>
              </w:rPr>
              <w:t>基准为</w:t>
            </w:r>
            <w:r w:rsidR="005521CA" w:rsidRPr="005521CA">
              <w:rPr>
                <w:rFonts w:ascii="仿宋" w:eastAsia="仿宋" w:hAnsi="仿宋" w:cs="Cambria"/>
                <w:bCs/>
                <w:szCs w:val="21"/>
              </w:rPr>
              <w:t>3.95%</w:t>
            </w:r>
            <w:r>
              <w:rPr>
                <w:rFonts w:ascii="仿宋" w:eastAsia="仿宋" w:hAnsi="仿宋" w:cs="Cambria" w:hint="eastAsia"/>
                <w:bCs/>
                <w:szCs w:val="21"/>
              </w:rPr>
              <w:t>（年化）</w:t>
            </w:r>
            <w:r w:rsidR="00B2731B">
              <w:rPr>
                <w:rFonts w:ascii="仿宋" w:eastAsia="仿宋" w:hAnsi="仿宋" w:cs="Cambria" w:hint="eastAsia"/>
                <w:bCs/>
                <w:szCs w:val="21"/>
              </w:rPr>
              <w:t>；</w:t>
            </w:r>
            <w:r w:rsidR="00B2731B">
              <w:rPr>
                <w:rFonts w:ascii="仿宋" w:eastAsia="仿宋" w:hAnsi="仿宋" w:cs="Cambria"/>
                <w:bCs/>
                <w:szCs w:val="21"/>
              </w:rPr>
              <w:t>C</w:t>
            </w:r>
            <w:r w:rsidR="00B2731B">
              <w:rPr>
                <w:rFonts w:ascii="仿宋" w:eastAsia="仿宋" w:hAnsi="仿宋" w:cs="Cambria" w:hint="eastAsia"/>
                <w:bCs/>
                <w:szCs w:val="21"/>
              </w:rPr>
              <w:t>份额：业绩</w:t>
            </w:r>
            <w:r w:rsidR="00B2731B">
              <w:rPr>
                <w:rFonts w:ascii="仿宋" w:eastAsia="仿宋" w:hAnsi="仿宋" w:hint="eastAsia"/>
                <w:bCs/>
                <w:szCs w:val="21"/>
              </w:rPr>
              <w:t>比较</w:t>
            </w:r>
            <w:r w:rsidR="00B2731B">
              <w:rPr>
                <w:rFonts w:ascii="仿宋" w:eastAsia="仿宋" w:hAnsi="仿宋" w:cs="Cambria" w:hint="eastAsia"/>
                <w:bCs/>
                <w:szCs w:val="21"/>
              </w:rPr>
              <w:t>基准为</w:t>
            </w:r>
            <w:r w:rsidR="00B2731B" w:rsidRPr="00B2731B">
              <w:rPr>
                <w:rFonts w:ascii="仿宋" w:eastAsia="仿宋" w:hAnsi="仿宋" w:cs="Cambria"/>
                <w:bCs/>
                <w:szCs w:val="21"/>
              </w:rPr>
              <w:t>4.20%</w:t>
            </w:r>
            <w:r w:rsidR="00B2731B">
              <w:rPr>
                <w:rFonts w:ascii="仿宋" w:eastAsia="仿宋" w:hAnsi="仿宋" w:cs="Cambria" w:hint="eastAsia"/>
                <w:bCs/>
                <w:szCs w:val="21"/>
              </w:rPr>
              <w:t>（年化）</w:t>
            </w:r>
            <w:r>
              <w:rPr>
                <w:rFonts w:ascii="仿宋" w:eastAsia="仿宋" w:hAnsi="仿宋" w:cs="Cambria" w:hint="eastAsia"/>
                <w:bCs/>
                <w:szCs w:val="21"/>
              </w:rPr>
              <w:t>。</w:t>
            </w:r>
            <w:r w:rsidR="005521CA" w:rsidRPr="005521CA">
              <w:rPr>
                <w:rFonts w:ascii="仿宋" w:eastAsia="仿宋" w:hAnsi="仿宋" w:cs="Cambria" w:hint="eastAsia"/>
                <w:bCs/>
                <w:szCs w:val="21"/>
              </w:rPr>
              <w:t>以产品投资债券类资产</w:t>
            </w:r>
            <w:proofErr w:type="gramStart"/>
            <w:r w:rsidR="005521CA" w:rsidRPr="005521CA">
              <w:rPr>
                <w:rFonts w:ascii="仿宋" w:eastAsia="仿宋" w:hAnsi="仿宋" w:cs="Cambria" w:hint="eastAsia"/>
                <w:bCs/>
                <w:szCs w:val="21"/>
              </w:rPr>
              <w:t>仓位</w:t>
            </w:r>
            <w:proofErr w:type="gramEnd"/>
            <w:r w:rsidR="005521CA" w:rsidRPr="005521CA">
              <w:rPr>
                <w:rFonts w:ascii="仿宋" w:eastAsia="仿宋" w:hAnsi="仿宋" w:cs="Cambria" w:hint="eastAsia"/>
                <w:bCs/>
                <w:szCs w:val="21"/>
              </w:rPr>
              <w:t>100%-120%，非标债权类资产</w:t>
            </w:r>
            <w:proofErr w:type="gramStart"/>
            <w:r w:rsidR="005521CA" w:rsidRPr="005521CA">
              <w:rPr>
                <w:rFonts w:ascii="仿宋" w:eastAsia="仿宋" w:hAnsi="仿宋" w:cs="Cambria" w:hint="eastAsia"/>
                <w:bCs/>
                <w:szCs w:val="21"/>
              </w:rPr>
              <w:t>仓位</w:t>
            </w:r>
            <w:proofErr w:type="gramEnd"/>
            <w:r w:rsidR="005521CA" w:rsidRPr="005521CA">
              <w:rPr>
                <w:rFonts w:ascii="仿宋" w:eastAsia="仿宋" w:hAnsi="仿宋" w:cs="Cambria" w:hint="eastAsia"/>
                <w:bCs/>
                <w:szCs w:val="21"/>
              </w:rPr>
              <w:t>0-20%，权益类资产</w:t>
            </w:r>
            <w:proofErr w:type="gramStart"/>
            <w:r w:rsidR="005521CA" w:rsidRPr="005521CA">
              <w:rPr>
                <w:rFonts w:ascii="仿宋" w:eastAsia="仿宋" w:hAnsi="仿宋" w:cs="Cambria" w:hint="eastAsia"/>
                <w:bCs/>
                <w:szCs w:val="21"/>
              </w:rPr>
              <w:t>仓位</w:t>
            </w:r>
            <w:proofErr w:type="gramEnd"/>
            <w:r w:rsidR="005521CA" w:rsidRPr="005521CA">
              <w:rPr>
                <w:rFonts w:ascii="仿宋" w:eastAsia="仿宋" w:hAnsi="仿宋" w:cs="Cambria" w:hint="eastAsia"/>
                <w:bCs/>
                <w:szCs w:val="21"/>
              </w:rPr>
              <w:t>0-5%，组合杠杆率120%-140%为例，参考中债-</w:t>
            </w:r>
            <w:proofErr w:type="gramStart"/>
            <w:r w:rsidR="005521CA" w:rsidRPr="005521CA">
              <w:rPr>
                <w:rFonts w:ascii="仿宋" w:eastAsia="仿宋" w:hAnsi="仿宋" w:cs="Cambria" w:hint="eastAsia"/>
                <w:bCs/>
                <w:szCs w:val="21"/>
              </w:rPr>
              <w:t>信用债总财富</w:t>
            </w:r>
            <w:proofErr w:type="gramEnd"/>
            <w:r w:rsidR="005521CA" w:rsidRPr="005521CA">
              <w:rPr>
                <w:rFonts w:ascii="仿宋" w:eastAsia="仿宋" w:hAnsi="仿宋" w:cs="Cambria" w:hint="eastAsia"/>
                <w:bCs/>
                <w:szCs w:val="21"/>
              </w:rPr>
              <w:t>指数、剩余期限匹配的目标债券到期收益率、Wind混合型基金总指数、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rsidR="00322620" w:rsidRDefault="00382196">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322620" w:rsidRDefault="00382196">
            <w:pPr>
              <w:adjustRightInd w:val="0"/>
              <w:snapToGrid w:val="0"/>
              <w:spacing w:line="240" w:lineRule="atLeast"/>
              <w:rPr>
                <w:rFonts w:ascii="仿宋" w:eastAsia="仿宋" w:hAnsi="仿宋" w:cs="Cambria"/>
                <w:bCs/>
                <w:szCs w:val="21"/>
              </w:rPr>
            </w:pPr>
            <w:r>
              <w:rPr>
                <w:rFonts w:ascii="仿宋" w:eastAsia="仿宋" w:hAnsi="仿宋" w:cs="Cambria" w:hint="eastAsia"/>
                <w:bCs/>
                <w:szCs w:val="21"/>
              </w:rPr>
              <w:t xml:space="preserve">    华夏理财有权根据市场情况及产品运作情况调整业绩比较基准，并至少于新业绩比较基准启用前3个工作日公告。</w:t>
            </w:r>
          </w:p>
          <w:p w:rsidR="00322620" w:rsidRDefault="0038219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322620" w:rsidRDefault="0038219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rsidP="00AC56CD">
            <w:pPr>
              <w:keepNext/>
              <w:adjustRightInd w:val="0"/>
              <w:snapToGrid w:val="0"/>
              <w:spacing w:line="300" w:lineRule="exact"/>
              <w:jc w:val="center"/>
              <w:rPr>
                <w:rFonts w:ascii="仿宋" w:eastAsia="仿宋" w:hAnsi="仿宋"/>
                <w:bCs/>
                <w:szCs w:val="21"/>
              </w:rPr>
            </w:pPr>
            <w:bookmarkStart w:id="2" w:name="OLE_LINK3" w:colFirst="1" w:colLast="1"/>
            <w:bookmarkStart w:id="3" w:name="OLE_LINK2" w:colFirst="1" w:colLast="1"/>
            <w:bookmarkStart w:id="4" w:name="_Hlk290294163"/>
            <w:r>
              <w:rPr>
                <w:rFonts w:ascii="仿宋" w:eastAsia="仿宋" w:hAnsi="仿宋" w:hint="eastAsia"/>
                <w:bCs/>
                <w:szCs w:val="21"/>
              </w:rPr>
              <w:lastRenderedPageBreak/>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5521CA" w:rsidP="00AC56CD">
            <w:pPr>
              <w:keepNext/>
              <w:adjustRightInd w:val="0"/>
              <w:snapToGrid w:val="0"/>
              <w:spacing w:line="300" w:lineRule="exact"/>
              <w:ind w:firstLineChars="200" w:firstLine="420"/>
              <w:rPr>
                <w:rFonts w:ascii="仿宋" w:eastAsia="仿宋" w:hAnsi="仿宋"/>
                <w:bCs/>
                <w:szCs w:val="21"/>
              </w:rPr>
            </w:pPr>
            <w:r w:rsidRPr="005521CA">
              <w:rPr>
                <w:rFonts w:ascii="仿宋" w:eastAsia="仿宋" w:hAnsi="仿宋" w:hint="eastAsia"/>
                <w:bCs/>
                <w:szCs w:val="21"/>
              </w:rPr>
              <w:t>2023年3月16日</w:t>
            </w:r>
            <w:r w:rsidR="00382196">
              <w:rPr>
                <w:rFonts w:ascii="仿宋" w:eastAsia="仿宋" w:hAnsi="仿宋"/>
                <w:bCs/>
                <w:szCs w:val="21"/>
              </w:rPr>
              <w:t>－</w:t>
            </w:r>
            <w:r w:rsidRPr="005521CA">
              <w:rPr>
                <w:rFonts w:ascii="仿宋" w:eastAsia="仿宋" w:hAnsi="仿宋" w:hint="eastAsia"/>
                <w:bCs/>
                <w:szCs w:val="21"/>
              </w:rPr>
              <w:t>2023年3月22日</w:t>
            </w:r>
            <w:r w:rsidR="00382196">
              <w:rPr>
                <w:rFonts w:ascii="仿宋" w:eastAsia="仿宋" w:hAnsi="仿宋"/>
                <w:bCs/>
                <w:szCs w:val="21"/>
              </w:rPr>
              <w:t>（含）</w:t>
            </w:r>
            <w:r w:rsidR="00382196">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382196">
              <w:rPr>
                <w:rFonts w:ascii="仿宋" w:eastAsia="仿宋" w:hAnsi="仿宋"/>
                <w:bCs/>
                <w:szCs w:val="21"/>
              </w:rPr>
              <w:t>）</w:t>
            </w:r>
          </w:p>
        </w:tc>
      </w:tr>
      <w:bookmarkEnd w:id="2"/>
      <w:bookmarkEnd w:id="3"/>
      <w:bookmarkEnd w:id="4"/>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5521CA">
            <w:pPr>
              <w:adjustRightInd w:val="0"/>
              <w:snapToGrid w:val="0"/>
              <w:spacing w:line="300" w:lineRule="exact"/>
              <w:ind w:firstLineChars="200" w:firstLine="420"/>
              <w:rPr>
                <w:rFonts w:ascii="仿宋" w:eastAsia="仿宋" w:hAnsi="仿宋"/>
                <w:bCs/>
                <w:szCs w:val="21"/>
              </w:rPr>
            </w:pPr>
            <w:r w:rsidRPr="005521CA">
              <w:rPr>
                <w:rFonts w:ascii="仿宋" w:eastAsia="仿宋" w:hAnsi="仿宋" w:hint="eastAsia"/>
                <w:bCs/>
                <w:szCs w:val="21"/>
              </w:rPr>
              <w:t>2023年3月23日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5521CA">
            <w:pPr>
              <w:adjustRightInd w:val="0"/>
              <w:snapToGrid w:val="0"/>
              <w:spacing w:line="300" w:lineRule="exact"/>
              <w:ind w:firstLineChars="200" w:firstLine="420"/>
              <w:rPr>
                <w:rFonts w:ascii="仿宋" w:eastAsia="仿宋" w:hAnsi="仿宋"/>
                <w:bCs/>
                <w:szCs w:val="21"/>
              </w:rPr>
            </w:pPr>
            <w:r w:rsidRPr="005521CA">
              <w:rPr>
                <w:rFonts w:ascii="仿宋" w:eastAsia="仿宋" w:hAnsi="仿宋"/>
                <w:bCs/>
                <w:szCs w:val="21"/>
              </w:rPr>
              <w:t>397</w:t>
            </w:r>
            <w:r w:rsidR="00382196">
              <w:rPr>
                <w:rFonts w:ascii="仿宋" w:eastAsia="仿宋" w:hAnsi="仿宋" w:hint="eastAsia"/>
                <w:bCs/>
                <w:szCs w:val="21"/>
              </w:rPr>
              <w:t>天</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5521CA">
            <w:pPr>
              <w:adjustRightInd w:val="0"/>
              <w:snapToGrid w:val="0"/>
              <w:spacing w:line="300" w:lineRule="exact"/>
              <w:ind w:firstLineChars="200" w:firstLine="420"/>
              <w:rPr>
                <w:rFonts w:ascii="仿宋" w:eastAsia="仿宋" w:hAnsi="仿宋"/>
                <w:bCs/>
                <w:szCs w:val="21"/>
              </w:rPr>
            </w:pPr>
            <w:r w:rsidRPr="005521CA">
              <w:rPr>
                <w:rFonts w:ascii="仿宋" w:eastAsia="仿宋" w:hAnsi="仿宋" w:hint="eastAsia"/>
                <w:bCs/>
                <w:szCs w:val="21"/>
              </w:rPr>
              <w:t>2024年4月23日</w:t>
            </w:r>
            <w:r w:rsidR="00382196">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322620" w:rsidRDefault="00382196">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后2个工作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2</w:t>
            </w:r>
            <w:r>
              <w:rPr>
                <w:rFonts w:ascii="仿宋" w:eastAsia="仿宋" w:hAnsi="仿宋" w:hint="eastAsia"/>
                <w:bCs/>
                <w:szCs w:val="21"/>
              </w:rPr>
              <w:t>位，小数点后第</w:t>
            </w:r>
            <w:r>
              <w:rPr>
                <w:rFonts w:ascii="仿宋" w:eastAsia="仿宋" w:hAnsi="仿宋"/>
                <w:bCs/>
                <w:szCs w:val="21"/>
              </w:rPr>
              <w:t>3</w:t>
            </w:r>
            <w:r>
              <w:rPr>
                <w:rFonts w:ascii="仿宋" w:eastAsia="仿宋" w:hAnsi="仿宋" w:hint="eastAsia"/>
                <w:bCs/>
                <w:szCs w:val="21"/>
              </w:rPr>
              <w:t>位四舍五入。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hAnsi="仿宋"/>
              </w:rPr>
            </w:pPr>
            <w:r>
              <w:rPr>
                <w:rFonts w:ascii="仿宋" w:eastAsia="仿宋" w:hAnsi="仿宋" w:hint="eastAsia"/>
                <w:bCs/>
                <w:szCs w:val="21"/>
              </w:rPr>
              <w:t>面向全国发行</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计划发行规模上限为50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322620">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322620" w:rsidRDefault="00382196" w:rsidP="005521CA">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5521CA" w:rsidRDefault="005521CA" w:rsidP="005521CA">
            <w:pPr>
              <w:adjustRightInd w:val="0"/>
              <w:snapToGrid w:val="0"/>
              <w:spacing w:line="240" w:lineRule="atLeast"/>
              <w:ind w:firstLineChars="200" w:firstLine="420"/>
              <w:rPr>
                <w:rFonts w:ascii="仿宋" w:eastAsia="仿宋" w:hAnsi="仿宋"/>
                <w:bCs/>
                <w:szCs w:val="21"/>
              </w:rPr>
            </w:pPr>
            <w:r>
              <w:rPr>
                <w:rFonts w:ascii="仿宋" w:eastAsia="仿宋" w:hAnsi="仿宋" w:cs="Cambria"/>
                <w:bCs/>
                <w:szCs w:val="21"/>
              </w:rPr>
              <w:t>C</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322620" w:rsidRDefault="00382196">
            <w:pPr>
              <w:adjustRightInd w:val="0"/>
              <w:snapToGrid w:val="0"/>
              <w:spacing w:line="240" w:lineRule="atLeas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322620" w:rsidRDefault="0038219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5521CA">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322620" w:rsidRDefault="00382196">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322620" w:rsidRDefault="00382196">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322620">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认购份额=认购金额/1元。</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322620" w:rsidRDefault="00382196">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lastRenderedPageBreak/>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322620" w:rsidRDefault="00382196">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华夏理财将于2个</w:t>
            </w:r>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2</w:t>
            </w:r>
            <w:r>
              <w:rPr>
                <w:rFonts w:ascii="仿宋" w:eastAsia="仿宋" w:hAnsi="仿宋"/>
                <w:bCs/>
                <w:szCs w:val="21"/>
              </w:rPr>
              <w:t>个工作日内</w:t>
            </w:r>
            <w:r>
              <w:rPr>
                <w:rFonts w:ascii="仿宋" w:eastAsia="仿宋" w:hAnsi="仿宋" w:hint="eastAsia"/>
                <w:bCs/>
                <w:szCs w:val="21"/>
              </w:rPr>
              <w:t>到账。</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w:t>
            </w:r>
            <w:r>
              <w:rPr>
                <w:rFonts w:ascii="仿宋" w:eastAsia="仿宋" w:hAnsi="仿宋"/>
              </w:rPr>
              <w:t>7</w:t>
            </w:r>
            <w:r>
              <w:rPr>
                <w:rFonts w:ascii="仿宋" w:eastAsia="仿宋" w:hAnsi="仿宋" w:hint="eastAsia"/>
              </w:rPr>
              <w:t>:30（含）之后</w:t>
            </w:r>
            <w:r>
              <w:rPr>
                <w:rFonts w:ascii="仿宋" w:eastAsia="仿宋" w:hAnsi="仿宋" w:hint="eastAsia"/>
                <w:bCs/>
                <w:szCs w:val="21"/>
              </w:rPr>
              <w:t>不能进行撤销。</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w:t>
            </w:r>
            <w:r>
              <w:rPr>
                <w:rFonts w:ascii="仿宋" w:eastAsia="仿宋" w:hAnsi="仿宋"/>
              </w:rPr>
              <w:t>7</w:t>
            </w:r>
            <w:r>
              <w:rPr>
                <w:rFonts w:ascii="仿宋" w:eastAsia="仿宋" w:hAnsi="仿宋" w:hint="eastAsia"/>
              </w:rPr>
              <w:t>:30（含）之后</w:t>
            </w:r>
            <w:r>
              <w:rPr>
                <w:rFonts w:ascii="仿宋" w:eastAsia="仿宋" w:hAnsi="仿宋" w:hint="eastAsia"/>
                <w:bCs/>
                <w:szCs w:val="21"/>
              </w:rPr>
              <w:t>不能进行撤销。</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32262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32262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2"/>
              <w:rPr>
                <w:rFonts w:ascii="仿宋" w:eastAsia="仿宋" w:hAnsi="仿宋"/>
                <w:b/>
                <w:szCs w:val="21"/>
              </w:rPr>
            </w:pPr>
            <w:r>
              <w:rPr>
                <w:rFonts w:ascii="仿宋" w:eastAsia="仿宋" w:hAnsi="仿宋" w:hint="eastAsia"/>
                <w:b/>
                <w:szCs w:val="21"/>
              </w:rPr>
              <w:t>本理财产品不收取认购费。</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rsidP="005521CA">
            <w:pPr>
              <w:adjustRightInd w:val="0"/>
              <w:snapToGrid w:val="0"/>
              <w:spacing w:line="300" w:lineRule="exact"/>
              <w:ind w:firstLineChars="200" w:firstLine="422"/>
              <w:jc w:val="left"/>
              <w:rPr>
                <w:rFonts w:ascii="仿宋" w:eastAsia="仿宋" w:hAnsi="仿宋" w:cs="Cambria"/>
                <w:b/>
                <w:szCs w:val="21"/>
              </w:rPr>
            </w:pPr>
            <w:r>
              <w:rPr>
                <w:rFonts w:ascii="仿宋" w:eastAsia="仿宋" w:hAnsi="仿宋" w:cs="Cambria" w:hint="eastAsia"/>
                <w:b/>
                <w:szCs w:val="21"/>
              </w:rPr>
              <w:t>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5521CA" w:rsidRPr="005521CA">
              <w:rPr>
                <w:rFonts w:ascii="仿宋" w:eastAsia="仿宋" w:hAnsi="仿宋"/>
                <w:b/>
                <w:szCs w:val="21"/>
              </w:rPr>
              <w:t>0.25%</w:t>
            </w:r>
            <w:r>
              <w:rPr>
                <w:rFonts w:ascii="仿宋" w:eastAsia="仿宋" w:hAnsi="仿宋" w:hint="eastAsia"/>
                <w:b/>
                <w:szCs w:val="21"/>
              </w:rPr>
              <w:t>/年，以前一日资产净值为基数，每日计提。</w:t>
            </w:r>
          </w:p>
          <w:p w:rsidR="00322620" w:rsidRDefault="00382196" w:rsidP="005521CA">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5521CA" w:rsidRPr="005521CA">
              <w:rPr>
                <w:rFonts w:ascii="仿宋" w:eastAsia="仿宋" w:hAnsi="仿宋"/>
                <w:b/>
                <w:szCs w:val="21"/>
              </w:rPr>
              <w:t>0.30%</w:t>
            </w:r>
            <w:r>
              <w:rPr>
                <w:rFonts w:ascii="仿宋" w:eastAsia="仿宋" w:hAnsi="仿宋" w:hint="eastAsia"/>
                <w:b/>
                <w:szCs w:val="21"/>
              </w:rPr>
              <w:t>/年，以前一日资产净值为基数，每日计提。</w:t>
            </w:r>
          </w:p>
          <w:p w:rsidR="005521CA" w:rsidRDefault="005521CA" w:rsidP="005521CA">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b/>
                <w:szCs w:val="21"/>
              </w:rPr>
              <w:t>C</w:t>
            </w:r>
            <w:r>
              <w:rPr>
                <w:rFonts w:ascii="仿宋" w:eastAsia="仿宋" w:hAnsi="仿宋" w:cs="Cambria" w:hint="eastAsia"/>
                <w:b/>
                <w:szCs w:val="21"/>
              </w:rPr>
              <w:t>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Pr="005521CA">
              <w:rPr>
                <w:rFonts w:ascii="仿宋" w:eastAsia="仿宋" w:hAnsi="仿宋"/>
                <w:b/>
                <w:szCs w:val="21"/>
              </w:rPr>
              <w:t>0.05%</w:t>
            </w:r>
            <w:r>
              <w:rPr>
                <w:rFonts w:ascii="仿宋" w:eastAsia="仿宋" w:hAnsi="仿宋" w:hint="eastAsia"/>
                <w:b/>
                <w:szCs w:val="21"/>
              </w:rPr>
              <w:t>/年，以前一日资产净值为基数，每日计提。</w:t>
            </w:r>
          </w:p>
          <w:p w:rsidR="00322620" w:rsidRDefault="00382196">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公式如下：</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w:t>
            </w:r>
            <w:r>
              <w:rPr>
                <w:rFonts w:ascii="仿宋" w:eastAsia="仿宋" w:hAnsi="仿宋"/>
                <w:b/>
                <w:szCs w:val="21"/>
              </w:rPr>
              <w:t>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w:t>
            </w:r>
            <w:r>
              <w:rPr>
                <w:rFonts w:ascii="仿宋" w:eastAsia="仿宋" w:hAnsi="仿宋"/>
                <w:b/>
                <w:szCs w:val="21"/>
              </w:rPr>
              <w:t>份额</w:t>
            </w:r>
            <w:r>
              <w:rPr>
                <w:rFonts w:ascii="仿宋" w:eastAsia="仿宋" w:hAnsi="仿宋" w:hint="eastAsia"/>
                <w:b/>
                <w:szCs w:val="21"/>
              </w:rPr>
              <w:t>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（销售手续费由销售服务机构收取。）</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5521CA">
            <w:pPr>
              <w:adjustRightInd w:val="0"/>
              <w:snapToGrid w:val="0"/>
              <w:spacing w:line="240" w:lineRule="atLeast"/>
              <w:ind w:firstLine="420"/>
              <w:jc w:val="left"/>
              <w:rPr>
                <w:rFonts w:ascii="仿宋" w:eastAsia="仿宋" w:hAnsi="仿宋"/>
                <w:b/>
                <w:szCs w:val="21"/>
              </w:rPr>
            </w:pPr>
            <w:r w:rsidRPr="005521CA">
              <w:rPr>
                <w:rFonts w:ascii="仿宋" w:eastAsia="仿宋" w:hAnsi="仿宋"/>
                <w:b/>
                <w:szCs w:val="21"/>
              </w:rPr>
              <w:t>0.25%</w:t>
            </w:r>
            <w:r w:rsidR="00382196">
              <w:rPr>
                <w:rFonts w:ascii="仿宋" w:eastAsia="仿宋" w:hAnsi="仿宋" w:hint="eastAsia"/>
                <w:b/>
                <w:szCs w:val="21"/>
              </w:rPr>
              <w:t>/年，以前一日资产净值为基数，每日计提。</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sidR="005521CA" w:rsidRPr="005521CA">
              <w:rPr>
                <w:rFonts w:ascii="仿宋" w:eastAsia="仿宋" w:hAnsi="仿宋"/>
                <w:b/>
                <w:szCs w:val="21"/>
              </w:rPr>
              <w:t>0.25%</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w:t>
            </w:r>
            <w:r w:rsidR="005521CA" w:rsidRPr="005521CA">
              <w:rPr>
                <w:rFonts w:ascii="仿宋" w:eastAsia="仿宋" w:hAnsi="仿宋" w:cs="Cambria"/>
                <w:b/>
                <w:szCs w:val="21"/>
              </w:rPr>
              <w:t>4.00%</w:t>
            </w:r>
            <w:r>
              <w:rPr>
                <w:rFonts w:ascii="仿宋" w:eastAsia="仿宋" w:hAnsi="仿宋" w:cs="Cambria" w:hint="eastAsia"/>
                <w:b/>
                <w:szCs w:val="21"/>
              </w:rPr>
              <w:t>（年化）；B份额超额管理费计提基准为</w:t>
            </w:r>
            <w:r w:rsidR="005521CA" w:rsidRPr="005521CA">
              <w:rPr>
                <w:rFonts w:ascii="仿宋" w:eastAsia="仿宋" w:hAnsi="仿宋" w:cs="Cambria"/>
                <w:b/>
                <w:szCs w:val="21"/>
              </w:rPr>
              <w:t>3.95%</w:t>
            </w:r>
            <w:r>
              <w:rPr>
                <w:rFonts w:ascii="仿宋" w:eastAsia="仿宋" w:hAnsi="仿宋" w:cs="Cambria" w:hint="eastAsia"/>
                <w:b/>
                <w:szCs w:val="21"/>
              </w:rPr>
              <w:t>（年化）</w:t>
            </w:r>
            <w:r w:rsidR="005521CA">
              <w:rPr>
                <w:rFonts w:ascii="仿宋" w:eastAsia="仿宋" w:hAnsi="仿宋" w:cs="Cambria" w:hint="eastAsia"/>
                <w:b/>
                <w:szCs w:val="21"/>
              </w:rPr>
              <w:t>；</w:t>
            </w:r>
            <w:r w:rsidR="005521CA">
              <w:rPr>
                <w:rFonts w:ascii="仿宋" w:eastAsia="仿宋" w:hAnsi="仿宋" w:cs="Cambria"/>
                <w:b/>
                <w:szCs w:val="21"/>
              </w:rPr>
              <w:t>C</w:t>
            </w:r>
            <w:r w:rsidR="005521CA">
              <w:rPr>
                <w:rFonts w:ascii="仿宋" w:eastAsia="仿宋" w:hAnsi="仿宋" w:cs="Cambria" w:hint="eastAsia"/>
                <w:b/>
                <w:szCs w:val="21"/>
              </w:rPr>
              <w:t>份额超额管理费计提基准为</w:t>
            </w:r>
            <w:r w:rsidR="005521CA" w:rsidRPr="005521CA">
              <w:rPr>
                <w:rFonts w:ascii="仿宋" w:eastAsia="仿宋" w:hAnsi="仿宋" w:cs="Cambria"/>
                <w:b/>
                <w:szCs w:val="21"/>
              </w:rPr>
              <w:t>4.20%</w:t>
            </w:r>
            <w:r w:rsidR="005521CA">
              <w:rPr>
                <w:rFonts w:ascii="仿宋" w:eastAsia="仿宋" w:hAnsi="仿宋" w:cs="Cambria" w:hint="eastAsia"/>
                <w:b/>
                <w:szCs w:val="21"/>
              </w:rPr>
              <w:t>（年化）</w:t>
            </w:r>
            <w:r>
              <w:rPr>
                <w:rFonts w:ascii="仿宋" w:eastAsia="仿宋" w:hAnsi="仿宋" w:cs="Cambria" w:hint="eastAsia"/>
                <w:b/>
                <w:szCs w:val="21"/>
              </w:rPr>
              <w:t>。</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322620" w:rsidRDefault="00382196">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rsidP="00AC56CD">
            <w:pPr>
              <w:keepNext/>
              <w:adjustRightInd w:val="0"/>
              <w:snapToGrid w:val="0"/>
              <w:spacing w:line="300" w:lineRule="exact"/>
              <w:jc w:val="center"/>
              <w:rPr>
                <w:rFonts w:ascii="仿宋" w:eastAsia="仿宋" w:hAnsi="仿宋"/>
                <w:b/>
                <w:szCs w:val="21"/>
              </w:rPr>
            </w:pPr>
            <w:r>
              <w:rPr>
                <w:rFonts w:ascii="仿宋" w:eastAsia="仿宋" w:hAnsi="仿宋" w:hint="eastAsia"/>
                <w:b/>
                <w:szCs w:val="21"/>
              </w:rPr>
              <w:lastRenderedPageBreak/>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rsidP="00AC56CD">
            <w:pPr>
              <w:keepNext/>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4</w:t>
            </w:r>
            <w:r>
              <w:rPr>
                <w:rFonts w:ascii="仿宋" w:eastAsia="仿宋" w:hAnsi="仿宋" w:hint="eastAsia"/>
                <w:bCs/>
                <w:szCs w:val="21"/>
              </w:rPr>
              <w:t>位，小数点后第</w:t>
            </w:r>
            <w:r>
              <w:rPr>
                <w:rFonts w:ascii="仿宋" w:eastAsia="仿宋" w:hAnsi="仿宋"/>
                <w:bCs/>
                <w:szCs w:val="21"/>
              </w:rPr>
              <w:t>5</w:t>
            </w:r>
            <w:r>
              <w:rPr>
                <w:rFonts w:ascii="仿宋" w:eastAsia="仿宋" w:hAnsi="仿宋" w:hint="eastAsia"/>
                <w:bCs/>
                <w:szCs w:val="21"/>
              </w:rPr>
              <w:t>位四舍五入。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382196">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322620" w:rsidRDefault="00382196">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322620">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Chars="200" w:firstLine="420"/>
              <w:jc w:val="left"/>
              <w:rPr>
                <w:rFonts w:ascii="仿宋" w:hAnsi="仿宋"/>
                <w:kern w:val="0"/>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cs="Cambria" w:hint="eastAsia"/>
                <w:bCs/>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本说明书中所写的“确认日”、“到账日”，除非特别说明均为工作日，</w:t>
            </w:r>
            <w:proofErr w:type="gramStart"/>
            <w:r>
              <w:rPr>
                <w:rFonts w:ascii="仿宋" w:eastAsia="仿宋" w:hAnsi="仿宋" w:cs="Cambria" w:hint="eastAsia"/>
                <w:bCs/>
                <w:szCs w:val="21"/>
              </w:rPr>
              <w:t>若遇非工作日</w:t>
            </w:r>
            <w:proofErr w:type="gramEnd"/>
            <w:r>
              <w:rPr>
                <w:rFonts w:ascii="仿宋" w:eastAsia="仿宋" w:hAnsi="仿宋" w:cs="Cambria" w:hint="eastAsia"/>
                <w:bCs/>
                <w:szCs w:val="21"/>
              </w:rPr>
              <w:t>顺延至下一工作日。</w:t>
            </w:r>
          </w:p>
          <w:p w:rsidR="00322620" w:rsidRDefault="00382196">
            <w:pPr>
              <w:adjustRightInd w:val="0"/>
              <w:snapToGrid w:val="0"/>
              <w:spacing w:line="300" w:lineRule="exact"/>
              <w:ind w:right="-44" w:firstLineChars="200" w:firstLine="420"/>
              <w:jc w:val="left"/>
              <w:rPr>
                <w:rFonts w:ascii="仿宋" w:eastAsia="仿宋" w:hAnsi="仿宋"/>
                <w:bCs/>
                <w:szCs w:val="21"/>
              </w:rPr>
            </w:pPr>
            <w:r>
              <w:rPr>
                <w:rFonts w:ascii="仿宋" w:eastAsia="仿宋" w:hAnsi="仿宋" w:cs="Cambria" w:hint="eastAsia"/>
                <w:bCs/>
                <w:szCs w:val="21"/>
              </w:rPr>
              <w:t>指上海证券交易所和深圳证券交易所的交易日，且同时为银行对外办理一般对公业务的工作日。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322620" w:rsidRDefault="00382196">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322620" w:rsidRDefault="00382196">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322620">
        <w:trPr>
          <w:trHeight w:val="360"/>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32262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322620" w:rsidRDefault="0038219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322620" w:rsidRDefault="00382196">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322620" w:rsidRDefault="00382196">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二、</w:t>
      </w:r>
      <w:r>
        <w:rPr>
          <w:rFonts w:ascii="Times New Roman" w:eastAsia="黑体" w:cs="Times New Roman"/>
          <w:b/>
          <w:color w:val="auto"/>
        </w:rPr>
        <w:t>投资对象</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本产品主要投资于货币市场工具、标准化债权类资产、非标准化债权类资产等固定收益类资产，权益类资产，商品及金融衍生品类资产。</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权益类资产包括但不限于国内依法发行和上市的股票（包括主板、创业板、中小板、</w:t>
      </w:r>
      <w:proofErr w:type="gramStart"/>
      <w:r>
        <w:rPr>
          <w:rFonts w:ascii="仿宋" w:eastAsia="仿宋" w:hAnsi="仿宋" w:cs="宋体" w:hint="eastAsia"/>
          <w:color w:val="000000"/>
          <w:kern w:val="0"/>
          <w:sz w:val="24"/>
        </w:rPr>
        <w:t>科创板</w:t>
      </w:r>
      <w:proofErr w:type="gramEnd"/>
      <w:r>
        <w:rPr>
          <w:rFonts w:ascii="仿宋" w:eastAsia="仿宋" w:hAnsi="仿宋" w:cs="宋体" w:hint="eastAsia"/>
          <w:color w:val="000000"/>
          <w:kern w:val="0"/>
          <w:sz w:val="24"/>
        </w:rPr>
        <w:t>以及其他经中国证监会核准上市的股票，包括新股申购、定向增发、大宗交易、询价转让等）、内地与香港股票市场交易互联互通机制允许买卖的香港市场股票，以及股票型、混合型公募证券投资基金等；</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rsidR="00322620" w:rsidRDefault="00382196">
      <w:pPr>
        <w:widowControl/>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322620" w:rsidRDefault="00382196">
      <w:pPr>
        <w:widowControl/>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各类资产投资比例如下：</w:t>
      </w:r>
    </w:p>
    <w:tbl>
      <w:tblPr>
        <w:tblW w:w="8336"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85"/>
        <w:gridCol w:w="2651"/>
      </w:tblGrid>
      <w:tr w:rsidR="00322620" w:rsidTr="005521CA">
        <w:trPr>
          <w:trHeight w:val="447"/>
          <w:tblCellSpacing w:w="0" w:type="dxa"/>
          <w:jc w:val="center"/>
        </w:trPr>
        <w:tc>
          <w:tcPr>
            <w:tcW w:w="5685" w:type="dxa"/>
            <w:vAlign w:val="center"/>
          </w:tcPr>
          <w:p w:rsidR="00322620" w:rsidRDefault="00382196">
            <w:pPr>
              <w:adjustRightInd w:val="0"/>
              <w:snapToGrid w:val="0"/>
              <w:jc w:val="center"/>
              <w:rPr>
                <w:rFonts w:eastAsia="仿宋"/>
                <w:kern w:val="0"/>
                <w:sz w:val="24"/>
              </w:rPr>
            </w:pPr>
            <w:r>
              <w:rPr>
                <w:rFonts w:eastAsia="仿宋" w:hint="eastAsia"/>
                <w:kern w:val="0"/>
                <w:sz w:val="24"/>
              </w:rPr>
              <w:t>资产</w:t>
            </w:r>
            <w:r>
              <w:rPr>
                <w:rFonts w:eastAsia="仿宋"/>
                <w:kern w:val="0"/>
                <w:sz w:val="24"/>
              </w:rPr>
              <w:t>类别</w:t>
            </w:r>
          </w:p>
        </w:tc>
        <w:tc>
          <w:tcPr>
            <w:tcW w:w="2651" w:type="dxa"/>
            <w:vAlign w:val="center"/>
          </w:tcPr>
          <w:p w:rsidR="00322620" w:rsidRDefault="00382196">
            <w:pPr>
              <w:adjustRightInd w:val="0"/>
              <w:snapToGrid w:val="0"/>
              <w:jc w:val="center"/>
              <w:rPr>
                <w:rFonts w:eastAsia="仿宋"/>
                <w:kern w:val="0"/>
                <w:sz w:val="24"/>
              </w:rPr>
            </w:pPr>
            <w:r>
              <w:rPr>
                <w:rFonts w:eastAsia="仿宋"/>
                <w:kern w:val="0"/>
                <w:sz w:val="24"/>
              </w:rPr>
              <w:t>投资比例</w:t>
            </w:r>
          </w:p>
        </w:tc>
      </w:tr>
      <w:tr w:rsidR="00322620" w:rsidTr="005521CA">
        <w:trPr>
          <w:trHeight w:val="447"/>
          <w:tblCellSpacing w:w="0" w:type="dxa"/>
          <w:jc w:val="center"/>
        </w:trPr>
        <w:tc>
          <w:tcPr>
            <w:tcW w:w="5685" w:type="dxa"/>
            <w:vAlign w:val="center"/>
          </w:tcPr>
          <w:p w:rsidR="00322620" w:rsidRDefault="00382196">
            <w:pPr>
              <w:adjustRightInd w:val="0"/>
              <w:snapToGrid w:val="0"/>
              <w:spacing w:line="288" w:lineRule="auto"/>
              <w:jc w:val="center"/>
              <w:rPr>
                <w:rFonts w:eastAsia="仿宋"/>
                <w:kern w:val="0"/>
                <w:sz w:val="24"/>
              </w:rPr>
            </w:pPr>
            <w:r>
              <w:rPr>
                <w:rFonts w:ascii="仿宋" w:eastAsia="仿宋" w:hAnsi="仿宋" w:cs="宋体" w:hint="eastAsia"/>
                <w:color w:val="000000"/>
                <w:kern w:val="0"/>
                <w:sz w:val="24"/>
              </w:rPr>
              <w:t>固定收益类</w:t>
            </w:r>
          </w:p>
        </w:tc>
        <w:tc>
          <w:tcPr>
            <w:tcW w:w="2651" w:type="dxa"/>
            <w:vAlign w:val="center"/>
          </w:tcPr>
          <w:p w:rsidR="00322620" w:rsidRDefault="00382196">
            <w:pPr>
              <w:adjustRightInd w:val="0"/>
              <w:snapToGrid w:val="0"/>
              <w:spacing w:line="288" w:lineRule="auto"/>
              <w:jc w:val="center"/>
              <w:rPr>
                <w:kern w:val="0"/>
                <w:sz w:val="24"/>
              </w:rPr>
            </w:pPr>
            <w:r>
              <w:rPr>
                <w:rFonts w:ascii="仿宋" w:eastAsia="仿宋" w:hAnsi="仿宋" w:cs="宋体"/>
                <w:color w:val="000000"/>
                <w:kern w:val="0"/>
                <w:sz w:val="24"/>
              </w:rPr>
              <w:t>95</w:t>
            </w:r>
            <w:r>
              <w:rPr>
                <w:rFonts w:ascii="仿宋" w:eastAsia="仿宋" w:hAnsi="仿宋" w:cs="宋体" w:hint="eastAsia"/>
                <w:color w:val="000000"/>
                <w:kern w:val="0"/>
                <w:sz w:val="24"/>
              </w:rPr>
              <w:t>%-100%</w:t>
            </w:r>
          </w:p>
        </w:tc>
      </w:tr>
      <w:tr w:rsidR="00322620" w:rsidTr="005521CA">
        <w:trPr>
          <w:trHeight w:val="411"/>
          <w:tblCellSpacing w:w="0" w:type="dxa"/>
          <w:jc w:val="center"/>
        </w:trPr>
        <w:tc>
          <w:tcPr>
            <w:tcW w:w="5685" w:type="dxa"/>
            <w:vAlign w:val="center"/>
          </w:tcPr>
          <w:p w:rsidR="00322620" w:rsidRDefault="00382196">
            <w:pPr>
              <w:adjustRightInd w:val="0"/>
              <w:snapToGrid w:val="0"/>
              <w:spacing w:line="288" w:lineRule="auto"/>
              <w:jc w:val="center"/>
              <w:rPr>
                <w:rFonts w:ascii="仿宋" w:eastAsia="仿宋" w:hAnsi="仿宋" w:cs="宋体"/>
                <w:color w:val="000000"/>
                <w:kern w:val="0"/>
                <w:sz w:val="24"/>
              </w:rPr>
            </w:pPr>
            <w:r>
              <w:rPr>
                <w:rFonts w:ascii="仿宋" w:eastAsia="仿宋" w:hAnsi="仿宋" w:cs="宋体" w:hint="eastAsia"/>
                <w:color w:val="000000"/>
                <w:kern w:val="0"/>
                <w:sz w:val="24"/>
              </w:rPr>
              <w:t>权益类</w:t>
            </w:r>
          </w:p>
          <w:p w:rsidR="00322620" w:rsidRDefault="00382196">
            <w:pPr>
              <w:adjustRightInd w:val="0"/>
              <w:snapToGrid w:val="0"/>
              <w:spacing w:line="288" w:lineRule="auto"/>
              <w:jc w:val="center"/>
              <w:rPr>
                <w:rFonts w:ascii="仿宋" w:eastAsia="仿宋" w:hAnsi="仿宋" w:cs="宋体"/>
                <w:color w:val="000000"/>
                <w:kern w:val="0"/>
                <w:sz w:val="24"/>
              </w:rPr>
            </w:pPr>
            <w:r>
              <w:rPr>
                <w:rFonts w:ascii="仿宋" w:eastAsia="仿宋" w:hAnsi="仿宋" w:cs="宋体" w:hint="eastAsia"/>
                <w:color w:val="000000"/>
                <w:kern w:val="0"/>
                <w:sz w:val="24"/>
              </w:rPr>
              <w:t>商品及金融衍生品类</w:t>
            </w:r>
          </w:p>
          <w:p w:rsidR="00322620" w:rsidRDefault="00382196">
            <w:pPr>
              <w:adjustRightInd w:val="0"/>
              <w:snapToGrid w:val="0"/>
              <w:spacing w:line="288" w:lineRule="auto"/>
              <w:jc w:val="center"/>
              <w:rPr>
                <w:rFonts w:eastAsia="仿宋"/>
                <w:kern w:val="0"/>
                <w:sz w:val="24"/>
              </w:rPr>
            </w:pPr>
            <w:r>
              <w:rPr>
                <w:rFonts w:ascii="仿宋" w:eastAsia="仿宋" w:hAnsi="仿宋" w:cs="宋体" w:hint="eastAsia"/>
                <w:color w:val="000000"/>
                <w:kern w:val="0"/>
                <w:sz w:val="24"/>
              </w:rPr>
              <w:t>（商品及金融衍生品类资产投资须符合监管要求）</w:t>
            </w:r>
          </w:p>
        </w:tc>
        <w:tc>
          <w:tcPr>
            <w:tcW w:w="2651" w:type="dxa"/>
            <w:vAlign w:val="center"/>
          </w:tcPr>
          <w:p w:rsidR="00322620" w:rsidRDefault="00382196">
            <w:pPr>
              <w:adjustRightInd w:val="0"/>
              <w:snapToGrid w:val="0"/>
              <w:spacing w:line="288" w:lineRule="auto"/>
              <w:jc w:val="center"/>
              <w:rPr>
                <w:kern w:val="0"/>
                <w:sz w:val="24"/>
              </w:rPr>
            </w:pPr>
            <w:r>
              <w:rPr>
                <w:rFonts w:ascii="仿宋" w:eastAsia="仿宋" w:hAnsi="仿宋" w:cs="宋体" w:hint="eastAsia"/>
                <w:color w:val="000000"/>
                <w:kern w:val="0"/>
                <w:sz w:val="24"/>
              </w:rPr>
              <w:t>0%-</w:t>
            </w:r>
            <w:r>
              <w:rPr>
                <w:rFonts w:ascii="仿宋" w:eastAsia="仿宋" w:hAnsi="仿宋" w:cs="宋体"/>
                <w:color w:val="000000"/>
                <w:kern w:val="0"/>
                <w:sz w:val="24"/>
              </w:rPr>
              <w:t>5</w:t>
            </w:r>
            <w:r>
              <w:rPr>
                <w:rFonts w:ascii="仿宋" w:eastAsia="仿宋" w:hAnsi="仿宋" w:cs="宋体" w:hint="eastAsia"/>
                <w:color w:val="000000"/>
                <w:kern w:val="0"/>
                <w:sz w:val="24"/>
              </w:rPr>
              <w:t>%</w:t>
            </w:r>
          </w:p>
        </w:tc>
      </w:tr>
    </w:tbl>
    <w:p w:rsidR="00322620" w:rsidRDefault="00322620">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322620" w:rsidRDefault="00382196">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kern w:val="0"/>
          <w:sz w:val="24"/>
        </w:rPr>
        <w:t>本理财产品可以按照监管部门相关规定开展回购业务。</w:t>
      </w:r>
    </w:p>
    <w:p w:rsidR="00322620" w:rsidRDefault="00322620">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322620" w:rsidRDefault="00382196">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bCs/>
          <w:color w:val="000000"/>
          <w:kern w:val="0"/>
          <w:sz w:val="24"/>
        </w:rPr>
        <w:lastRenderedPageBreak/>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322620" w:rsidRDefault="00382196">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322620" w:rsidRDefault="00382196">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w:t>
      </w:r>
      <w:r>
        <w:rPr>
          <w:rFonts w:ascii="仿宋" w:eastAsia="仿宋" w:hAnsi="仿宋" w:cs="宋体"/>
          <w:b/>
          <w:bCs/>
          <w:kern w:val="0"/>
          <w:sz w:val="24"/>
        </w:rPr>
        <w:t>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322620" w:rsidRDefault="00382196">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322620" w:rsidRDefault="00382196">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w:t>
      </w:r>
      <w:r>
        <w:rPr>
          <w:rFonts w:ascii="仿宋" w:eastAsia="仿宋" w:hAnsi="仿宋"/>
          <w:color w:val="auto"/>
        </w:rPr>
        <w:t>本</w:t>
      </w:r>
      <w:r>
        <w:rPr>
          <w:rFonts w:ascii="仿宋" w:eastAsia="仿宋" w:hAnsi="仿宋" w:hint="eastAsia"/>
          <w:color w:val="auto"/>
        </w:rPr>
        <w:t>理财</w:t>
      </w:r>
      <w:r>
        <w:rPr>
          <w:rFonts w:ascii="仿宋" w:eastAsia="仿宋" w:hAnsi="仿宋"/>
          <w:color w:val="auto"/>
        </w:rPr>
        <w:t>产品管理人为华夏理财有限责任公司。</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w:t>
      </w:r>
      <w:r>
        <w:rPr>
          <w:rFonts w:ascii="仿宋" w:eastAsia="仿宋" w:hAnsi="仿宋"/>
          <w:color w:val="auto"/>
        </w:rPr>
        <w:t>本理财产品</w:t>
      </w:r>
      <w:r>
        <w:rPr>
          <w:rFonts w:ascii="仿宋" w:eastAsia="仿宋" w:hAnsi="仿宋" w:hint="eastAsia"/>
          <w:color w:val="auto"/>
        </w:rPr>
        <w:t>托管人为华夏银行股份有限公司</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（4）建立与管理人的对账机制，复核、审查理财产品资金头寸、资产账目、资产净值、认购和赎回价格等数据，及时核查认购、赎回以及投资资金的支付和到账情况；</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322620" w:rsidRDefault="00382196">
      <w:pPr>
        <w:widowControl/>
        <w:adjustRightInd w:val="0"/>
        <w:snapToGrid w:val="0"/>
        <w:spacing w:line="276" w:lineRule="auto"/>
        <w:ind w:firstLineChars="200" w:firstLine="480"/>
        <w:contextualSpacing/>
        <w:rPr>
          <w:rFonts w:eastAsia="黑体"/>
          <w:b/>
        </w:rPr>
      </w:pPr>
      <w:r>
        <w:rPr>
          <w:rFonts w:ascii="仿宋" w:eastAsia="仿宋" w:hAnsi="仿宋" w:cs="宋体" w:hint="eastAsia"/>
          <w:color w:val="000000"/>
          <w:kern w:val="0"/>
          <w:sz w:val="24"/>
        </w:rPr>
        <w:t>（9）银行业监督管理机构规定的其他职责。</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322620" w:rsidRDefault="00382196">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322620" w:rsidRDefault="00382196">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 50%。</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322620" w:rsidRDefault="00382196">
      <w:pPr>
        <w:autoSpaceDE w:val="0"/>
        <w:autoSpaceDN w:val="0"/>
        <w:adjustRightInd w:val="0"/>
        <w:snapToGrid w:val="0"/>
        <w:spacing w:line="276" w:lineRule="auto"/>
        <w:ind w:firstLineChars="200" w:firstLine="482"/>
        <w:contextualSpacing/>
        <w:outlineLvl w:val="1"/>
        <w:rPr>
          <w:rFonts w:ascii="仿宋" w:eastAsia="仿宋" w:hAnsi="仿宋" w:cs="宋体"/>
          <w:b/>
          <w:bCs/>
          <w:kern w:val="0"/>
          <w:sz w:val="24"/>
        </w:rPr>
      </w:pPr>
      <w:r>
        <w:rPr>
          <w:rFonts w:ascii="仿宋" w:eastAsia="仿宋" w:hAnsi="仿宋" w:cs="宋体" w:hint="eastAsia"/>
          <w:b/>
          <w:bCs/>
          <w:kern w:val="0"/>
          <w:sz w:val="24"/>
        </w:rPr>
        <w:t>3.拒绝或暂停认购的情形</w:t>
      </w:r>
    </w:p>
    <w:p w:rsidR="00322620" w:rsidRDefault="00382196">
      <w:pPr>
        <w:autoSpaceDE w:val="0"/>
        <w:autoSpaceDN w:val="0"/>
        <w:adjustRightInd w:val="0"/>
        <w:snapToGrid w:val="0"/>
        <w:spacing w:line="276" w:lineRule="auto"/>
        <w:ind w:firstLineChars="200" w:firstLine="482"/>
        <w:contextualSpacing/>
        <w:outlineLvl w:val="1"/>
        <w:rPr>
          <w:rFonts w:ascii="仿宋" w:eastAsia="仿宋" w:hAnsi="仿宋" w:cs="宋体"/>
          <w:b/>
          <w:bCs/>
          <w:kern w:val="0"/>
          <w:sz w:val="24"/>
        </w:rPr>
      </w:pPr>
      <w:r>
        <w:rPr>
          <w:rFonts w:ascii="仿宋" w:eastAsia="仿宋" w:hAnsi="仿宋" w:cs="宋体" w:hint="eastAsia"/>
          <w:b/>
          <w:bCs/>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可以采取认购风险应对措施，拒绝或暂停接受认购申请：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（3）超过本理财产品规模上限部分的认购申请。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322620" w:rsidRDefault="00382196">
      <w:pPr>
        <w:widowControl/>
        <w:adjustRightInd w:val="0"/>
        <w:snapToGrid w:val="0"/>
        <w:spacing w:line="276" w:lineRule="auto"/>
        <w:ind w:firstLineChars="200" w:firstLine="480"/>
        <w:contextualSpacing/>
        <w:rPr>
          <w:rFonts w:ascii="仿宋" w:eastAsia="仿宋" w:hAnsi="仿宋"/>
        </w:rPr>
      </w:pPr>
      <w:r>
        <w:rPr>
          <w:rFonts w:ascii="仿宋" w:eastAsia="仿宋" w:hAnsi="仿宋" w:cs="宋体" w:hint="eastAsia"/>
          <w:color w:val="000000"/>
          <w:kern w:val="0"/>
          <w:sz w:val="24"/>
        </w:rPr>
        <w:t>如果投资人的认购申请被全部或部分拒绝的，被拒绝的认购款项将退还给投资人。在暂停认购的情况消除时，</w:t>
      </w:r>
      <w:r>
        <w:rPr>
          <w:rFonts w:ascii="仿宋" w:eastAsia="仿宋" w:hAnsi="仿宋" w:cs="宋体"/>
          <w:kern w:val="0"/>
          <w:sz w:val="24"/>
        </w:rPr>
        <w:t>管理人</w:t>
      </w:r>
      <w:r>
        <w:rPr>
          <w:rFonts w:ascii="仿宋" w:eastAsia="仿宋" w:hAnsi="仿宋" w:cs="宋体" w:hint="eastAsia"/>
          <w:color w:val="000000"/>
          <w:kern w:val="0"/>
          <w:sz w:val="24"/>
        </w:rPr>
        <w:t>将及时恢复办理业务。</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六</w:t>
      </w:r>
      <w:r>
        <w:rPr>
          <w:rFonts w:ascii="Times New Roman" w:eastAsia="黑体" w:cs="Times New Roman"/>
          <w:b/>
          <w:color w:val="auto"/>
        </w:rPr>
        <w:t>、</w:t>
      </w:r>
      <w:r>
        <w:rPr>
          <w:rFonts w:ascii="Times New Roman" w:eastAsia="黑体" w:cs="Times New Roman" w:hint="eastAsia"/>
          <w:b/>
          <w:color w:val="auto"/>
        </w:rPr>
        <w:t>收益示例</w:t>
      </w:r>
    </w:p>
    <w:p w:rsidR="00322620" w:rsidRDefault="0038219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322620" w:rsidRDefault="0038219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w:t>
      </w:r>
      <w:r>
        <w:rPr>
          <w:rFonts w:ascii="仿宋" w:eastAsia="仿宋" w:hAnsi="仿宋" w:cs="仿宋" w:hint="eastAsia"/>
          <w:sz w:val="24"/>
        </w:rPr>
        <w:t>06</w:t>
      </w:r>
      <w:r>
        <w:rPr>
          <w:rFonts w:ascii="仿宋" w:eastAsia="仿宋" w:hAnsi="仿宋" w:cs="仿宋"/>
          <w:sz w:val="24"/>
        </w:rPr>
        <w:t>00</w:t>
      </w:r>
      <w:r>
        <w:rPr>
          <w:rFonts w:ascii="仿宋" w:eastAsia="仿宋" w:hAnsi="仿宋" w:cs="仿宋" w:hint="eastAsia"/>
          <w:sz w:val="24"/>
        </w:rPr>
        <w:t>，客户到期获得的金额为：</w:t>
      </w:r>
      <w:r>
        <w:rPr>
          <w:rFonts w:ascii="仿宋" w:eastAsia="仿宋" w:hAnsi="仿宋" w:cs="仿宋"/>
          <w:sz w:val="24"/>
        </w:rPr>
        <w:t>100,000*1.</w:t>
      </w:r>
      <w:r>
        <w:rPr>
          <w:rFonts w:ascii="仿宋" w:eastAsia="仿宋" w:hAnsi="仿宋" w:cs="仿宋" w:hint="eastAsia"/>
          <w:sz w:val="24"/>
        </w:rPr>
        <w:t>06</w:t>
      </w:r>
      <w:r>
        <w:rPr>
          <w:rFonts w:ascii="仿宋" w:eastAsia="仿宋" w:hAnsi="仿宋" w:cs="仿宋"/>
          <w:sz w:val="24"/>
        </w:rPr>
        <w:t>00=1</w:t>
      </w:r>
      <w:r>
        <w:rPr>
          <w:rFonts w:ascii="仿宋" w:eastAsia="仿宋" w:hAnsi="仿宋" w:cs="仿宋" w:hint="eastAsia"/>
          <w:sz w:val="24"/>
        </w:rPr>
        <w:t>06</w:t>
      </w:r>
      <w:r>
        <w:rPr>
          <w:rFonts w:ascii="仿宋" w:eastAsia="仿宋" w:hAnsi="仿宋" w:cs="仿宋"/>
          <w:sz w:val="24"/>
        </w:rPr>
        <w:t>,000.00</w:t>
      </w:r>
      <w:r>
        <w:rPr>
          <w:rFonts w:ascii="仿宋" w:eastAsia="仿宋" w:hAnsi="仿宋" w:cs="仿宋" w:hint="eastAsia"/>
          <w:sz w:val="24"/>
        </w:rPr>
        <w:t>元。</w:t>
      </w:r>
    </w:p>
    <w:p w:rsidR="00322620" w:rsidRDefault="0038219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t>100,000*1.0200=102,000.00</w:t>
      </w:r>
      <w:r>
        <w:rPr>
          <w:rFonts w:ascii="仿宋" w:eastAsia="仿宋" w:hAnsi="仿宋" w:cs="仿宋" w:hint="eastAsia"/>
          <w:sz w:val="24"/>
        </w:rPr>
        <w:t>元</w:t>
      </w:r>
    </w:p>
    <w:p w:rsidR="00322620" w:rsidRDefault="00382196">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322620" w:rsidRDefault="0038219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322620" w:rsidRDefault="0038219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322620" w:rsidRDefault="0038219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322620" w:rsidRDefault="00382196">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本理财产品所投资的银行存款、货币市场工具、债券等标准化债权类资产、非标准化债权类资产、权益类资产以及资产管理产品等资产。</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A450DA" w:rsidRPr="00A450DA" w:rsidRDefault="00A450DA" w:rsidP="00D603CC">
      <w:pPr>
        <w:pStyle w:val="Default"/>
        <w:snapToGrid w:val="0"/>
        <w:spacing w:line="276" w:lineRule="auto"/>
        <w:ind w:firstLineChars="200" w:firstLine="482"/>
        <w:contextualSpacing/>
        <w:rPr>
          <w:rFonts w:ascii="仿宋" w:eastAsia="仿宋" w:hAnsi="仿宋"/>
          <w:b/>
          <w:color w:val="auto"/>
        </w:rPr>
      </w:pPr>
      <w:r w:rsidRPr="00A450DA">
        <w:rPr>
          <w:rFonts w:ascii="仿宋" w:eastAsia="仿宋" w:hAnsi="仿宋" w:hint="eastAsia"/>
          <w:b/>
          <w:color w:val="auto"/>
        </w:rPr>
        <w:t>以摊</w:t>
      </w:r>
      <w:proofErr w:type="gramStart"/>
      <w:r w:rsidRPr="00A450DA">
        <w:rPr>
          <w:rFonts w:ascii="仿宋" w:eastAsia="仿宋" w:hAnsi="仿宋" w:hint="eastAsia"/>
          <w:b/>
          <w:color w:val="auto"/>
        </w:rPr>
        <w:t>余成本</w:t>
      </w:r>
      <w:proofErr w:type="gramEnd"/>
      <w:r w:rsidRPr="00A450DA">
        <w:rPr>
          <w:rFonts w:ascii="仿宋" w:eastAsia="仿宋" w:hAnsi="仿宋" w:hint="eastAsia"/>
          <w:b/>
          <w:color w:val="auto"/>
        </w:rPr>
        <w:t>法计量的资产</w:t>
      </w:r>
      <w:r>
        <w:rPr>
          <w:rFonts w:ascii="仿宋" w:eastAsia="仿宋" w:hAnsi="仿宋" w:hint="eastAsia"/>
          <w:b/>
          <w:color w:val="auto"/>
        </w:rPr>
        <w:t>：</w:t>
      </w:r>
    </w:p>
    <w:p w:rsidR="00D603CC" w:rsidRPr="00D72E6C" w:rsidRDefault="00D603CC" w:rsidP="00D603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固定收益类资产</w:t>
      </w:r>
      <w:r w:rsidRPr="00D72E6C">
        <w:rPr>
          <w:rFonts w:ascii="仿宋" w:eastAsia="仿宋" w:hAnsi="仿宋" w:hint="eastAsia"/>
          <w:color w:val="auto"/>
        </w:rPr>
        <w:t>在符合《企业</w:t>
      </w:r>
      <w:r w:rsidRPr="00473BCF">
        <w:rPr>
          <w:rFonts w:ascii="仿宋" w:eastAsia="仿宋" w:hAnsi="仿宋" w:hint="eastAsia"/>
          <w:color w:val="auto"/>
        </w:rPr>
        <w:t>会计准则》及</w:t>
      </w:r>
      <w:r>
        <w:rPr>
          <w:rFonts w:ascii="仿宋" w:eastAsia="仿宋" w:hAnsi="仿宋" w:hint="eastAsia"/>
          <w:color w:val="auto"/>
        </w:rPr>
        <w:t>相关法律法规情况下采用摊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w:t>
      </w:r>
      <w:r w:rsidRPr="00D72E6C">
        <w:rPr>
          <w:rFonts w:ascii="仿宋" w:eastAsia="仿宋" w:hAnsi="仿宋" w:hint="eastAsia"/>
          <w:color w:val="auto"/>
        </w:rPr>
        <w:t>，同时</w:t>
      </w:r>
      <w:r w:rsidRPr="00473BCF">
        <w:rPr>
          <w:rFonts w:ascii="仿宋" w:eastAsia="仿宋" w:hAnsi="仿宋" w:hint="eastAsia"/>
          <w:color w:val="auto"/>
        </w:rPr>
        <w:t>以预期信用损失为基础进行减值会计处理并确认损失准备</w:t>
      </w:r>
      <w:r w:rsidRPr="00D72E6C">
        <w:rPr>
          <w:rFonts w:ascii="仿宋" w:eastAsia="仿宋" w:hAnsi="仿宋" w:hint="eastAsia"/>
          <w:color w:val="auto"/>
        </w:rPr>
        <w:t>。</w:t>
      </w:r>
      <w:r w:rsidRPr="00473BCF">
        <w:rPr>
          <w:rFonts w:ascii="仿宋" w:eastAsia="仿宋" w:hAnsi="仿宋" w:hint="eastAsia"/>
          <w:color w:val="auto"/>
          <w:lang w:bidi="ar"/>
        </w:rPr>
        <w:t>如有确凿证据表明该资产按原有摊</w:t>
      </w:r>
      <w:proofErr w:type="gramStart"/>
      <w:r w:rsidRPr="00473BCF">
        <w:rPr>
          <w:rFonts w:ascii="仿宋" w:eastAsia="仿宋" w:hAnsi="仿宋" w:hint="eastAsia"/>
          <w:color w:val="auto"/>
          <w:lang w:bidi="ar"/>
        </w:rPr>
        <w:t>余成本</w:t>
      </w:r>
      <w:proofErr w:type="gramEnd"/>
      <w:r w:rsidRPr="00473BCF">
        <w:rPr>
          <w:rFonts w:ascii="仿宋" w:eastAsia="仿宋" w:hAnsi="仿宋" w:hint="eastAsia"/>
          <w:color w:val="auto"/>
          <w:lang w:bidi="ar"/>
        </w:rPr>
        <w:t>法估值不能客观反映上述资产或负债于封闭期到期日的公允价值的，管理人可根据具体情况</w:t>
      </w:r>
      <w:r w:rsidR="00A450DA">
        <w:rPr>
          <w:rFonts w:ascii="仿宋" w:eastAsia="仿宋" w:hAnsi="仿宋" w:hint="eastAsia"/>
          <w:color w:val="auto"/>
          <w:lang w:bidi="ar"/>
        </w:rPr>
        <w:t>，</w:t>
      </w:r>
      <w:r w:rsidR="00A450DA">
        <w:rPr>
          <w:rFonts w:ascii="仿宋" w:eastAsia="仿宋" w:hAnsi="仿宋"/>
          <w:color w:val="auto"/>
          <w:lang w:bidi="ar"/>
        </w:rPr>
        <w:t>在</w:t>
      </w:r>
      <w:r w:rsidRPr="00473BCF">
        <w:rPr>
          <w:rFonts w:ascii="仿宋" w:eastAsia="仿宋" w:hAnsi="仿宋" w:hint="eastAsia"/>
          <w:color w:val="auto"/>
          <w:lang w:bidi="ar"/>
        </w:rPr>
        <w:t>与托管人商定后，按最能反映上述资产或负债于封闭期到期日的公允价值的方法估值。为最大限度保护</w:t>
      </w:r>
      <w:r w:rsidR="00CC1C04">
        <w:rPr>
          <w:rFonts w:ascii="仿宋" w:eastAsia="仿宋" w:hAnsi="仿宋" w:hint="eastAsia"/>
          <w:color w:val="auto"/>
          <w:lang w:bidi="ar"/>
        </w:rPr>
        <w:t>投资者</w:t>
      </w:r>
      <w:bookmarkStart w:id="5" w:name="_GoBack"/>
      <w:bookmarkEnd w:id="5"/>
      <w:r w:rsidRPr="00473BCF">
        <w:rPr>
          <w:rFonts w:ascii="仿宋" w:eastAsia="仿宋" w:hAnsi="仿宋" w:hint="eastAsia"/>
          <w:color w:val="auto"/>
          <w:lang w:bidi="ar"/>
        </w:rPr>
        <w:t>利益，管理人可采用的风险控制手段包括但不限于：处置信用风险显著增加</w:t>
      </w:r>
      <w:r w:rsidRPr="00473BCF">
        <w:rPr>
          <w:rFonts w:ascii="仿宋" w:eastAsia="仿宋" w:hAnsi="仿宋" w:hint="eastAsia"/>
          <w:color w:val="auto"/>
          <w:lang w:bidi="ar"/>
        </w:rPr>
        <w:lastRenderedPageBreak/>
        <w:t>的固定收益品种、及时评估和计提固定收益品种减值损失、于封闭期到期日改按公允价值计算</w:t>
      </w:r>
      <w:r w:rsidR="00D76D28">
        <w:rPr>
          <w:rFonts w:ascii="仿宋" w:eastAsia="仿宋" w:hAnsi="仿宋" w:hint="eastAsia"/>
          <w:color w:val="auto"/>
          <w:lang w:bidi="ar"/>
        </w:rPr>
        <w:t>理财</w:t>
      </w:r>
      <w:r w:rsidR="00D76D28">
        <w:rPr>
          <w:rFonts w:ascii="仿宋" w:eastAsia="仿宋" w:hAnsi="仿宋"/>
          <w:color w:val="auto"/>
          <w:lang w:bidi="ar"/>
        </w:rPr>
        <w:t>产品</w:t>
      </w:r>
      <w:r w:rsidRPr="00473BCF">
        <w:rPr>
          <w:rFonts w:ascii="仿宋" w:eastAsia="仿宋" w:hAnsi="仿宋" w:hint="eastAsia"/>
          <w:color w:val="auto"/>
          <w:lang w:bidi="ar"/>
        </w:rPr>
        <w:t>份额净值等。</w:t>
      </w:r>
    </w:p>
    <w:p w:rsidR="00D603CC" w:rsidRDefault="00D603CC" w:rsidP="00D603CC">
      <w:pPr>
        <w:pStyle w:val="Default"/>
        <w:snapToGrid w:val="0"/>
        <w:spacing w:line="276" w:lineRule="auto"/>
        <w:ind w:firstLineChars="200" w:firstLine="480"/>
        <w:contextualSpacing/>
        <w:rPr>
          <w:rFonts w:ascii="仿宋" w:eastAsia="仿宋" w:hAnsi="仿宋"/>
          <w:color w:val="auto"/>
        </w:rPr>
      </w:pPr>
      <w:r w:rsidRPr="00D72E6C">
        <w:rPr>
          <w:rFonts w:ascii="仿宋" w:eastAsia="仿宋" w:hAnsi="仿宋" w:hint="eastAsia"/>
          <w:color w:val="auto"/>
        </w:rPr>
        <w:t>不符合上述条件，</w:t>
      </w:r>
      <w:r w:rsidRPr="00473BCF">
        <w:rPr>
          <w:rFonts w:ascii="仿宋" w:eastAsia="仿宋" w:hAnsi="仿宋" w:hint="eastAsia"/>
          <w:color w:val="auto"/>
        </w:rPr>
        <w:t>并以出售为目的的</w:t>
      </w:r>
      <w:r>
        <w:rPr>
          <w:rFonts w:ascii="仿宋" w:eastAsia="仿宋" w:hAnsi="仿宋" w:hint="eastAsia"/>
          <w:color w:val="auto"/>
        </w:rPr>
        <w:t>固定收益类资产以公允价值计量且其变动计入当期损益。</w:t>
      </w:r>
    </w:p>
    <w:p w:rsidR="00A450DA" w:rsidRDefault="00A450DA" w:rsidP="00D603CC">
      <w:pPr>
        <w:pStyle w:val="Default"/>
        <w:snapToGrid w:val="0"/>
        <w:spacing w:line="276" w:lineRule="auto"/>
        <w:ind w:firstLineChars="200" w:firstLine="482"/>
        <w:contextualSpacing/>
        <w:rPr>
          <w:rFonts w:ascii="仿宋" w:eastAsia="仿宋" w:hAnsi="仿宋"/>
          <w:color w:val="auto"/>
        </w:rPr>
      </w:pPr>
      <w:r w:rsidRPr="00A450DA">
        <w:rPr>
          <w:rFonts w:ascii="仿宋" w:eastAsia="仿宋" w:hAnsi="仿宋" w:hint="eastAsia"/>
          <w:b/>
          <w:color w:val="auto"/>
        </w:rPr>
        <w:t>以</w:t>
      </w:r>
      <w:proofErr w:type="gramStart"/>
      <w:r w:rsidRPr="00A450DA">
        <w:rPr>
          <w:rFonts w:ascii="仿宋" w:eastAsia="仿宋" w:hAnsi="仿宋" w:hint="eastAsia"/>
          <w:b/>
          <w:color w:val="auto"/>
        </w:rPr>
        <w:t>除摊余成本</w:t>
      </w:r>
      <w:proofErr w:type="gramEnd"/>
      <w:r w:rsidRPr="00A450DA">
        <w:rPr>
          <w:rFonts w:ascii="仿宋" w:eastAsia="仿宋" w:hAnsi="仿宋" w:hint="eastAsia"/>
          <w:b/>
          <w:color w:val="auto"/>
        </w:rPr>
        <w:t>法以外的估值方法估值的资产：</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322620" w:rsidRDefault="00382196">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lastRenderedPageBreak/>
        <w:t>以上“理财产品估值”章节所列的投资品种不代表本理财产品的实际投资范围，本产品实际可投资范围以本产品说明书“投资对象”章节列示为准。</w:t>
      </w:r>
    </w:p>
    <w:p w:rsidR="00322620" w:rsidRDefault="00382196">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322620" w:rsidRDefault="00382196">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322620" w:rsidRDefault="00382196">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322620" w:rsidRDefault="00382196">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322620" w:rsidRDefault="00382196">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322620" w:rsidRDefault="00382196">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322620" w:rsidRDefault="00382196">
      <w:pPr>
        <w:pStyle w:val="Default"/>
        <w:snapToGrid w:val="0"/>
        <w:spacing w:line="276" w:lineRule="auto"/>
        <w:ind w:firstLineChars="200" w:firstLine="480"/>
        <w:contextualSpacing/>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322620" w:rsidRDefault="00382196">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的影响。在最不利的情况下，理财产品到期</w:t>
      </w:r>
      <w:r>
        <w:rPr>
          <w:rFonts w:ascii="Times New Roman" w:eastAsia="黑体" w:cs="Times New Roman" w:hint="eastAsia"/>
          <w:b/>
          <w:color w:val="auto"/>
        </w:rPr>
        <w:t>/</w:t>
      </w:r>
      <w:r>
        <w:rPr>
          <w:rFonts w:ascii="Times New Roman" w:eastAsia="黑体" w:cs="Times New Roman" w:hint="eastAsia"/>
          <w:b/>
          <w:color w:val="auto"/>
        </w:rPr>
        <w:t>终止时投资者可能无法获得理财产品投资收益，甚至损失全部理财本金，由此产生的风险由投资者自行承担。</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投资者无权随时提前赎回</w:t>
      </w:r>
      <w:r>
        <w:rPr>
          <w:rFonts w:ascii="Times New Roman" w:eastAsia="黑体" w:cs="Times New Roman" w:hint="eastAsia"/>
          <w:b/>
          <w:color w:val="auto"/>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w:t>
      </w:r>
      <w:r>
        <w:rPr>
          <w:rFonts w:ascii="Times New Roman" w:eastAsia="黑体" w:cs="Times New Roman" w:hint="eastAsia"/>
          <w:b/>
          <w:color w:val="auto"/>
        </w:rPr>
        <w:lastRenderedPageBreak/>
        <w:t>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（十）延期风险：</w:t>
      </w:r>
      <w:r>
        <w:rPr>
          <w:rFonts w:ascii="Times New Roman" w:eastAsia="黑体" w:cs="Times New Roman"/>
          <w:b/>
          <w:color w:val="auto"/>
        </w:rPr>
        <w:t>如因与理财产品投资资产相关的</w:t>
      </w:r>
      <w:r>
        <w:rPr>
          <w:rFonts w:ascii="Times New Roman" w:eastAsia="黑体" w:cs="Times New Roman" w:hint="eastAsia"/>
          <w:b/>
          <w:color w:val="auto"/>
        </w:rPr>
        <w:t>资产管理计划管理人、</w:t>
      </w:r>
      <w:r>
        <w:rPr>
          <w:rFonts w:ascii="Times New Roman" w:eastAsia="黑体" w:cs="Times New Roman"/>
          <w:b/>
          <w:color w:val="auto"/>
        </w:rPr>
        <w:t>信托受托人、债务人、担保人（如有）等主体发生违约，导致本理财产品不能按时偿</w:t>
      </w:r>
      <w:r>
        <w:rPr>
          <w:rFonts w:ascii="Times New Roman" w:eastAsia="黑体" w:cs="Times New Roman" w:hint="eastAsia"/>
          <w:b/>
          <w:color w:val="auto"/>
        </w:rPr>
        <w:t>付</w:t>
      </w:r>
      <w:r>
        <w:rPr>
          <w:rFonts w:ascii="Times New Roman" w:eastAsia="黑体" w:cs="Times New Roman"/>
          <w:b/>
          <w:color w:val="auto"/>
        </w:rPr>
        <w:t>理财本金及收益</w:t>
      </w:r>
      <w:r>
        <w:rPr>
          <w:rFonts w:ascii="Times New Roman" w:eastAsia="黑体" w:cs="Times New Roman" w:hint="eastAsia"/>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ascii="Times New Roman" w:eastAsia="黑体" w:cs="Times New Roman" w:hint="eastAsia"/>
          <w:b/>
          <w:color w:val="auto"/>
        </w:rPr>
        <w:t>产品</w:t>
      </w:r>
      <w:r>
        <w:rPr>
          <w:rFonts w:ascii="Times New Roman" w:eastAsia="黑体" w:cs="Times New Roman"/>
          <w:b/>
          <w:color w:val="auto"/>
        </w:rPr>
        <w:t>期限将相应延长。</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w:t>
      </w:r>
      <w:r>
        <w:rPr>
          <w:rFonts w:ascii="Times New Roman" w:eastAsia="黑体" w:cs="Times New Roman" w:hint="eastAsia"/>
          <w:b/>
          <w:color w:val="auto"/>
        </w:rPr>
        <w:lastRenderedPageBreak/>
        <w:t>在风险。</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（十三）拟投资市场及资产的流动性风险评估</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（十四）流动性应对措施及对投资者的潜在影响</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当管理人实施流动性应对措施时，可能对投资者具有一定的潜在影响，包括但不限于不能认购本理财产品、认购交易确认失败等。</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322620" w:rsidRDefault="00382196">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w:t>
      </w:r>
      <w:r>
        <w:rPr>
          <w:rFonts w:ascii="仿宋" w:eastAsia="仿宋" w:hAnsi="仿宋" w:cs="宋体" w:hint="eastAsia"/>
          <w:color w:val="000000"/>
          <w:kern w:val="0"/>
          <w:sz w:val="24"/>
        </w:rPr>
        <w:lastRenderedPageBreak/>
        <w:t>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322620" w:rsidRDefault="00382196">
      <w:pPr>
        <w:autoSpaceDE w:val="0"/>
        <w:autoSpaceDN w:val="0"/>
        <w:adjustRightInd w:val="0"/>
        <w:snapToGrid w:val="0"/>
        <w:spacing w:line="276" w:lineRule="auto"/>
        <w:ind w:firstLineChars="200" w:firstLine="480"/>
        <w:contextualSpacing/>
        <w:rPr>
          <w:rFonts w:ascii="仿宋" w:hAnsi="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322620" w:rsidRDefault="00382196">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322620" w:rsidRDefault="00382196">
      <w:pPr>
        <w:autoSpaceDE w:val="0"/>
        <w:autoSpaceDN w:val="0"/>
        <w:adjustRightInd w:val="0"/>
        <w:snapToGrid w:val="0"/>
        <w:spacing w:line="276" w:lineRule="auto"/>
        <w:ind w:firstLineChars="200" w:firstLine="480"/>
        <w:contextualSpacing/>
        <w:rPr>
          <w:b/>
        </w:rPr>
      </w:pPr>
      <w:r>
        <w:rPr>
          <w:rFonts w:ascii="仿宋" w:eastAsia="仿宋" w:hAnsi="仿宋" w:cs="宋体" w:hint="eastAsia"/>
          <w:kern w:val="0"/>
          <w:sz w:val="24"/>
        </w:rPr>
        <w:t>投资者确认并同意管理人可以通过上述方式披露理财</w:t>
      </w:r>
      <w:r>
        <w:rPr>
          <w:rFonts w:ascii="仿宋" w:eastAsia="仿宋" w:hAnsi="仿宋" w:cs="宋体"/>
          <w:kern w:val="0"/>
          <w:sz w:val="24"/>
        </w:rPr>
        <w:t>产品</w:t>
      </w:r>
      <w:r>
        <w:rPr>
          <w:rFonts w:ascii="仿宋" w:eastAsia="仿宋" w:hAnsi="仿宋" w:cs="宋体" w:hint="eastAsia"/>
          <w:kern w:val="0"/>
          <w:sz w:val="24"/>
        </w:rPr>
        <w:t>信息。投资者应及时、主动通过上述信息披露渠道浏览并阅读理财</w:t>
      </w:r>
      <w:r>
        <w:rPr>
          <w:rFonts w:ascii="仿宋" w:eastAsia="仿宋" w:hAnsi="仿宋" w:cs="宋体"/>
          <w:kern w:val="0"/>
          <w:sz w:val="24"/>
        </w:rPr>
        <w:t>产品</w:t>
      </w:r>
      <w:r>
        <w:rPr>
          <w:rFonts w:ascii="仿宋" w:eastAsia="仿宋" w:hAnsi="仿宋" w:cs="宋体" w:hint="eastAsia"/>
          <w:kern w:val="0"/>
          <w:sz w:val="24"/>
        </w:rPr>
        <w:t>信息及公告。</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322620" w:rsidRDefault="00382196">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w:t>
      </w:r>
      <w:r>
        <w:rPr>
          <w:rFonts w:ascii="仿宋" w:eastAsia="仿宋" w:hAnsi="仿宋" w:cs="宋体"/>
          <w:b/>
          <w:bCs/>
          <w:kern w:val="0"/>
          <w:sz w:val="24"/>
        </w:rPr>
        <w:lastRenderedPageBreak/>
        <w:t>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322620" w:rsidRDefault="00382196">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322620" w:rsidRDefault="00382196">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322620" w:rsidRDefault="00382196">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32262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33FA8"/>
    <w:rsid w:val="0013677C"/>
    <w:rsid w:val="00165B63"/>
    <w:rsid w:val="0017498E"/>
    <w:rsid w:val="00183EA3"/>
    <w:rsid w:val="00186079"/>
    <w:rsid w:val="00190BB4"/>
    <w:rsid w:val="001D2415"/>
    <w:rsid w:val="001E1606"/>
    <w:rsid w:val="001E41AD"/>
    <w:rsid w:val="001F7D2D"/>
    <w:rsid w:val="00215C06"/>
    <w:rsid w:val="002318DF"/>
    <w:rsid w:val="00244A8F"/>
    <w:rsid w:val="002553C2"/>
    <w:rsid w:val="00257913"/>
    <w:rsid w:val="00257999"/>
    <w:rsid w:val="00262B55"/>
    <w:rsid w:val="00280398"/>
    <w:rsid w:val="002960B6"/>
    <w:rsid w:val="002A05D2"/>
    <w:rsid w:val="002B2BDD"/>
    <w:rsid w:val="002F6B80"/>
    <w:rsid w:val="00305047"/>
    <w:rsid w:val="00316AFC"/>
    <w:rsid w:val="00322620"/>
    <w:rsid w:val="003243A1"/>
    <w:rsid w:val="00333AEC"/>
    <w:rsid w:val="0033431D"/>
    <w:rsid w:val="00344E4C"/>
    <w:rsid w:val="003536CA"/>
    <w:rsid w:val="003750FE"/>
    <w:rsid w:val="00380E25"/>
    <w:rsid w:val="00382196"/>
    <w:rsid w:val="00383192"/>
    <w:rsid w:val="00386DF5"/>
    <w:rsid w:val="00387828"/>
    <w:rsid w:val="003C19A7"/>
    <w:rsid w:val="003C47F9"/>
    <w:rsid w:val="003C561D"/>
    <w:rsid w:val="003C737C"/>
    <w:rsid w:val="003D0255"/>
    <w:rsid w:val="003D1B1D"/>
    <w:rsid w:val="003D7791"/>
    <w:rsid w:val="003E19F9"/>
    <w:rsid w:val="003F0CFC"/>
    <w:rsid w:val="00400CDC"/>
    <w:rsid w:val="004128C5"/>
    <w:rsid w:val="00420E68"/>
    <w:rsid w:val="00443D10"/>
    <w:rsid w:val="00482583"/>
    <w:rsid w:val="0048600F"/>
    <w:rsid w:val="004A2CEA"/>
    <w:rsid w:val="004B3C7D"/>
    <w:rsid w:val="004C7E7D"/>
    <w:rsid w:val="004D72E5"/>
    <w:rsid w:val="004E7458"/>
    <w:rsid w:val="004F3054"/>
    <w:rsid w:val="00511A6C"/>
    <w:rsid w:val="00511F92"/>
    <w:rsid w:val="005228EC"/>
    <w:rsid w:val="00541B21"/>
    <w:rsid w:val="005521CA"/>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2398B"/>
    <w:rsid w:val="00926B88"/>
    <w:rsid w:val="00933895"/>
    <w:rsid w:val="00940AE1"/>
    <w:rsid w:val="009767AD"/>
    <w:rsid w:val="00991585"/>
    <w:rsid w:val="0099257B"/>
    <w:rsid w:val="009A1572"/>
    <w:rsid w:val="009B40CA"/>
    <w:rsid w:val="009B5749"/>
    <w:rsid w:val="009B654D"/>
    <w:rsid w:val="009C25C2"/>
    <w:rsid w:val="009E64E1"/>
    <w:rsid w:val="009F3291"/>
    <w:rsid w:val="00A10AA6"/>
    <w:rsid w:val="00A15763"/>
    <w:rsid w:val="00A23D14"/>
    <w:rsid w:val="00A40B5C"/>
    <w:rsid w:val="00A450DA"/>
    <w:rsid w:val="00A80484"/>
    <w:rsid w:val="00AA20BC"/>
    <w:rsid w:val="00AB6C5C"/>
    <w:rsid w:val="00AC051A"/>
    <w:rsid w:val="00AC0C84"/>
    <w:rsid w:val="00AC28C2"/>
    <w:rsid w:val="00AC56CD"/>
    <w:rsid w:val="00AD5773"/>
    <w:rsid w:val="00AE3F67"/>
    <w:rsid w:val="00AE55A6"/>
    <w:rsid w:val="00AF0D6A"/>
    <w:rsid w:val="00AF2148"/>
    <w:rsid w:val="00AF4114"/>
    <w:rsid w:val="00AF79D6"/>
    <w:rsid w:val="00B13FB3"/>
    <w:rsid w:val="00B2549A"/>
    <w:rsid w:val="00B26E45"/>
    <w:rsid w:val="00B2731B"/>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651A"/>
    <w:rsid w:val="00CA72BA"/>
    <w:rsid w:val="00CB300C"/>
    <w:rsid w:val="00CC1C04"/>
    <w:rsid w:val="00CC6613"/>
    <w:rsid w:val="00CD1AC8"/>
    <w:rsid w:val="00CF7FD2"/>
    <w:rsid w:val="00D03E60"/>
    <w:rsid w:val="00D06EC1"/>
    <w:rsid w:val="00D07C3B"/>
    <w:rsid w:val="00D20E48"/>
    <w:rsid w:val="00D54E89"/>
    <w:rsid w:val="00D603CC"/>
    <w:rsid w:val="00D62515"/>
    <w:rsid w:val="00D62EAE"/>
    <w:rsid w:val="00D633D2"/>
    <w:rsid w:val="00D7194A"/>
    <w:rsid w:val="00D74E35"/>
    <w:rsid w:val="00D76D28"/>
    <w:rsid w:val="00D81EE7"/>
    <w:rsid w:val="00D842DC"/>
    <w:rsid w:val="00D92F2F"/>
    <w:rsid w:val="00D96806"/>
    <w:rsid w:val="00DA1051"/>
    <w:rsid w:val="00DB3201"/>
    <w:rsid w:val="00DB6A3F"/>
    <w:rsid w:val="00DC5F87"/>
    <w:rsid w:val="00DE7DB8"/>
    <w:rsid w:val="00DF01F0"/>
    <w:rsid w:val="00E01C5E"/>
    <w:rsid w:val="00E02F1C"/>
    <w:rsid w:val="00E064E3"/>
    <w:rsid w:val="00E32C0D"/>
    <w:rsid w:val="00E4718A"/>
    <w:rsid w:val="00E53D13"/>
    <w:rsid w:val="00E65F0B"/>
    <w:rsid w:val="00E8067C"/>
    <w:rsid w:val="00E91719"/>
    <w:rsid w:val="00E93A95"/>
    <w:rsid w:val="00EA4EFE"/>
    <w:rsid w:val="00EC1941"/>
    <w:rsid w:val="00ED51B9"/>
    <w:rsid w:val="00ED5CA8"/>
    <w:rsid w:val="00EE0EFC"/>
    <w:rsid w:val="00EE4B28"/>
    <w:rsid w:val="00F02D76"/>
    <w:rsid w:val="00F045C3"/>
    <w:rsid w:val="00F05127"/>
    <w:rsid w:val="00F512E9"/>
    <w:rsid w:val="00F54606"/>
    <w:rsid w:val="00F67A6A"/>
    <w:rsid w:val="00F67A9C"/>
    <w:rsid w:val="00F72DB1"/>
    <w:rsid w:val="00F77DC9"/>
    <w:rsid w:val="00F82368"/>
    <w:rsid w:val="00FB10EC"/>
    <w:rsid w:val="00FC0983"/>
    <w:rsid w:val="00FC21F8"/>
    <w:rsid w:val="00FC5EEF"/>
    <w:rsid w:val="00FF5911"/>
    <w:rsid w:val="015E11C2"/>
    <w:rsid w:val="02417756"/>
    <w:rsid w:val="02E40AD0"/>
    <w:rsid w:val="033A4D39"/>
    <w:rsid w:val="034644C7"/>
    <w:rsid w:val="04196F12"/>
    <w:rsid w:val="04435A9E"/>
    <w:rsid w:val="04950991"/>
    <w:rsid w:val="05351A10"/>
    <w:rsid w:val="054B7EFA"/>
    <w:rsid w:val="05831998"/>
    <w:rsid w:val="060A409E"/>
    <w:rsid w:val="0610015A"/>
    <w:rsid w:val="066C6455"/>
    <w:rsid w:val="06930C07"/>
    <w:rsid w:val="072859C3"/>
    <w:rsid w:val="07853686"/>
    <w:rsid w:val="07B45D81"/>
    <w:rsid w:val="07C26F1E"/>
    <w:rsid w:val="07C52B3D"/>
    <w:rsid w:val="07D6576F"/>
    <w:rsid w:val="07F1682B"/>
    <w:rsid w:val="08064FC2"/>
    <w:rsid w:val="080D6F41"/>
    <w:rsid w:val="08A87A0E"/>
    <w:rsid w:val="08D300AE"/>
    <w:rsid w:val="09277EEB"/>
    <w:rsid w:val="096506FA"/>
    <w:rsid w:val="0A01440A"/>
    <w:rsid w:val="0A513B0D"/>
    <w:rsid w:val="0A5478A3"/>
    <w:rsid w:val="0D3600BA"/>
    <w:rsid w:val="0DD32259"/>
    <w:rsid w:val="0EF43DB9"/>
    <w:rsid w:val="0F850895"/>
    <w:rsid w:val="102F133E"/>
    <w:rsid w:val="10987645"/>
    <w:rsid w:val="10ED247D"/>
    <w:rsid w:val="110764BF"/>
    <w:rsid w:val="113A6DA1"/>
    <w:rsid w:val="114758B1"/>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041D63"/>
    <w:rsid w:val="1B2C6F2C"/>
    <w:rsid w:val="1B5D5F33"/>
    <w:rsid w:val="1BA134BF"/>
    <w:rsid w:val="1BA24967"/>
    <w:rsid w:val="1BAF6A57"/>
    <w:rsid w:val="1BCE5D96"/>
    <w:rsid w:val="1BDE2098"/>
    <w:rsid w:val="1C465E86"/>
    <w:rsid w:val="1C726314"/>
    <w:rsid w:val="1CE252F3"/>
    <w:rsid w:val="1D104FDC"/>
    <w:rsid w:val="1D117096"/>
    <w:rsid w:val="1DE516B8"/>
    <w:rsid w:val="1E433C85"/>
    <w:rsid w:val="1ED877DF"/>
    <w:rsid w:val="1F0B3DFE"/>
    <w:rsid w:val="1F5522A7"/>
    <w:rsid w:val="1F7B1BD0"/>
    <w:rsid w:val="1FD45CE1"/>
    <w:rsid w:val="21433609"/>
    <w:rsid w:val="214D162F"/>
    <w:rsid w:val="22171129"/>
    <w:rsid w:val="222D0D62"/>
    <w:rsid w:val="2350568B"/>
    <w:rsid w:val="237F35E5"/>
    <w:rsid w:val="23A50D24"/>
    <w:rsid w:val="23BB3E13"/>
    <w:rsid w:val="23E44373"/>
    <w:rsid w:val="242806AA"/>
    <w:rsid w:val="24392A65"/>
    <w:rsid w:val="2467066D"/>
    <w:rsid w:val="24E91956"/>
    <w:rsid w:val="252E26F1"/>
    <w:rsid w:val="25C3267A"/>
    <w:rsid w:val="25D568B4"/>
    <w:rsid w:val="25F33B9E"/>
    <w:rsid w:val="260C731E"/>
    <w:rsid w:val="26103F21"/>
    <w:rsid w:val="270B308D"/>
    <w:rsid w:val="27EA63D1"/>
    <w:rsid w:val="287A5D0E"/>
    <w:rsid w:val="28B05EE9"/>
    <w:rsid w:val="28D30187"/>
    <w:rsid w:val="28E571A8"/>
    <w:rsid w:val="294C4E21"/>
    <w:rsid w:val="296D4B02"/>
    <w:rsid w:val="2A103412"/>
    <w:rsid w:val="2A1E1418"/>
    <w:rsid w:val="2A770C99"/>
    <w:rsid w:val="2A9A7D70"/>
    <w:rsid w:val="2BBB2833"/>
    <w:rsid w:val="2BC42334"/>
    <w:rsid w:val="2C1011CD"/>
    <w:rsid w:val="2C40390A"/>
    <w:rsid w:val="2C4C703B"/>
    <w:rsid w:val="2D0852EE"/>
    <w:rsid w:val="2D241337"/>
    <w:rsid w:val="2D753D30"/>
    <w:rsid w:val="2DC02129"/>
    <w:rsid w:val="2E010168"/>
    <w:rsid w:val="2E6A7D66"/>
    <w:rsid w:val="2EA972CC"/>
    <w:rsid w:val="2EC31B75"/>
    <w:rsid w:val="2FE72027"/>
    <w:rsid w:val="306A1371"/>
    <w:rsid w:val="3127549C"/>
    <w:rsid w:val="31533557"/>
    <w:rsid w:val="31B41A9A"/>
    <w:rsid w:val="31C74937"/>
    <w:rsid w:val="31F02E84"/>
    <w:rsid w:val="32062205"/>
    <w:rsid w:val="322068C9"/>
    <w:rsid w:val="326170B4"/>
    <w:rsid w:val="328F3B54"/>
    <w:rsid w:val="329A11A0"/>
    <w:rsid w:val="32EB1F9F"/>
    <w:rsid w:val="32FF7EB7"/>
    <w:rsid w:val="33830490"/>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0D6CB1"/>
    <w:rsid w:val="3B4C73CF"/>
    <w:rsid w:val="3BC55932"/>
    <w:rsid w:val="3C4353DD"/>
    <w:rsid w:val="3C7826C2"/>
    <w:rsid w:val="3C8F2051"/>
    <w:rsid w:val="3CD87A38"/>
    <w:rsid w:val="3D83215E"/>
    <w:rsid w:val="3DFF3A1A"/>
    <w:rsid w:val="3EA946F7"/>
    <w:rsid w:val="3ED615CF"/>
    <w:rsid w:val="3EEC674A"/>
    <w:rsid w:val="3F3A6280"/>
    <w:rsid w:val="3F8907F6"/>
    <w:rsid w:val="3F8B7D7F"/>
    <w:rsid w:val="3FDA33E1"/>
    <w:rsid w:val="3FDD61C2"/>
    <w:rsid w:val="3FF20B0E"/>
    <w:rsid w:val="40670EF7"/>
    <w:rsid w:val="40974D22"/>
    <w:rsid w:val="40AB1A12"/>
    <w:rsid w:val="41012626"/>
    <w:rsid w:val="417575F2"/>
    <w:rsid w:val="41BD7655"/>
    <w:rsid w:val="41CC7DB7"/>
    <w:rsid w:val="42F60353"/>
    <w:rsid w:val="438556A7"/>
    <w:rsid w:val="43A6228A"/>
    <w:rsid w:val="4524487F"/>
    <w:rsid w:val="455123EC"/>
    <w:rsid w:val="45CC078F"/>
    <w:rsid w:val="466B6F06"/>
    <w:rsid w:val="46860155"/>
    <w:rsid w:val="476049FD"/>
    <w:rsid w:val="47802A85"/>
    <w:rsid w:val="487C60FD"/>
    <w:rsid w:val="489E098C"/>
    <w:rsid w:val="48B61CC6"/>
    <w:rsid w:val="48F11FB7"/>
    <w:rsid w:val="492A5B50"/>
    <w:rsid w:val="49321AAF"/>
    <w:rsid w:val="493A681C"/>
    <w:rsid w:val="493C2E02"/>
    <w:rsid w:val="494D579F"/>
    <w:rsid w:val="498C1FB1"/>
    <w:rsid w:val="4A255416"/>
    <w:rsid w:val="4A937164"/>
    <w:rsid w:val="4A9750EA"/>
    <w:rsid w:val="4AA40703"/>
    <w:rsid w:val="4B1D70C8"/>
    <w:rsid w:val="4B647634"/>
    <w:rsid w:val="4B690413"/>
    <w:rsid w:val="4BB86F47"/>
    <w:rsid w:val="4BF60566"/>
    <w:rsid w:val="4C263A21"/>
    <w:rsid w:val="4C973694"/>
    <w:rsid w:val="4CCE54E6"/>
    <w:rsid w:val="4DE843F0"/>
    <w:rsid w:val="4EDD4EDE"/>
    <w:rsid w:val="4EE45C33"/>
    <w:rsid w:val="4F0D20A6"/>
    <w:rsid w:val="500C5A60"/>
    <w:rsid w:val="50461117"/>
    <w:rsid w:val="509A5F14"/>
    <w:rsid w:val="514005B6"/>
    <w:rsid w:val="51954E8A"/>
    <w:rsid w:val="519B5496"/>
    <w:rsid w:val="51D20DCB"/>
    <w:rsid w:val="524B3F1B"/>
    <w:rsid w:val="52667895"/>
    <w:rsid w:val="52B20439"/>
    <w:rsid w:val="53735224"/>
    <w:rsid w:val="537D24F6"/>
    <w:rsid w:val="5395034E"/>
    <w:rsid w:val="543C05E0"/>
    <w:rsid w:val="547F3EAC"/>
    <w:rsid w:val="54B9651A"/>
    <w:rsid w:val="54F9389F"/>
    <w:rsid w:val="55222910"/>
    <w:rsid w:val="55643FAD"/>
    <w:rsid w:val="559032FC"/>
    <w:rsid w:val="55C46330"/>
    <w:rsid w:val="55EF2193"/>
    <w:rsid w:val="560165A7"/>
    <w:rsid w:val="560B3FD6"/>
    <w:rsid w:val="563121A3"/>
    <w:rsid w:val="563A5292"/>
    <w:rsid w:val="5646747A"/>
    <w:rsid w:val="567B0F8C"/>
    <w:rsid w:val="56D476A1"/>
    <w:rsid w:val="56F03CB1"/>
    <w:rsid w:val="574328BF"/>
    <w:rsid w:val="584667E1"/>
    <w:rsid w:val="5884596F"/>
    <w:rsid w:val="598336AE"/>
    <w:rsid w:val="599B3F0F"/>
    <w:rsid w:val="59A2047A"/>
    <w:rsid w:val="5A41650D"/>
    <w:rsid w:val="5A7852B1"/>
    <w:rsid w:val="5AA97C90"/>
    <w:rsid w:val="5AE4319D"/>
    <w:rsid w:val="5C7E5C8C"/>
    <w:rsid w:val="5CE90207"/>
    <w:rsid w:val="5D8D61EF"/>
    <w:rsid w:val="5E3B759B"/>
    <w:rsid w:val="5E501568"/>
    <w:rsid w:val="5E50611E"/>
    <w:rsid w:val="5EB138AE"/>
    <w:rsid w:val="5EB53035"/>
    <w:rsid w:val="5ECD3218"/>
    <w:rsid w:val="5ED23CC7"/>
    <w:rsid w:val="5EE6353D"/>
    <w:rsid w:val="5F0310B7"/>
    <w:rsid w:val="5F0C287E"/>
    <w:rsid w:val="5F5952B0"/>
    <w:rsid w:val="602E28A2"/>
    <w:rsid w:val="60C0423D"/>
    <w:rsid w:val="60E7450D"/>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4650B5"/>
    <w:rsid w:val="65C63D9B"/>
    <w:rsid w:val="66103AAA"/>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166B97"/>
    <w:rsid w:val="6A5B0FA5"/>
    <w:rsid w:val="6A754FA8"/>
    <w:rsid w:val="6A897CE1"/>
    <w:rsid w:val="6A983C35"/>
    <w:rsid w:val="6B4C2F45"/>
    <w:rsid w:val="6B966680"/>
    <w:rsid w:val="6C161AD0"/>
    <w:rsid w:val="6D157AE9"/>
    <w:rsid w:val="6D2E7D50"/>
    <w:rsid w:val="6DB009C6"/>
    <w:rsid w:val="6DC10226"/>
    <w:rsid w:val="6DD90E21"/>
    <w:rsid w:val="6DE0162F"/>
    <w:rsid w:val="6DFA3383"/>
    <w:rsid w:val="6E1A49C5"/>
    <w:rsid w:val="6E254EA7"/>
    <w:rsid w:val="6EBB30B7"/>
    <w:rsid w:val="6F786BDA"/>
    <w:rsid w:val="7018621E"/>
    <w:rsid w:val="709573C6"/>
    <w:rsid w:val="709E2354"/>
    <w:rsid w:val="70E70772"/>
    <w:rsid w:val="71900429"/>
    <w:rsid w:val="719027A5"/>
    <w:rsid w:val="71C9496E"/>
    <w:rsid w:val="71EE76F7"/>
    <w:rsid w:val="724D102D"/>
    <w:rsid w:val="725F0CAE"/>
    <w:rsid w:val="729670D4"/>
    <w:rsid w:val="72981180"/>
    <w:rsid w:val="729C09F9"/>
    <w:rsid w:val="73155C46"/>
    <w:rsid w:val="7366194C"/>
    <w:rsid w:val="74062834"/>
    <w:rsid w:val="740D552E"/>
    <w:rsid w:val="74136087"/>
    <w:rsid w:val="74A805D6"/>
    <w:rsid w:val="74A870B6"/>
    <w:rsid w:val="74FA0674"/>
    <w:rsid w:val="754F1383"/>
    <w:rsid w:val="75DC198B"/>
    <w:rsid w:val="763F7244"/>
    <w:rsid w:val="764A2B58"/>
    <w:rsid w:val="76661B90"/>
    <w:rsid w:val="767F0302"/>
    <w:rsid w:val="76CD53F1"/>
    <w:rsid w:val="77731DCC"/>
    <w:rsid w:val="77F43C8B"/>
    <w:rsid w:val="78A33979"/>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C7EB5538-B380-43A7-AFFE-03C9089A7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Body Text Indent"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Pr>
      <w:b/>
      <w:bCs/>
    </w:rPr>
  </w:style>
  <w:style w:type="paragraph" w:styleId="a4">
    <w:name w:val="annotation text"/>
    <w:basedOn w:val="a"/>
    <w:link w:val="Char0"/>
    <w:pPr>
      <w:jc w:val="left"/>
    </w:pPr>
  </w:style>
  <w:style w:type="paragraph" w:styleId="a5">
    <w:name w:val="Body Text Indent"/>
    <w:basedOn w:val="a"/>
    <w:unhideWhenUsed/>
    <w:pPr>
      <w:ind w:firstLine="630"/>
    </w:pPr>
    <w:rPr>
      <w:kern w:val="0"/>
      <w:sz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20"/>
    </w:rPr>
  </w:style>
  <w:style w:type="character" w:styleId="a9">
    <w:name w:val="annotation reference"/>
    <w:rPr>
      <w:sz w:val="21"/>
      <w:szCs w:val="21"/>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1">
    <w:name w:val="修订1"/>
    <w:uiPriority w:val="99"/>
    <w:unhideWhenUsed/>
    <w:rPr>
      <w:kern w:val="2"/>
      <w:sz w:val="21"/>
      <w:szCs w:val="24"/>
    </w:rPr>
  </w:style>
  <w:style w:type="character" w:customStyle="1" w:styleId="Char0">
    <w:name w:val="批注文字 Char"/>
    <w:link w:val="a4"/>
    <w:rPr>
      <w:kern w:val="2"/>
      <w:sz w:val="21"/>
      <w:szCs w:val="24"/>
    </w:rPr>
  </w:style>
  <w:style w:type="character" w:customStyle="1" w:styleId="Char">
    <w:name w:val="批注主题 Char"/>
    <w:link w:val="a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2510</Words>
  <Characters>14313</Characters>
  <Application>Microsoft Office Word</Application>
  <DocSecurity>0</DocSecurity>
  <Lines>119</Lines>
  <Paragraphs>33</Paragraphs>
  <ScaleCrop>false</ScaleCrop>
  <Company>华夏银行总行</Company>
  <LinksUpToDate>false</LinksUpToDate>
  <CharactersWithSpaces>16790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华夏理财固定收益增强型精选封闭式</dc:title>
  <dc:subject/>
  <dc:creator>ylh</dc:creator>
  <cp:keywords>23Y3</cp:keywords>
  <cp:lastModifiedBy>产品营销部</cp:lastModifiedBy>
  <cp:revision>4</cp:revision>
  <cp:lastPrinted>2021-07-21T07:06:00Z</cp:lastPrinted>
  <dcterms:created xsi:type="dcterms:W3CDTF">2023-03-10T05:56:00Z</dcterms:created>
  <dcterms:modified xsi:type="dcterms:W3CDTF">2023-03-13T02:32:00Z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F1F6118076854A19BA3D04EB58E7529E</vt:lpwstr>
  </property>
</Properties>
</file>