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350" w:rsidRDefault="001A4C7B">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B75239">
        <w:rPr>
          <w:rFonts w:eastAsia="黑体"/>
          <w:bCs/>
          <w:sz w:val="36"/>
          <w:szCs w:val="36"/>
        </w:rPr>
        <w:t>90</w:t>
      </w:r>
      <w:r>
        <w:rPr>
          <w:rFonts w:eastAsia="黑体" w:hint="eastAsia"/>
          <w:bCs/>
          <w:sz w:val="36"/>
          <w:szCs w:val="36"/>
        </w:rPr>
        <w:t>号</w:t>
      </w:r>
    </w:p>
    <w:p w:rsidR="00516350" w:rsidRDefault="001A4C7B">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516350">
        <w:trPr>
          <w:trHeight w:val="6140"/>
          <w:jc w:val="center"/>
        </w:trPr>
        <w:tc>
          <w:tcPr>
            <w:tcW w:w="8569" w:type="dxa"/>
            <w:tcBorders>
              <w:top w:val="single" w:sz="4" w:space="0" w:color="auto"/>
              <w:left w:val="single" w:sz="4" w:space="0" w:color="auto"/>
              <w:right w:val="single" w:sz="4" w:space="0" w:color="auto"/>
            </w:tcBorders>
            <w:vAlign w:val="center"/>
          </w:tcPr>
          <w:p w:rsidR="00516350" w:rsidRDefault="001A4C7B">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516350" w:rsidRDefault="001A4C7B">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516350" w:rsidRDefault="001A4C7B">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516350" w:rsidRDefault="001A4C7B">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516350" w:rsidRDefault="001A4C7B">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516350">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B75239" w:rsidRPr="00B75239">
              <w:rPr>
                <w:rFonts w:ascii="仿宋" w:eastAsia="仿宋" w:hAnsi="仿宋" w:hint="eastAsia"/>
                <w:b/>
                <w:bCs/>
                <w:szCs w:val="21"/>
              </w:rPr>
              <w:t>90号</w:t>
            </w:r>
          </w:p>
          <w:p w:rsidR="00516350" w:rsidRDefault="001A4C7B" w:rsidP="00B75239">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简称：“华夏理财固收债权封闭式</w:t>
            </w:r>
            <w:r w:rsidR="00B75239" w:rsidRPr="00B75239">
              <w:rPr>
                <w:rFonts w:ascii="仿宋" w:eastAsia="仿宋" w:hAnsi="仿宋" w:hint="eastAsia"/>
                <w:b/>
                <w:bCs/>
                <w:szCs w:val="21"/>
              </w:rPr>
              <w:t>90号</w:t>
            </w:r>
            <w:r w:rsidR="00B75239">
              <w:rPr>
                <w:rFonts w:ascii="仿宋" w:eastAsia="仿宋" w:hAnsi="仿宋"/>
                <w:b/>
                <w:bCs/>
                <w:szCs w:val="21"/>
              </w:rPr>
              <w:t>578</w:t>
            </w:r>
            <w:r>
              <w:rPr>
                <w:rFonts w:ascii="仿宋" w:eastAsia="仿宋" w:hAnsi="仿宋" w:hint="eastAsia"/>
                <w:b/>
                <w:bCs/>
                <w:szCs w:val="21"/>
              </w:rPr>
              <w:t>天”</w:t>
            </w:r>
          </w:p>
        </w:tc>
      </w:tr>
      <w:tr w:rsidR="00516350">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B75239">
            <w:pPr>
              <w:adjustRightInd w:val="0"/>
              <w:snapToGrid w:val="0"/>
              <w:spacing w:line="300" w:lineRule="exact"/>
              <w:jc w:val="center"/>
              <w:rPr>
                <w:rFonts w:ascii="仿宋" w:eastAsia="仿宋" w:hAnsi="仿宋"/>
                <w:bCs/>
                <w:szCs w:val="21"/>
              </w:rPr>
            </w:pPr>
            <w:r w:rsidRPr="00B75239">
              <w:rPr>
                <w:rFonts w:ascii="仿宋" w:eastAsia="仿宋" w:hAnsi="仿宋"/>
                <w:bCs/>
                <w:szCs w:val="21"/>
              </w:rPr>
              <w:t>23121090</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B75239">
            <w:pPr>
              <w:keepNext/>
              <w:adjustRightInd w:val="0"/>
              <w:snapToGrid w:val="0"/>
              <w:spacing w:line="300" w:lineRule="exact"/>
              <w:jc w:val="center"/>
              <w:rPr>
                <w:rFonts w:ascii="仿宋" w:eastAsia="仿宋" w:hAnsi="仿宋"/>
                <w:bCs/>
                <w:szCs w:val="21"/>
              </w:rPr>
            </w:pPr>
            <w:r w:rsidRPr="00B75239">
              <w:rPr>
                <w:rFonts w:ascii="仿宋" w:eastAsia="仿宋" w:hAnsi="仿宋"/>
                <w:bCs/>
                <w:szCs w:val="21"/>
              </w:rPr>
              <w:t>Z7003923000105</w:t>
            </w:r>
          </w:p>
          <w:p w:rsidR="00516350" w:rsidRDefault="001A4C7B">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516350" w:rsidRDefault="001A4C7B">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516350">
        <w:trPr>
          <w:jc w:val="center"/>
        </w:trPr>
        <w:tc>
          <w:tcPr>
            <w:tcW w:w="1730" w:type="dxa"/>
            <w:tcBorders>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B7523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2E1255" w:rsidRPr="002E1255" w:rsidRDefault="001A4C7B" w:rsidP="002E1255">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B75239">
              <w:rPr>
                <w:rFonts w:ascii="仿宋" w:eastAsia="仿宋" w:hAnsi="仿宋" w:cs="Cambria"/>
                <w:bCs/>
                <w:szCs w:val="21"/>
              </w:rPr>
              <w:t>3.9</w:t>
            </w:r>
            <w:r w:rsidR="00B75239">
              <w:rPr>
                <w:rFonts w:ascii="仿宋" w:eastAsia="仿宋" w:hAnsi="仿宋" w:cs="Cambria" w:hint="eastAsia"/>
                <w:bCs/>
                <w:szCs w:val="21"/>
              </w:rPr>
              <w:t>0</w:t>
            </w:r>
            <w:r w:rsidR="00B75239">
              <w:rPr>
                <w:rFonts w:ascii="仿宋" w:eastAsia="仿宋" w:hAnsi="仿宋" w:cs="Cambria"/>
                <w:bCs/>
                <w:szCs w:val="21"/>
              </w:rPr>
              <w:t>%</w:t>
            </w:r>
            <w:r>
              <w:rPr>
                <w:rFonts w:ascii="仿宋" w:eastAsia="仿宋" w:hAnsi="仿宋" w:cs="Cambria" w:hint="eastAsia"/>
                <w:bCs/>
                <w:szCs w:val="21"/>
              </w:rPr>
              <w:t>（年化）。</w:t>
            </w:r>
            <w:r w:rsidR="002E1255" w:rsidRPr="002E1255">
              <w:rPr>
                <w:rFonts w:ascii="仿宋" w:eastAsia="仿宋" w:hAnsi="仿宋" w:cs="Cambria" w:hint="eastAsia"/>
                <w:bCs/>
                <w:szCs w:val="21"/>
              </w:rPr>
              <w:t>以产品投资债券类资产</w:t>
            </w:r>
            <w:proofErr w:type="gramStart"/>
            <w:r w:rsidR="002E1255" w:rsidRPr="002E1255">
              <w:rPr>
                <w:rFonts w:ascii="仿宋" w:eastAsia="仿宋" w:hAnsi="仿宋" w:cs="Cambria" w:hint="eastAsia"/>
                <w:bCs/>
                <w:szCs w:val="21"/>
              </w:rPr>
              <w:t>仓位</w:t>
            </w:r>
            <w:proofErr w:type="gramEnd"/>
            <w:r w:rsidR="002E1255" w:rsidRPr="002E1255">
              <w:rPr>
                <w:rFonts w:ascii="仿宋" w:eastAsia="仿宋" w:hAnsi="仿宋" w:cs="Cambria" w:hint="eastAsia"/>
                <w:bCs/>
                <w:szCs w:val="21"/>
              </w:rPr>
              <w:t>55%-100%，非标债权类资产</w:t>
            </w:r>
            <w:proofErr w:type="gramStart"/>
            <w:r w:rsidR="002E1255" w:rsidRPr="002E1255">
              <w:rPr>
                <w:rFonts w:ascii="仿宋" w:eastAsia="仿宋" w:hAnsi="仿宋" w:cs="Cambria" w:hint="eastAsia"/>
                <w:bCs/>
                <w:szCs w:val="21"/>
              </w:rPr>
              <w:t>仓位</w:t>
            </w:r>
            <w:proofErr w:type="gramEnd"/>
            <w:r w:rsidR="002E1255" w:rsidRPr="002E1255">
              <w:rPr>
                <w:rFonts w:ascii="仿宋" w:eastAsia="仿宋" w:hAnsi="仿宋" w:cs="Cambria" w:hint="eastAsia"/>
                <w:bCs/>
                <w:szCs w:val="21"/>
              </w:rPr>
              <w:t>0-45%，组合杠杆率100%-120%为例，参考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516350" w:rsidRDefault="002E1255">
            <w:pPr>
              <w:adjustRightInd w:val="0"/>
              <w:snapToGrid w:val="0"/>
              <w:spacing w:line="240" w:lineRule="atLeast"/>
              <w:ind w:firstLineChars="200" w:firstLine="420"/>
              <w:rPr>
                <w:rFonts w:ascii="仿宋" w:eastAsia="仿宋" w:hAnsi="仿宋" w:cs="Cambria"/>
                <w:bCs/>
                <w:szCs w:val="21"/>
              </w:rPr>
            </w:pPr>
            <w:r w:rsidRPr="002E1255">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516350" w:rsidRDefault="001A4C7B">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516350" w:rsidRDefault="001A4C7B">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516350" w:rsidRDefault="001A4C7B">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bookmarkStart w:id="2" w:name="OLE_LINK3" w:colFirst="1" w:colLast="1"/>
            <w:bookmarkStart w:id="3" w:name="OLE_LINK2" w:colFirst="1" w:colLast="1"/>
            <w:bookmarkStart w:id="4" w:name="_Hlk290294163"/>
            <w:r>
              <w:rPr>
                <w:rFonts w:ascii="仿宋" w:eastAsia="仿宋" w:hAnsi="仿宋" w:hint="eastAsia"/>
                <w:bCs/>
                <w:szCs w:val="21"/>
              </w:rPr>
              <w:t>募集期</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B7523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2023年3月2</w:t>
            </w:r>
            <w:r>
              <w:rPr>
                <w:rFonts w:ascii="仿宋" w:eastAsia="仿宋" w:hAnsi="仿宋"/>
                <w:bCs/>
                <w:szCs w:val="21"/>
              </w:rPr>
              <w:t>0</w:t>
            </w:r>
            <w:r>
              <w:rPr>
                <w:rFonts w:ascii="仿宋" w:eastAsia="仿宋" w:hAnsi="仿宋" w:hint="eastAsia"/>
                <w:bCs/>
                <w:szCs w:val="21"/>
              </w:rPr>
              <w:t>日</w:t>
            </w:r>
            <w:r w:rsidR="001A4C7B">
              <w:rPr>
                <w:rFonts w:ascii="仿宋" w:eastAsia="仿宋" w:hAnsi="仿宋"/>
                <w:bCs/>
                <w:szCs w:val="21"/>
              </w:rPr>
              <w:t>－</w:t>
            </w:r>
            <w:r>
              <w:rPr>
                <w:rFonts w:ascii="仿宋" w:eastAsia="仿宋" w:hAnsi="仿宋" w:hint="eastAsia"/>
                <w:bCs/>
                <w:szCs w:val="21"/>
              </w:rPr>
              <w:t>2023年3月2</w:t>
            </w:r>
            <w:r>
              <w:rPr>
                <w:rFonts w:ascii="仿宋" w:eastAsia="仿宋" w:hAnsi="仿宋"/>
                <w:bCs/>
                <w:szCs w:val="21"/>
              </w:rPr>
              <w:t>3</w:t>
            </w:r>
            <w:r>
              <w:rPr>
                <w:rFonts w:ascii="仿宋" w:eastAsia="仿宋" w:hAnsi="仿宋" w:hint="eastAsia"/>
                <w:bCs/>
                <w:szCs w:val="21"/>
              </w:rPr>
              <w:t>日</w:t>
            </w:r>
            <w:r w:rsidR="001A4C7B">
              <w:rPr>
                <w:rFonts w:ascii="仿宋" w:eastAsia="仿宋" w:hAnsi="仿宋"/>
                <w:bCs/>
                <w:szCs w:val="21"/>
              </w:rPr>
              <w:t>（含）</w:t>
            </w:r>
            <w:r w:rsidR="001A4C7B">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1A4C7B">
              <w:rPr>
                <w:rFonts w:ascii="仿宋" w:eastAsia="仿宋" w:hAnsi="仿宋"/>
                <w:bCs/>
                <w:szCs w:val="21"/>
              </w:rPr>
              <w:t>）</w:t>
            </w:r>
          </w:p>
        </w:tc>
      </w:tr>
      <w:bookmarkEnd w:id="2"/>
      <w:bookmarkEnd w:id="3"/>
      <w:bookmarkEnd w:id="4"/>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B7523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2023年3月2</w:t>
            </w:r>
            <w:r>
              <w:rPr>
                <w:rFonts w:ascii="仿宋" w:eastAsia="仿宋" w:hAnsi="仿宋"/>
                <w:bCs/>
                <w:szCs w:val="21"/>
              </w:rPr>
              <w:t>4</w:t>
            </w:r>
            <w:r>
              <w:rPr>
                <w:rFonts w:ascii="仿宋" w:eastAsia="仿宋" w:hAnsi="仿宋" w:hint="eastAsia"/>
                <w:bCs/>
                <w:szCs w:val="21"/>
              </w:rPr>
              <w:t>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B75239">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578</w:t>
            </w:r>
            <w:r w:rsidR="001A4C7B">
              <w:rPr>
                <w:rFonts w:ascii="仿宋" w:eastAsia="仿宋" w:hAnsi="仿宋" w:hint="eastAsia"/>
                <w:bCs/>
                <w:szCs w:val="21"/>
              </w:rPr>
              <w:t>天</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B75239" w:rsidP="00B7523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202</w:t>
            </w:r>
            <w:r>
              <w:rPr>
                <w:rFonts w:ascii="仿宋" w:eastAsia="仿宋" w:hAnsi="仿宋"/>
                <w:bCs/>
                <w:szCs w:val="21"/>
              </w:rPr>
              <w:t>4</w:t>
            </w:r>
            <w:r>
              <w:rPr>
                <w:rFonts w:ascii="仿宋" w:eastAsia="仿宋" w:hAnsi="仿宋" w:hint="eastAsia"/>
                <w:bCs/>
                <w:szCs w:val="21"/>
              </w:rPr>
              <w:t>年</w:t>
            </w:r>
            <w:r>
              <w:rPr>
                <w:rFonts w:ascii="仿宋" w:eastAsia="仿宋" w:hAnsi="仿宋"/>
                <w:bCs/>
                <w:szCs w:val="21"/>
              </w:rPr>
              <w:t>10</w:t>
            </w:r>
            <w:r>
              <w:rPr>
                <w:rFonts w:ascii="仿宋" w:eastAsia="仿宋" w:hAnsi="仿宋" w:hint="eastAsia"/>
                <w:bCs/>
                <w:szCs w:val="21"/>
              </w:rPr>
              <w:t>月2</w:t>
            </w:r>
            <w:r>
              <w:rPr>
                <w:rFonts w:ascii="仿宋" w:eastAsia="仿宋" w:hAnsi="仿宋"/>
                <w:bCs/>
                <w:szCs w:val="21"/>
              </w:rPr>
              <w:t>2</w:t>
            </w:r>
            <w:r>
              <w:rPr>
                <w:rFonts w:ascii="仿宋" w:eastAsia="仿宋" w:hAnsi="仿宋" w:hint="eastAsia"/>
                <w:bCs/>
                <w:szCs w:val="21"/>
              </w:rPr>
              <w:t>日</w:t>
            </w:r>
            <w:r w:rsidR="001A4C7B">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516350" w:rsidRDefault="001A4C7B">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w:t>
            </w:r>
            <w:r>
              <w:rPr>
                <w:rFonts w:ascii="仿宋" w:eastAsia="仿宋" w:hAnsi="仿宋" w:hint="eastAsia"/>
                <w:b/>
                <w:bCs/>
                <w:color w:val="000000"/>
                <w:szCs w:val="21"/>
              </w:rPr>
              <w:lastRenderedPageBreak/>
              <w:t>者任何形式的提前赎回申请。因投资者资金安排不合理，导致其购买与自身流动性需求不匹配的理财产品的责任和风险由投资者承担。</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计划发行规模上限为5</w:t>
            </w:r>
            <w:r>
              <w:rPr>
                <w:rFonts w:ascii="仿宋" w:eastAsia="仿宋" w:hAnsi="仿宋" w:hint="eastAsia"/>
                <w:bCs/>
                <w:szCs w:val="21"/>
              </w:rPr>
              <w:t>0亿元，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516350">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516350" w:rsidTr="00B75239">
        <w:trPr>
          <w:trHeight w:val="1251"/>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B75239">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516350" w:rsidRDefault="001A4C7B">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516350" w:rsidRDefault="001A4C7B">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516350" w:rsidRDefault="001A4C7B">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516350">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516350" w:rsidRDefault="001A4C7B">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516350" w:rsidRDefault="001A4C7B">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51635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516350">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uto"/>
              <w:jc w:val="center"/>
              <w:rPr>
                <w:rFonts w:ascii="仿宋" w:eastAsia="仿宋" w:hAnsi="仿宋"/>
                <w:bCs/>
                <w:szCs w:val="21"/>
              </w:rP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B75239"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16350" w:rsidRDefault="001A4C7B">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rsidP="00B75239">
            <w:pPr>
              <w:adjustRightInd w:val="0"/>
              <w:snapToGrid w:val="0"/>
              <w:spacing w:line="300" w:lineRule="exact"/>
              <w:ind w:firstLineChars="200" w:firstLine="422"/>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B75239">
              <w:rPr>
                <w:rFonts w:ascii="仿宋" w:eastAsia="仿宋" w:hAnsi="仿宋"/>
                <w:b/>
                <w:szCs w:val="21"/>
              </w:rPr>
              <w:t>0.</w:t>
            </w:r>
            <w:r w:rsidR="00B75239">
              <w:rPr>
                <w:rFonts w:ascii="仿宋" w:eastAsia="仿宋" w:hAnsi="仿宋" w:hint="eastAsia"/>
                <w:b/>
                <w:szCs w:val="21"/>
              </w:rPr>
              <w:t>2</w:t>
            </w:r>
            <w:r w:rsidR="00B75239">
              <w:rPr>
                <w:rFonts w:ascii="仿宋" w:eastAsia="仿宋" w:hAnsi="仿宋"/>
                <w:b/>
                <w:szCs w:val="21"/>
              </w:rPr>
              <w:t>5</w:t>
            </w:r>
            <w:r w:rsidR="00B75239">
              <w:rPr>
                <w:rFonts w:ascii="仿宋" w:eastAsia="仿宋" w:hAnsi="仿宋" w:hint="eastAsia"/>
                <w:b/>
                <w:szCs w:val="21"/>
              </w:rPr>
              <w:t>%</w:t>
            </w:r>
            <w:r>
              <w:rPr>
                <w:rFonts w:ascii="仿宋" w:eastAsia="仿宋" w:hAnsi="仿宋" w:hint="eastAsia"/>
                <w:b/>
                <w:szCs w:val="21"/>
              </w:rPr>
              <w:t>/年，以前一日资产净值为基数，每日计提。</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B75239">
              <w:rPr>
                <w:rFonts w:ascii="仿宋" w:eastAsia="仿宋" w:hAnsi="仿宋"/>
                <w:b/>
                <w:szCs w:val="21"/>
              </w:rPr>
              <w:t>0.</w:t>
            </w:r>
            <w:r w:rsidR="00B75239">
              <w:rPr>
                <w:rFonts w:ascii="仿宋" w:eastAsia="仿宋" w:hAnsi="仿宋" w:hint="eastAsia"/>
                <w:b/>
                <w:szCs w:val="21"/>
              </w:rPr>
              <w:t>2</w:t>
            </w:r>
            <w:r w:rsidR="00B75239">
              <w:rPr>
                <w:rFonts w:ascii="仿宋" w:eastAsia="仿宋" w:hAnsi="仿宋"/>
                <w:b/>
                <w:szCs w:val="21"/>
              </w:rPr>
              <w:t>5</w:t>
            </w:r>
            <w:r w:rsidR="00B75239">
              <w:rPr>
                <w:rFonts w:ascii="仿宋" w:eastAsia="仿宋" w:hAnsi="仿宋" w:hint="eastAsia"/>
                <w:b/>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w:t>
            </w:r>
          </w:p>
          <w:p w:rsidR="00516350" w:rsidRDefault="001A4C7B">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（销售手续费由销售服务机构收取。）</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1A4C7B" w:rsidRDefault="00B75239">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2</w:t>
            </w:r>
            <w:r>
              <w:rPr>
                <w:rFonts w:ascii="仿宋" w:eastAsia="仿宋" w:hAnsi="仿宋"/>
                <w:b/>
                <w:szCs w:val="21"/>
              </w:rPr>
              <w:t>5</w:t>
            </w:r>
            <w:r>
              <w:rPr>
                <w:rFonts w:ascii="仿宋" w:eastAsia="仿宋" w:hAnsi="仿宋" w:hint="eastAsia"/>
                <w:b/>
                <w:szCs w:val="21"/>
              </w:rPr>
              <w:t>%</w:t>
            </w:r>
            <w:r w:rsidR="001A4C7B">
              <w:rPr>
                <w:rFonts w:ascii="仿宋" w:eastAsia="仿宋" w:hAnsi="仿宋" w:hint="eastAsia"/>
                <w:b/>
                <w:szCs w:val="21"/>
              </w:rPr>
              <w:t>/年，以前一日资产净值为基数，每日计提。</w:t>
            </w:r>
          </w:p>
          <w:p w:rsidR="00516350" w:rsidRDefault="001A4C7B">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516350" w:rsidRDefault="001A4C7B">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B75239">
              <w:rPr>
                <w:rFonts w:ascii="仿宋" w:eastAsia="仿宋" w:hAnsi="仿宋"/>
                <w:b/>
                <w:szCs w:val="21"/>
              </w:rPr>
              <w:t>0.</w:t>
            </w:r>
            <w:r w:rsidR="00B75239">
              <w:rPr>
                <w:rFonts w:ascii="仿宋" w:eastAsia="仿宋" w:hAnsi="仿宋" w:hint="eastAsia"/>
                <w:b/>
                <w:szCs w:val="21"/>
              </w:rPr>
              <w:t>2</w:t>
            </w:r>
            <w:r w:rsidR="00B75239">
              <w:rPr>
                <w:rFonts w:ascii="仿宋" w:eastAsia="仿宋" w:hAnsi="仿宋"/>
                <w:b/>
                <w:szCs w:val="21"/>
              </w:rPr>
              <w:t>5</w:t>
            </w:r>
            <w:r w:rsidR="00B75239">
              <w:rPr>
                <w:rFonts w:ascii="仿宋" w:eastAsia="仿宋" w:hAnsi="仿宋" w:hint="eastAsia"/>
                <w:b/>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超额管理费计提基准为</w:t>
            </w:r>
            <w:r w:rsidR="00B75239">
              <w:rPr>
                <w:rFonts w:ascii="仿宋" w:eastAsia="仿宋" w:hAnsi="仿宋" w:cs="Cambria"/>
                <w:b/>
                <w:szCs w:val="21"/>
              </w:rPr>
              <w:t>3.90%</w:t>
            </w:r>
            <w:r>
              <w:rPr>
                <w:rFonts w:ascii="仿宋" w:eastAsia="仿宋" w:hAnsi="仿宋" w:cs="Cambria" w:hint="eastAsia"/>
                <w:b/>
                <w:szCs w:val="21"/>
              </w:rPr>
              <w:t>（年化）。</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516350" w:rsidRDefault="001A4C7B">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516350" w:rsidRDefault="001A4C7B">
            <w:pPr>
              <w:adjustRightInd w:val="0"/>
              <w:snapToGrid w:val="0"/>
              <w:spacing w:line="300" w:lineRule="exact"/>
              <w:ind w:firstLineChars="200" w:firstLine="422"/>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516350" w:rsidRDefault="001A4C7B">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420"/>
              <w:jc w:val="left"/>
              <w:rPr>
                <w:rFonts w:ascii="仿宋" w:eastAsia="仿宋" w:hAnsi="仿宋"/>
                <w:bCs/>
                <w:szCs w:val="21"/>
              </w:rPr>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516350" w:rsidRDefault="001A4C7B">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516350">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516350" w:rsidRDefault="001A4C7B">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516350">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516350" w:rsidRDefault="001A4C7B">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lastRenderedPageBreak/>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516350" w:rsidRDefault="001A4C7B">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516350" w:rsidRDefault="001A4C7B">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516350" w:rsidRDefault="001A4C7B">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516350" w:rsidRDefault="001A4C7B">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516350" w:rsidRDefault="001A4C7B">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516350" w:rsidRDefault="001A4C7B">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516350" w:rsidRDefault="001A4C7B">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51635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税款</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516350" w:rsidRDefault="001A4C7B">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516350">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516350" w:rsidRDefault="001A4C7B">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516350" w:rsidRDefault="001A4C7B">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516350" w:rsidRDefault="001A4C7B">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516350" w:rsidRDefault="001A4C7B">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516350" w:rsidRDefault="00516350">
      <w:pPr>
        <w:pStyle w:val="Default"/>
        <w:snapToGrid w:val="0"/>
        <w:spacing w:afterLines="50" w:after="156" w:line="400" w:lineRule="exact"/>
        <w:ind w:firstLineChars="200" w:firstLine="482"/>
        <w:jc w:val="both"/>
        <w:rPr>
          <w:rFonts w:ascii="Times New Roman" w:eastAsia="黑体" w:cs="Times New Roman"/>
          <w:b/>
          <w:color w:val="auto"/>
        </w:rPr>
      </w:pP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投资对象</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w:t>
      </w:r>
      <w:r>
        <w:rPr>
          <w:rFonts w:ascii="仿宋" w:eastAsia="仿宋" w:hAnsi="仿宋" w:cs="宋体" w:hint="eastAsia"/>
          <w:color w:val="000000"/>
          <w:kern w:val="0"/>
          <w:sz w:val="24"/>
        </w:rPr>
        <w:lastRenderedPageBreak/>
        <w:t>际机构债券、同业存单、信贷资产支持证券、资产支持票据、证券交易所挂牌交易的资产支持证券、货币市场基金、债券型公募证券投资基金，以及《标准化债权类资产认定规则》认定的标准化债权类资产等。</w:t>
      </w:r>
    </w:p>
    <w:p w:rsidR="00516350" w:rsidRDefault="001A4C7B">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6"/>
        <w:gridCol w:w="2894"/>
      </w:tblGrid>
      <w:tr w:rsidR="00516350">
        <w:trPr>
          <w:trHeight w:val="447"/>
          <w:tblCellSpacing w:w="0" w:type="dxa"/>
        </w:trPr>
        <w:tc>
          <w:tcPr>
            <w:tcW w:w="5006" w:type="dxa"/>
            <w:vAlign w:val="center"/>
          </w:tcPr>
          <w:p w:rsidR="00516350" w:rsidRDefault="001A4C7B">
            <w:pPr>
              <w:adjustRightInd w:val="0"/>
              <w:snapToGrid w:val="0"/>
              <w:spacing w:line="48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2894" w:type="dxa"/>
            <w:vAlign w:val="center"/>
          </w:tcPr>
          <w:p w:rsidR="00516350" w:rsidRDefault="001A4C7B">
            <w:pPr>
              <w:adjustRightInd w:val="0"/>
              <w:snapToGrid w:val="0"/>
              <w:spacing w:line="480" w:lineRule="atLeast"/>
              <w:jc w:val="center"/>
              <w:rPr>
                <w:rFonts w:eastAsia="仿宋"/>
                <w:color w:val="000000"/>
                <w:kern w:val="0"/>
                <w:sz w:val="24"/>
              </w:rPr>
            </w:pPr>
            <w:r>
              <w:rPr>
                <w:rFonts w:eastAsia="仿宋"/>
                <w:color w:val="000000"/>
                <w:kern w:val="0"/>
                <w:sz w:val="24"/>
              </w:rPr>
              <w:t>投资比例</w:t>
            </w:r>
          </w:p>
        </w:tc>
      </w:tr>
      <w:tr w:rsidR="00516350">
        <w:trPr>
          <w:trHeight w:val="447"/>
          <w:tblCellSpacing w:w="0" w:type="dxa"/>
        </w:trPr>
        <w:tc>
          <w:tcPr>
            <w:tcW w:w="5006" w:type="dxa"/>
            <w:vAlign w:val="center"/>
          </w:tcPr>
          <w:p w:rsidR="00516350" w:rsidRDefault="001A4C7B">
            <w:pPr>
              <w:adjustRightInd w:val="0"/>
              <w:snapToGrid w:val="0"/>
              <w:spacing w:line="480" w:lineRule="atLeast"/>
              <w:jc w:val="center"/>
              <w:rPr>
                <w:rFonts w:eastAsia="仿宋"/>
                <w:color w:val="000000"/>
                <w:kern w:val="0"/>
                <w:sz w:val="24"/>
              </w:rPr>
            </w:pPr>
            <w:r>
              <w:rPr>
                <w:rFonts w:ascii="仿宋" w:eastAsia="仿宋" w:hAnsi="仿宋" w:cs="宋体" w:hint="eastAsia"/>
                <w:color w:val="000000"/>
                <w:kern w:val="0"/>
                <w:sz w:val="24"/>
              </w:rPr>
              <w:t>固定收益类</w:t>
            </w:r>
          </w:p>
        </w:tc>
        <w:tc>
          <w:tcPr>
            <w:tcW w:w="2894" w:type="dxa"/>
            <w:vAlign w:val="center"/>
          </w:tcPr>
          <w:p w:rsidR="00516350" w:rsidRDefault="001A4C7B">
            <w:pPr>
              <w:adjustRightInd w:val="0"/>
              <w:snapToGrid w:val="0"/>
              <w:spacing w:line="48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516350" w:rsidRDefault="001A4C7B">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516350" w:rsidRDefault="001A4C7B">
      <w:pPr>
        <w:widowControl/>
        <w:adjustRightInd w:val="0"/>
        <w:snapToGrid w:val="0"/>
        <w:spacing w:line="276" w:lineRule="auto"/>
        <w:ind w:firstLine="420"/>
        <w:contextualSpacing/>
        <w:rPr>
          <w:rFonts w:ascii="仿宋" w:eastAsia="仿宋" w:hAnsi="仿宋" w:cs="宋体"/>
          <w:b/>
          <w:bCs/>
          <w:color w:val="000000"/>
          <w:kern w:val="0"/>
          <w:sz w:val="24"/>
        </w:rPr>
      </w:pPr>
      <w:r>
        <w:rPr>
          <w:rFonts w:ascii="仿宋" w:eastAsia="仿宋" w:hAnsi="仿宋" w:cs="宋体" w:hint="eastAsia"/>
          <w:color w:val="000000"/>
          <w:kern w:val="0"/>
          <w:sz w:val="24"/>
        </w:rPr>
        <w:t>本理财产品投资</w:t>
      </w:r>
      <w:r>
        <w:rPr>
          <w:rFonts w:ascii="仿宋" w:eastAsia="仿宋" w:hAnsi="仿宋" w:cs="宋体"/>
          <w:color w:val="000000"/>
          <w:kern w:val="0"/>
          <w:sz w:val="24"/>
        </w:rPr>
        <w:t>债券类资产时，</w:t>
      </w:r>
      <w:r>
        <w:rPr>
          <w:rFonts w:ascii="仿宋" w:eastAsia="仿宋" w:hAnsi="仿宋" w:cs="宋体" w:hint="eastAsia"/>
          <w:color w:val="000000"/>
          <w:kern w:val="0"/>
          <w:sz w:val="24"/>
        </w:rPr>
        <w:t>采用买入并持有到期的</w:t>
      </w:r>
      <w:r>
        <w:rPr>
          <w:rFonts w:ascii="仿宋" w:eastAsia="仿宋" w:hAnsi="仿宋" w:cs="宋体"/>
          <w:color w:val="000000"/>
          <w:kern w:val="0"/>
          <w:sz w:val="24"/>
        </w:rPr>
        <w:t>投资</w:t>
      </w:r>
      <w:r>
        <w:rPr>
          <w:rFonts w:ascii="仿宋" w:eastAsia="仿宋" w:hAnsi="仿宋" w:cs="宋体" w:hint="eastAsia"/>
          <w:color w:val="000000"/>
          <w:kern w:val="0"/>
          <w:sz w:val="24"/>
        </w:rPr>
        <w:t>策略，所投的债券</w:t>
      </w:r>
      <w:r>
        <w:rPr>
          <w:rFonts w:ascii="仿宋" w:eastAsia="仿宋" w:hAnsi="仿宋" w:cs="宋体"/>
          <w:color w:val="000000"/>
          <w:kern w:val="0"/>
          <w:sz w:val="24"/>
        </w:rPr>
        <w:t>类</w:t>
      </w:r>
      <w:r>
        <w:rPr>
          <w:rFonts w:ascii="仿宋" w:eastAsia="仿宋" w:hAnsi="仿宋" w:cs="宋体" w:hint="eastAsia"/>
          <w:color w:val="000000"/>
          <w:kern w:val="0"/>
          <w:sz w:val="24"/>
        </w:rPr>
        <w:t>资产的到期日（或回售日）不晚于理财</w:t>
      </w:r>
      <w:r>
        <w:rPr>
          <w:rFonts w:ascii="仿宋" w:eastAsia="仿宋" w:hAnsi="仿宋" w:cs="宋体"/>
          <w:color w:val="000000"/>
          <w:kern w:val="0"/>
          <w:sz w:val="24"/>
        </w:rPr>
        <w:t>产品</w:t>
      </w:r>
      <w:r>
        <w:rPr>
          <w:rFonts w:ascii="仿宋" w:eastAsia="仿宋" w:hAnsi="仿宋" w:cs="宋体" w:hint="eastAsia"/>
          <w:color w:val="000000"/>
          <w:kern w:val="0"/>
          <w:sz w:val="24"/>
        </w:rPr>
        <w:t>到期日。投资含回售权的债券时，将在投资该债券前，确定行使回售权或持有至到期的时间；债券到期日晚于理财</w:t>
      </w:r>
      <w:r>
        <w:rPr>
          <w:rFonts w:ascii="仿宋" w:eastAsia="仿宋" w:hAnsi="仿宋" w:cs="宋体"/>
          <w:color w:val="000000"/>
          <w:kern w:val="0"/>
          <w:sz w:val="24"/>
        </w:rPr>
        <w:t>产品</w:t>
      </w:r>
      <w:r>
        <w:rPr>
          <w:rFonts w:ascii="仿宋" w:eastAsia="仿宋" w:hAnsi="仿宋" w:cs="宋体" w:hint="eastAsia"/>
          <w:color w:val="000000"/>
          <w:kern w:val="0"/>
          <w:sz w:val="24"/>
        </w:rPr>
        <w:t>到期日的，将在</w:t>
      </w:r>
      <w:r>
        <w:rPr>
          <w:rFonts w:ascii="仿宋" w:eastAsia="仿宋" w:hAnsi="仿宋" w:cs="宋体"/>
          <w:color w:val="000000"/>
          <w:kern w:val="0"/>
          <w:sz w:val="24"/>
        </w:rPr>
        <w:t>理财产品到期日前</w:t>
      </w:r>
      <w:r>
        <w:rPr>
          <w:rFonts w:ascii="仿宋" w:eastAsia="仿宋" w:hAnsi="仿宋" w:cs="宋体" w:hint="eastAsia"/>
          <w:color w:val="000000"/>
          <w:kern w:val="0"/>
          <w:sz w:val="24"/>
        </w:rPr>
        <w:t>行使回售权。极端情况下，如遇到债券违约、信用评级下降等信用事件，本理财</w:t>
      </w:r>
      <w:r>
        <w:rPr>
          <w:rFonts w:ascii="仿宋" w:eastAsia="仿宋" w:hAnsi="仿宋" w:cs="宋体"/>
          <w:color w:val="000000"/>
          <w:kern w:val="0"/>
          <w:sz w:val="24"/>
        </w:rPr>
        <w:t>产品</w:t>
      </w:r>
      <w:r>
        <w:rPr>
          <w:rFonts w:ascii="仿宋" w:eastAsia="仿宋" w:hAnsi="仿宋" w:cs="宋体" w:hint="eastAsia"/>
          <w:color w:val="000000"/>
          <w:kern w:val="0"/>
          <w:sz w:val="24"/>
        </w:rPr>
        <w:t>可以提前卖出相应的债券类资产。</w:t>
      </w:r>
    </w:p>
    <w:p w:rsidR="00516350" w:rsidRDefault="001A4C7B">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516350" w:rsidRDefault="001A4C7B">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516350" w:rsidRDefault="001A4C7B">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516350" w:rsidRDefault="001A4C7B">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w:t>
      </w:r>
      <w:r>
        <w:rPr>
          <w:rFonts w:ascii="仿宋" w:eastAsia="仿宋" w:hAnsi="仿宋" w:cs="宋体" w:hint="eastAsia"/>
          <w:color w:val="000000"/>
          <w:kern w:val="0"/>
          <w:sz w:val="24"/>
        </w:rPr>
        <w:lastRenderedPageBreak/>
        <w:t>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516350" w:rsidRDefault="001A4C7B">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516350" w:rsidRDefault="001A4C7B">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w:t>
      </w:r>
      <w:r>
        <w:rPr>
          <w:rFonts w:ascii="仿宋" w:eastAsia="仿宋" w:hAnsi="仿宋" w:cs="宋体" w:hint="eastAsia"/>
          <w:kern w:val="0"/>
          <w:sz w:val="24"/>
        </w:rPr>
        <w:lastRenderedPageBreak/>
        <w:t>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bookmarkStart w:id="5" w:name="_GoBack"/>
      <w:bookmarkEnd w:id="5"/>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516350" w:rsidRDefault="001A4C7B">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516350" w:rsidRDefault="001A4C7B">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516350" w:rsidRDefault="001A4C7B">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516350" w:rsidRDefault="001A4C7B">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516350" w:rsidRDefault="001A4C7B">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516350" w:rsidRDefault="001A4C7B">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516350" w:rsidRDefault="001A4C7B">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516350" w:rsidRDefault="001A4C7B">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516350" w:rsidRDefault="001A4C7B">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516350" w:rsidRDefault="001A4C7B">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516350" w:rsidRDefault="001A4C7B">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516350" w:rsidRDefault="001A4C7B">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516350" w:rsidRDefault="001A4C7B">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w:t>
      </w:r>
      <w:r>
        <w:rPr>
          <w:rFonts w:eastAsia="黑体" w:hint="eastAsia"/>
          <w:b/>
          <w:sz w:val="24"/>
        </w:rPr>
        <w:lastRenderedPageBreak/>
        <w:t>理财产品的任何收益承诺。</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516350" w:rsidRDefault="001A4C7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516350" w:rsidRDefault="001A4C7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516350" w:rsidRDefault="001A4C7B">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r>
        <w:rPr>
          <w:rFonts w:ascii="仿宋" w:eastAsia="仿宋" w:hAnsi="仿宋"/>
          <w:color w:val="auto"/>
        </w:rPr>
        <w:t xml:space="preserve"> </w:t>
      </w:r>
      <w:r>
        <w:rPr>
          <w:rFonts w:ascii="仿宋" w:eastAsia="仿宋" w:hAnsi="仿宋" w:hint="eastAsia"/>
          <w:color w:val="auto"/>
        </w:rPr>
        <w:t>债券</w:t>
      </w:r>
      <w:r>
        <w:rPr>
          <w:rFonts w:ascii="仿宋" w:eastAsia="仿宋" w:hAnsi="仿宋"/>
          <w:color w:val="auto"/>
        </w:rPr>
        <w:t>类资产</w:t>
      </w:r>
      <w:r>
        <w:rPr>
          <w:rFonts w:ascii="仿宋" w:eastAsia="仿宋" w:hAnsi="仿宋" w:hint="eastAsia"/>
          <w:color w:val="auto"/>
        </w:rPr>
        <w:t>估值采用摊</w:t>
      </w:r>
      <w:proofErr w:type="gramStart"/>
      <w:r>
        <w:rPr>
          <w:rFonts w:ascii="仿宋" w:eastAsia="仿宋" w:hAnsi="仿宋" w:hint="eastAsia"/>
          <w:color w:val="auto"/>
        </w:rPr>
        <w:t>余成本</w:t>
      </w:r>
      <w:proofErr w:type="gramEnd"/>
      <w:r>
        <w:rPr>
          <w:rFonts w:ascii="仿宋" w:eastAsia="仿宋" w:hAnsi="仿宋" w:hint="eastAsia"/>
          <w:color w:val="auto"/>
        </w:rPr>
        <w:t>法，即估值对象以买入成本列示，按票面利率或协议利率并考虑其买入时的溢价与折价，在其剩余存续期内按照实际利率法进行摊销，确认利息收入并计提减值准备。</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2</w:t>
      </w:r>
      <w:r>
        <w:rPr>
          <w:rFonts w:ascii="仿宋" w:eastAsia="仿宋" w:hAnsi="仿宋" w:hint="eastAsia"/>
          <w:color w:val="auto"/>
        </w:rPr>
        <w:t>. 证券投资基金的估值</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3</w:t>
      </w:r>
      <w:r>
        <w:rPr>
          <w:rFonts w:ascii="仿宋" w:eastAsia="仿宋" w:hAnsi="仿宋" w:hint="eastAsia"/>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4</w:t>
      </w:r>
      <w:r>
        <w:rPr>
          <w:rFonts w:ascii="仿宋" w:eastAsia="仿宋" w:hAnsi="仿宋" w:hint="eastAsia"/>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5</w:t>
      </w:r>
      <w:r>
        <w:rPr>
          <w:rFonts w:ascii="仿宋" w:eastAsia="仿宋" w:hAnsi="仿宋" w:hint="eastAsia"/>
          <w:color w:val="auto"/>
        </w:rPr>
        <w:t>. 期货以估值日期货交易所的当日结算价估值，估值当日无结算价的，且最近交易日后经济环境未发生重大变化的，采用最近交易日结算价估值。</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6</w:t>
      </w:r>
      <w:r>
        <w:rPr>
          <w:rFonts w:ascii="仿宋" w:eastAsia="仿宋" w:hAnsi="仿宋" w:hint="eastAsia"/>
          <w:color w:val="auto"/>
        </w:rPr>
        <w:t>. 汇率估值方法</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7</w:t>
      </w:r>
      <w:r>
        <w:rPr>
          <w:rFonts w:ascii="仿宋" w:eastAsia="仿宋" w:hAnsi="仿宋" w:hint="eastAsia"/>
          <w:color w:val="auto"/>
        </w:rPr>
        <w:t>. 场内期权以估值日交易所的结算价估值，该日无交易的，以最近一日的结算价为准。</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8</w:t>
      </w:r>
      <w:r>
        <w:rPr>
          <w:rFonts w:ascii="仿宋" w:eastAsia="仿宋" w:hAnsi="仿宋" w:hint="eastAsia"/>
          <w:color w:val="auto"/>
        </w:rPr>
        <w:t>. 非标准化债权类资产采用估值技术确认公允价值或在相关法律法规以及</w:t>
      </w:r>
      <w:r>
        <w:rPr>
          <w:rFonts w:ascii="仿宋" w:eastAsia="仿宋" w:hAnsi="仿宋" w:hint="eastAsia"/>
          <w:color w:val="auto"/>
        </w:rPr>
        <w:lastRenderedPageBreak/>
        <w:t>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color w:val="auto"/>
        </w:rPr>
        <w:t>9</w:t>
      </w:r>
      <w:r>
        <w:rPr>
          <w:rFonts w:ascii="仿宋" w:eastAsia="仿宋" w:hAnsi="仿宋" w:hint="eastAsia"/>
          <w:color w:val="auto"/>
        </w:rPr>
        <w:t>.</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r>
        <w:rPr>
          <w:rFonts w:ascii="仿宋" w:eastAsia="仿宋" w:hAnsi="仿宋"/>
          <w:color w:val="auto"/>
        </w:rPr>
        <w:t>0</w:t>
      </w:r>
      <w:r>
        <w:rPr>
          <w:rFonts w:ascii="仿宋" w:eastAsia="仿宋" w:hAnsi="仿宋" w:hint="eastAsia"/>
          <w:color w:val="auto"/>
        </w:rPr>
        <w:t>.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r>
        <w:rPr>
          <w:rFonts w:ascii="仿宋" w:eastAsia="仿宋" w:hAnsi="仿宋"/>
          <w:color w:val="auto"/>
        </w:rPr>
        <w:t>1</w:t>
      </w:r>
      <w:r>
        <w:rPr>
          <w:rFonts w:ascii="仿宋" w:eastAsia="仿宋" w:hAnsi="仿宋" w:hint="eastAsia"/>
          <w:color w:val="auto"/>
        </w:rPr>
        <w:t>. 相关法律法规以及监管部门有强制规定的，从其规定。如有新增事项或变更事项，依法按最新规定计算。没有相关规定的，由产品管理人与托管人协商确定计算方法。</w:t>
      </w:r>
    </w:p>
    <w:p w:rsidR="00516350" w:rsidRDefault="001A4C7B">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r>
        <w:rPr>
          <w:rFonts w:ascii="仿宋" w:eastAsia="仿宋" w:hAnsi="仿宋"/>
          <w:color w:val="auto"/>
        </w:rPr>
        <w:t>2</w:t>
      </w:r>
      <w:r>
        <w:rPr>
          <w:rFonts w:ascii="仿宋" w:eastAsia="仿宋" w:hAnsi="仿宋" w:hint="eastAsia"/>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516350" w:rsidRDefault="001A4C7B">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516350" w:rsidRDefault="001A4C7B">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516350" w:rsidRDefault="001A4C7B">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516350" w:rsidRDefault="001A4C7B">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516350" w:rsidRDefault="001A4C7B">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516350" w:rsidRDefault="001A4C7B">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516350" w:rsidRDefault="001A4C7B">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516350" w:rsidRDefault="001A4C7B">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516350" w:rsidRDefault="001A4C7B">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516350" w:rsidRDefault="001A4C7B">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w:t>
      </w:r>
      <w:r>
        <w:rPr>
          <w:rFonts w:eastAsia="黑体" w:hint="eastAsia"/>
          <w:b/>
          <w:kern w:val="0"/>
          <w:sz w:val="24"/>
        </w:rPr>
        <w:lastRenderedPageBreak/>
        <w:t>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516350" w:rsidRDefault="001A4C7B">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516350" w:rsidRDefault="001A4C7B">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516350" w:rsidRDefault="001A4C7B">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516350" w:rsidRDefault="001A4C7B">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516350" w:rsidRDefault="001A4C7B">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w:t>
      </w:r>
      <w:r>
        <w:rPr>
          <w:rFonts w:ascii="Times New Roman" w:eastAsia="黑体" w:cs="Times New Roman"/>
          <w:b/>
          <w:color w:val="auto"/>
        </w:rPr>
        <w:lastRenderedPageBreak/>
        <w:t>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516350" w:rsidRDefault="001A4C7B">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lastRenderedPageBreak/>
        <w:t>“二</w:t>
      </w:r>
      <w:r>
        <w:rPr>
          <w:rFonts w:ascii="仿宋" w:eastAsia="仿宋" w:hAnsi="仿宋" w:cs="宋体"/>
          <w:kern w:val="0"/>
          <w:sz w:val="24"/>
        </w:rPr>
        <w:t>、投资对象</w:t>
      </w:r>
      <w:r>
        <w:rPr>
          <w:rFonts w:ascii="仿宋" w:eastAsia="仿宋" w:hAnsi="仿宋" w:cs="宋体" w:hint="eastAsia"/>
          <w:kern w:val="0"/>
          <w:sz w:val="24"/>
        </w:rPr>
        <w:t>”。</w:t>
      </w:r>
    </w:p>
    <w:p w:rsidR="00516350" w:rsidRDefault="001A4C7B">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516350" w:rsidRDefault="001A4C7B">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516350" w:rsidRDefault="001A4C7B">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516350" w:rsidRDefault="001A4C7B">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516350" w:rsidRDefault="001A4C7B">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516350" w:rsidRDefault="001A4C7B">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516350" w:rsidRDefault="001A4C7B">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516350" w:rsidRDefault="001A4C7B">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16350" w:rsidRDefault="001A4C7B">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516350" w:rsidRDefault="00516350">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516350" w:rsidRDefault="001A4C7B">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516350" w:rsidRDefault="001A4C7B">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516350">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A4C7B"/>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E1255"/>
    <w:rsid w:val="002F6B80"/>
    <w:rsid w:val="00305047"/>
    <w:rsid w:val="00316AFC"/>
    <w:rsid w:val="003243A1"/>
    <w:rsid w:val="003330B3"/>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6350"/>
    <w:rsid w:val="0051737C"/>
    <w:rsid w:val="005228EC"/>
    <w:rsid w:val="0053489D"/>
    <w:rsid w:val="00541B21"/>
    <w:rsid w:val="00555842"/>
    <w:rsid w:val="005622E8"/>
    <w:rsid w:val="0058195A"/>
    <w:rsid w:val="00587F99"/>
    <w:rsid w:val="005902F0"/>
    <w:rsid w:val="005A1AD3"/>
    <w:rsid w:val="005B0C42"/>
    <w:rsid w:val="005B5241"/>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3145E"/>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558E7"/>
    <w:rsid w:val="00864D39"/>
    <w:rsid w:val="0087356D"/>
    <w:rsid w:val="00881449"/>
    <w:rsid w:val="00881AFC"/>
    <w:rsid w:val="00884902"/>
    <w:rsid w:val="00891BE8"/>
    <w:rsid w:val="008A758D"/>
    <w:rsid w:val="008C587B"/>
    <w:rsid w:val="008C7FC7"/>
    <w:rsid w:val="008D32C9"/>
    <w:rsid w:val="008D4672"/>
    <w:rsid w:val="008E0E7F"/>
    <w:rsid w:val="008E7C57"/>
    <w:rsid w:val="00904F66"/>
    <w:rsid w:val="0091544A"/>
    <w:rsid w:val="0092398B"/>
    <w:rsid w:val="00926B88"/>
    <w:rsid w:val="00930CE3"/>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75239"/>
    <w:rsid w:val="00B835AA"/>
    <w:rsid w:val="00B86087"/>
    <w:rsid w:val="00B90CDB"/>
    <w:rsid w:val="00B960A6"/>
    <w:rsid w:val="00B97A5C"/>
    <w:rsid w:val="00BE486A"/>
    <w:rsid w:val="00C2501F"/>
    <w:rsid w:val="00C26621"/>
    <w:rsid w:val="00C26FC3"/>
    <w:rsid w:val="00C34C70"/>
    <w:rsid w:val="00C56AC7"/>
    <w:rsid w:val="00C61013"/>
    <w:rsid w:val="00C7590C"/>
    <w:rsid w:val="00CA6243"/>
    <w:rsid w:val="00CB07A0"/>
    <w:rsid w:val="00CB300C"/>
    <w:rsid w:val="00CC6613"/>
    <w:rsid w:val="00CD1AC8"/>
    <w:rsid w:val="00D03E60"/>
    <w:rsid w:val="00D06EC1"/>
    <w:rsid w:val="00D07C3B"/>
    <w:rsid w:val="00D20E48"/>
    <w:rsid w:val="00D455C6"/>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A7C04"/>
    <w:rsid w:val="00EC1941"/>
    <w:rsid w:val="00ED51B9"/>
    <w:rsid w:val="00ED5CA8"/>
    <w:rsid w:val="00EE0EFC"/>
    <w:rsid w:val="00EE4B28"/>
    <w:rsid w:val="00EE5ED9"/>
    <w:rsid w:val="00F02D76"/>
    <w:rsid w:val="00F045C3"/>
    <w:rsid w:val="00F05127"/>
    <w:rsid w:val="00F20459"/>
    <w:rsid w:val="00F208BA"/>
    <w:rsid w:val="00F512E9"/>
    <w:rsid w:val="00F54606"/>
    <w:rsid w:val="00F67A6A"/>
    <w:rsid w:val="00F67A9C"/>
    <w:rsid w:val="00F72DB1"/>
    <w:rsid w:val="00F77DC9"/>
    <w:rsid w:val="00F82368"/>
    <w:rsid w:val="00FB10EC"/>
    <w:rsid w:val="00FC0983"/>
    <w:rsid w:val="00FC21F8"/>
    <w:rsid w:val="00FC6689"/>
    <w:rsid w:val="00FC72F2"/>
    <w:rsid w:val="00FE046D"/>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B50330"/>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331185"/>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450BD7"/>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4EA6E03"/>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330AAB"/>
    <w:rsid w:val="326170B4"/>
    <w:rsid w:val="328F3B54"/>
    <w:rsid w:val="329A11A0"/>
    <w:rsid w:val="32FF7EB7"/>
    <w:rsid w:val="33424079"/>
    <w:rsid w:val="34126396"/>
    <w:rsid w:val="345E593B"/>
    <w:rsid w:val="34605A84"/>
    <w:rsid w:val="346C230B"/>
    <w:rsid w:val="35034F52"/>
    <w:rsid w:val="352C602C"/>
    <w:rsid w:val="35B16527"/>
    <w:rsid w:val="360B6477"/>
    <w:rsid w:val="36774E48"/>
    <w:rsid w:val="36B76A85"/>
    <w:rsid w:val="36B82ADE"/>
    <w:rsid w:val="376879F0"/>
    <w:rsid w:val="378F057D"/>
    <w:rsid w:val="37EC4B4C"/>
    <w:rsid w:val="387B665C"/>
    <w:rsid w:val="39690814"/>
    <w:rsid w:val="39951034"/>
    <w:rsid w:val="39B76C90"/>
    <w:rsid w:val="39C37A55"/>
    <w:rsid w:val="39C53B44"/>
    <w:rsid w:val="39EF39C3"/>
    <w:rsid w:val="3A021304"/>
    <w:rsid w:val="3A23092B"/>
    <w:rsid w:val="3A35598B"/>
    <w:rsid w:val="3A595F4B"/>
    <w:rsid w:val="3A9D0C11"/>
    <w:rsid w:val="3B4C73CF"/>
    <w:rsid w:val="3BC55932"/>
    <w:rsid w:val="3C7826C2"/>
    <w:rsid w:val="3C8F2051"/>
    <w:rsid w:val="3CD87A38"/>
    <w:rsid w:val="3CF01736"/>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0EA032E"/>
    <w:rsid w:val="41012626"/>
    <w:rsid w:val="415249F8"/>
    <w:rsid w:val="417575F2"/>
    <w:rsid w:val="41BD7655"/>
    <w:rsid w:val="41CC7DB7"/>
    <w:rsid w:val="42CD30A6"/>
    <w:rsid w:val="42F60353"/>
    <w:rsid w:val="438556A7"/>
    <w:rsid w:val="43A6228A"/>
    <w:rsid w:val="44256CD2"/>
    <w:rsid w:val="449B7167"/>
    <w:rsid w:val="44CC2C77"/>
    <w:rsid w:val="4524487F"/>
    <w:rsid w:val="45CC078F"/>
    <w:rsid w:val="466B6F06"/>
    <w:rsid w:val="46860155"/>
    <w:rsid w:val="476049FD"/>
    <w:rsid w:val="47802A85"/>
    <w:rsid w:val="47E65D23"/>
    <w:rsid w:val="47F6480D"/>
    <w:rsid w:val="4801691C"/>
    <w:rsid w:val="48683A8E"/>
    <w:rsid w:val="487C60FD"/>
    <w:rsid w:val="489E098C"/>
    <w:rsid w:val="48B61CC6"/>
    <w:rsid w:val="48E87129"/>
    <w:rsid w:val="492A5B50"/>
    <w:rsid w:val="49321AAF"/>
    <w:rsid w:val="493A681C"/>
    <w:rsid w:val="493C2E02"/>
    <w:rsid w:val="494D579F"/>
    <w:rsid w:val="498C1FB1"/>
    <w:rsid w:val="4A255416"/>
    <w:rsid w:val="4A295537"/>
    <w:rsid w:val="4A66296F"/>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900A5B"/>
    <w:rsid w:val="52B20439"/>
    <w:rsid w:val="5337488A"/>
    <w:rsid w:val="53735224"/>
    <w:rsid w:val="537D24F6"/>
    <w:rsid w:val="543C05E0"/>
    <w:rsid w:val="54B9651A"/>
    <w:rsid w:val="54F9389F"/>
    <w:rsid w:val="55222910"/>
    <w:rsid w:val="552769D7"/>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0A32FF"/>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1F1BC7"/>
    <w:rsid w:val="64541B77"/>
    <w:rsid w:val="64667487"/>
    <w:rsid w:val="64E9282A"/>
    <w:rsid w:val="65C63D9B"/>
    <w:rsid w:val="66103AAA"/>
    <w:rsid w:val="66147E84"/>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14BEF"/>
    <w:rsid w:val="6DFA3383"/>
    <w:rsid w:val="6E1A49C5"/>
    <w:rsid w:val="6E254EA7"/>
    <w:rsid w:val="6E4B2AEB"/>
    <w:rsid w:val="6EBB30B7"/>
    <w:rsid w:val="6F786BDA"/>
    <w:rsid w:val="701521E8"/>
    <w:rsid w:val="70851CBD"/>
    <w:rsid w:val="709573C6"/>
    <w:rsid w:val="709E2354"/>
    <w:rsid w:val="70E70772"/>
    <w:rsid w:val="71900429"/>
    <w:rsid w:val="719027A5"/>
    <w:rsid w:val="71C9496E"/>
    <w:rsid w:val="71EE76F7"/>
    <w:rsid w:val="720B04A4"/>
    <w:rsid w:val="725F0CAE"/>
    <w:rsid w:val="72981180"/>
    <w:rsid w:val="729C09F9"/>
    <w:rsid w:val="73001A15"/>
    <w:rsid w:val="73155C46"/>
    <w:rsid w:val="7366194C"/>
    <w:rsid w:val="74062834"/>
    <w:rsid w:val="740D552E"/>
    <w:rsid w:val="7411481B"/>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8A6B15"/>
    <w:rsid w:val="79BB4445"/>
    <w:rsid w:val="79CB33E9"/>
    <w:rsid w:val="79CC1086"/>
    <w:rsid w:val="79EF28EF"/>
    <w:rsid w:val="7A0E66B3"/>
    <w:rsid w:val="7A300713"/>
    <w:rsid w:val="7A3B7268"/>
    <w:rsid w:val="7A5D1076"/>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9ADC4529-8495-4E73-AF08-C3707DCF4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2263</Words>
  <Characters>12905</Characters>
  <Application>Microsoft Office Word</Application>
  <DocSecurity>0</DocSecurity>
  <Lines>107</Lines>
  <Paragraphs>30</Paragraphs>
  <ScaleCrop>false</ScaleCrop>
  <Company>华夏银行总行</Company>
  <LinksUpToDate>false</LinksUpToDate>
  <CharactersWithSpaces>15138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2303</cp:keywords>
  <cp:lastModifiedBy>产品营销部</cp:lastModifiedBy>
  <cp:revision>4</cp:revision>
  <cp:lastPrinted>2021-07-21T07:06:00Z</cp:lastPrinted>
  <dcterms:created xsi:type="dcterms:W3CDTF">2023-03-16T07:08:00Z</dcterms:created>
  <dcterms:modified xsi:type="dcterms:W3CDTF">2023-03-16T07:11:00Z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