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71</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7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71</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71</w:t>
            </w:r>
            <w:r>
              <w:rPr>
                <w:rFonts w:hint="eastAsia" w:ascii="仿宋" w:hAnsi="仿宋" w:eastAsia="仿宋"/>
                <w:b/>
                <w:bCs/>
                <w:szCs w:val="21"/>
              </w:rPr>
              <w:t>号</w:t>
            </w:r>
            <w:r>
              <w:rPr>
                <w:rFonts w:hint="eastAsia" w:ascii="仿宋" w:hAnsi="仿宋" w:eastAsia="仿宋"/>
                <w:b/>
                <w:bCs/>
                <w:szCs w:val="21"/>
                <w:lang w:val="en-US" w:eastAsia="zh-CN"/>
              </w:rPr>
              <w:t>286</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71</w:t>
            </w:r>
            <w:r>
              <w:rPr>
                <w:rFonts w:hint="eastAsia" w:ascii="仿宋" w:hAnsi="仿宋" w:eastAsia="仿宋"/>
                <w:b/>
                <w:bCs/>
                <w:szCs w:val="21"/>
              </w:rPr>
              <w:t>号</w:t>
            </w:r>
            <w:r>
              <w:rPr>
                <w:rFonts w:hint="eastAsia" w:ascii="仿宋" w:hAnsi="仿宋" w:eastAsia="仿宋"/>
                <w:b/>
                <w:bCs/>
                <w:szCs w:val="21"/>
                <w:lang w:val="en-US" w:eastAsia="zh-CN"/>
              </w:rPr>
              <w:t>286</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D</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71</w:t>
            </w:r>
            <w:r>
              <w:rPr>
                <w:rFonts w:hint="eastAsia" w:ascii="仿宋" w:hAnsi="仿宋" w:eastAsia="仿宋"/>
                <w:b/>
                <w:bCs/>
                <w:szCs w:val="21"/>
              </w:rPr>
              <w:t>号</w:t>
            </w:r>
            <w:r>
              <w:rPr>
                <w:rFonts w:hint="eastAsia" w:ascii="仿宋" w:hAnsi="仿宋" w:eastAsia="仿宋"/>
                <w:b/>
                <w:bCs/>
                <w:szCs w:val="21"/>
                <w:lang w:val="en-US" w:eastAsia="zh-CN"/>
              </w:rPr>
              <w:t>286</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宋体"/>
                <w:lang w:eastAsia="zh-CN"/>
              </w:rPr>
            </w:pPr>
            <w:r>
              <w:rPr>
                <w:rFonts w:hint="eastAsia" w:ascii="仿宋" w:hAnsi="仿宋" w:eastAsia="仿宋"/>
                <w:bCs/>
                <w:szCs w:val="21"/>
                <w:lang w:val="en-US" w:eastAsia="zh-CN"/>
              </w:rPr>
              <w:t>23121071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A份额代码：23121071A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val="en-US" w:eastAsia="zh-CN"/>
              </w:rPr>
              <w:t>23121071C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val="en-US" w:eastAsia="zh-CN"/>
              </w:rPr>
              <w:t>23121071D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Z7003923000071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4.10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;D</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70%-100%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286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D份额：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lang w:val="en-US" w:eastAsia="zh-CN"/>
              </w:rPr>
              <w:t xml:space="preserve">    </w:t>
            </w: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firstLineChars="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rPr>
                <w:b/>
                <w:bCs w:val="0"/>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bCs w:val="0"/>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firstLineChars="0"/>
              <w:jc w:val="left"/>
              <w:rPr>
                <w:b/>
                <w:bCs w:val="0"/>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05</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D份额：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300" w:lineRule="exact"/>
              <w:ind w:firstLine="420" w:firstLineChars="0"/>
              <w:jc w:val="left"/>
              <w:rPr>
                <w:b/>
                <w:bCs w:val="0"/>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hint="eastAsia" w:ascii="仿宋" w:hAnsi="仿宋" w:eastAsia="仿宋"/>
                <w:b/>
                <w:bCs w:val="0"/>
                <w:szCs w:val="21"/>
              </w:rPr>
              <w:t>%/年，以前一日资产净值为基数，每日计提。公式如下：</w:t>
            </w:r>
          </w:p>
          <w:p>
            <w:pPr>
              <w:adjustRightInd w:val="0"/>
              <w:snapToGrid w:val="0"/>
              <w:spacing w:line="300" w:lineRule="exact"/>
              <w:ind w:firstLine="420" w:firstLineChars="0"/>
              <w:rPr>
                <w:b/>
                <w:bCs w:val="0"/>
              </w:rPr>
            </w:pPr>
            <w:r>
              <w:rPr>
                <w:rFonts w:hint="eastAsia" w:ascii="仿宋" w:hAnsi="仿宋" w:eastAsia="仿宋"/>
                <w:b/>
                <w:bCs w:val="0"/>
                <w:szCs w:val="21"/>
              </w:rPr>
              <w:t>F=E×【</w:t>
            </w:r>
            <w:r>
              <w:rPr>
                <w:rFonts w:hint="eastAsia" w:ascii="仿宋" w:hAnsi="仿宋" w:eastAsia="仿宋"/>
                <w:b/>
                <w:bCs w:val="0"/>
                <w:szCs w:val="21"/>
                <w:lang w:val="en-US" w:eastAsia="zh-CN"/>
              </w:rPr>
              <w:t>0.05%</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hint="eastAsia" w:ascii="仿宋" w:hAnsi="仿宋" w:eastAsia="仿宋" w:cs="Cambria"/>
                <w:b/>
                <w:bCs w:val="0"/>
                <w:szCs w:val="21"/>
                <w:lang w:val="en-US" w:eastAsia="zh-CN"/>
              </w:rPr>
              <w:t>4.20</w:t>
            </w:r>
            <w:r>
              <w:rPr>
                <w:rFonts w:ascii="仿宋" w:hAnsi="仿宋" w:eastAsia="仿宋" w:cs="Cambria"/>
                <w:b/>
                <w:bCs w:val="0"/>
                <w:szCs w:val="21"/>
              </w:rPr>
              <w:t>%</w:t>
            </w:r>
            <w:r>
              <w:rPr>
                <w:rFonts w:hint="eastAsia" w:ascii="仿宋" w:hAnsi="仿宋" w:eastAsia="仿宋" w:cs="Cambria"/>
                <w:b/>
                <w:bCs w:val="0"/>
                <w:szCs w:val="21"/>
              </w:rPr>
              <w:t>（年化）；</w:t>
            </w:r>
            <w:r>
              <w:rPr>
                <w:rFonts w:hint="eastAsia" w:ascii="仿宋" w:hAnsi="仿宋" w:eastAsia="仿宋" w:cs="Cambria"/>
                <w:b/>
                <w:bCs w:val="0"/>
                <w:szCs w:val="21"/>
                <w:lang w:val="en-US" w:eastAsia="zh-CN"/>
              </w:rPr>
              <w:t>C</w:t>
            </w:r>
            <w:r>
              <w:rPr>
                <w:rFonts w:hint="eastAsia" w:ascii="仿宋" w:hAnsi="仿宋" w:eastAsia="仿宋" w:cs="Cambria"/>
                <w:b/>
                <w:bCs w:val="0"/>
                <w:szCs w:val="21"/>
              </w:rPr>
              <w:t>份额超额管理费计提基准为</w:t>
            </w:r>
            <w:r>
              <w:rPr>
                <w:rFonts w:hint="eastAsia" w:ascii="仿宋" w:hAnsi="仿宋" w:eastAsia="仿宋"/>
                <w:b/>
                <w:bCs w:val="0"/>
                <w:szCs w:val="21"/>
                <w:lang w:val="en-US" w:eastAsia="zh-CN"/>
              </w:rPr>
              <w:t>4.10</w:t>
            </w:r>
            <w:r>
              <w:rPr>
                <w:rFonts w:ascii="仿宋" w:hAnsi="仿宋" w:eastAsia="仿宋"/>
                <w:b/>
                <w:bCs w:val="0"/>
                <w:szCs w:val="21"/>
              </w:rPr>
              <w:t>%</w:t>
            </w:r>
            <w:r>
              <w:rPr>
                <w:rFonts w:hint="eastAsia" w:ascii="仿宋" w:hAnsi="仿宋" w:eastAsia="仿宋" w:cs="Cambria"/>
                <w:b/>
                <w:bCs w:val="0"/>
                <w:szCs w:val="21"/>
              </w:rPr>
              <w:t>（年化）</w:t>
            </w:r>
            <w:r>
              <w:rPr>
                <w:rFonts w:hint="eastAsia" w:ascii="仿宋" w:hAnsi="仿宋" w:eastAsia="仿宋" w:cs="Cambria"/>
                <w:b/>
                <w:bCs w:val="0"/>
                <w:szCs w:val="21"/>
                <w:lang w:val="en-US" w:eastAsia="zh-CN"/>
              </w:rPr>
              <w:t>;D</w:t>
            </w:r>
            <w:r>
              <w:rPr>
                <w:rFonts w:hint="eastAsia" w:ascii="仿宋" w:hAnsi="仿宋" w:eastAsia="仿宋" w:cs="Cambria"/>
                <w:b/>
                <w:bCs w:val="0"/>
                <w:szCs w:val="21"/>
              </w:rPr>
              <w:t>份额超额管理费计提基准为</w:t>
            </w:r>
            <w:r>
              <w:rPr>
                <w:rFonts w:hint="eastAsia" w:ascii="仿宋" w:hAnsi="仿宋" w:eastAsia="仿宋" w:cs="Cambria"/>
                <w:b/>
                <w:bCs w:val="0"/>
                <w:szCs w:val="21"/>
                <w:lang w:val="en-US" w:eastAsia="zh-CN"/>
              </w:rPr>
              <w:t>3.95</w:t>
            </w:r>
            <w:r>
              <w:rPr>
                <w:rFonts w:ascii="仿宋" w:hAnsi="仿宋" w:eastAsia="仿宋" w:cs="Cambria"/>
                <w:b/>
                <w:bCs w:val="0"/>
                <w:szCs w:val="21"/>
              </w:rPr>
              <w:t>%</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w:t>
            </w:r>
            <w:bookmarkStart w:id="6" w:name="_GoBack"/>
            <w:bookmarkEnd w:id="6"/>
            <w:r>
              <w:rPr>
                <w:rFonts w:hint="eastAsia" w:ascii="仿宋" w:hAnsi="仿宋" w:eastAsia="仿宋" w:cs="Cambria"/>
                <w:b/>
                <w:bCs w:val="0"/>
                <w:szCs w:val="21"/>
              </w:rPr>
              <w:t>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firstLineChars="0"/>
              <w:rPr>
                <w:b/>
                <w:bCs w:val="0"/>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jc w:val="left"/>
              <w:rPr>
                <w:b/>
                <w:bCs w:val="0"/>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numPr>
          <w:ilvl w:val="0"/>
          <w:numId w:val="1"/>
        </w:numPr>
        <w:snapToGrid w:val="0"/>
        <w:spacing w:before="156" w:beforeLines="50" w:after="156" w:afterLines="50" w:line="400" w:lineRule="exact"/>
        <w:ind w:firstLine="482" w:firstLineChars="200"/>
        <w:jc w:val="both"/>
        <w:outlineLvl w:val="0"/>
        <w:rPr>
          <w:rFonts w:hint="eastAsia" w:ascii="Times New Roman" w:eastAsia="黑体" w:cs="Times New Roman"/>
          <w:b/>
          <w:color w:val="auto"/>
          <w:lang w:val="en-US" w:eastAsia="zh-CN"/>
        </w:rPr>
      </w:pPr>
      <w:r>
        <w:rPr>
          <w:rFonts w:ascii="Times New Roman" w:eastAsia="黑体" w:cs="Times New Roman"/>
          <w:b/>
          <w:color w:val="auto"/>
        </w:rPr>
        <w:t>投资</w:t>
      </w:r>
      <w:r>
        <w:rPr>
          <w:rFonts w:hint="eastAsia" w:ascii="Times New Roman" w:eastAsia="黑体" w:cs="Times New Roman"/>
          <w:b/>
          <w:color w:val="auto"/>
          <w:lang w:val="en-US" w:eastAsia="zh-CN"/>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1D7B8C"/>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9D52BC"/>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466CA"/>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0C38A3"/>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AE3786"/>
    <w:rsid w:val="45CC078F"/>
    <w:rsid w:val="466B6F06"/>
    <w:rsid w:val="46860155"/>
    <w:rsid w:val="473C7E58"/>
    <w:rsid w:val="476049FD"/>
    <w:rsid w:val="47802A85"/>
    <w:rsid w:val="478E5A0F"/>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0CA3E1C"/>
    <w:rsid w:val="51954E8A"/>
    <w:rsid w:val="519B5496"/>
    <w:rsid w:val="52667895"/>
    <w:rsid w:val="52B20439"/>
    <w:rsid w:val="53735224"/>
    <w:rsid w:val="537D24F6"/>
    <w:rsid w:val="543C05E0"/>
    <w:rsid w:val="54B9651A"/>
    <w:rsid w:val="54F9389F"/>
    <w:rsid w:val="55157BCD"/>
    <w:rsid w:val="55222910"/>
    <w:rsid w:val="55643FAD"/>
    <w:rsid w:val="55777CC8"/>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00633"/>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 w:val="7FF72CD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SA"/>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2023-02-08T03:51:31Z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