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24</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24</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w:t>
            </w:r>
            <w:bookmarkStart w:id="7" w:name="_GoBack"/>
            <w:r>
              <w:rPr>
                <w:rFonts w:hint="eastAsia" w:ascii="仿宋" w:hAnsi="仿宋" w:eastAsia="仿宋"/>
                <w:b/>
                <w:bCs/>
                <w:szCs w:val="21"/>
              </w:rPr>
              <w:t>华夏理财固收债权封闭式</w:t>
            </w:r>
            <w:r>
              <w:rPr>
                <w:rFonts w:hint="eastAsia" w:ascii="仿宋" w:hAnsi="仿宋" w:eastAsia="仿宋"/>
                <w:b/>
                <w:bCs/>
                <w:szCs w:val="21"/>
                <w:lang w:val="en-US" w:eastAsia="zh-CN"/>
              </w:rPr>
              <w:t>24</w:t>
            </w:r>
            <w:r>
              <w:rPr>
                <w:rFonts w:hint="eastAsia" w:ascii="仿宋" w:hAnsi="仿宋" w:eastAsia="仿宋"/>
                <w:b/>
                <w:bCs/>
                <w:szCs w:val="21"/>
              </w:rPr>
              <w:t>号</w:t>
            </w:r>
            <w:r>
              <w:rPr>
                <w:rFonts w:hint="eastAsia" w:ascii="仿宋" w:hAnsi="仿宋" w:eastAsia="仿宋"/>
                <w:b/>
                <w:bCs/>
                <w:szCs w:val="21"/>
                <w:lang w:val="en-US" w:eastAsia="zh-CN"/>
              </w:rPr>
              <w:t>460</w:t>
            </w:r>
            <w:r>
              <w:rPr>
                <w:rFonts w:hint="eastAsia" w:ascii="仿宋" w:hAnsi="仿宋" w:eastAsia="仿宋"/>
                <w:b/>
                <w:bCs/>
                <w:szCs w:val="21"/>
              </w:rPr>
              <w:t>天</w:t>
            </w:r>
            <w:r>
              <w:rPr>
                <w:rFonts w:hint="eastAsia" w:ascii="仿宋" w:hAnsi="仿宋" w:eastAsia="仿宋"/>
                <w:b/>
                <w:bCs/>
                <w:szCs w:val="21"/>
                <w:lang w:val="en-US" w:eastAsia="zh-CN"/>
              </w:rPr>
              <w:t>A</w:t>
            </w:r>
            <w:bookmarkEnd w:id="7"/>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24</w:t>
            </w:r>
            <w:r>
              <w:rPr>
                <w:rFonts w:hint="eastAsia" w:ascii="仿宋" w:hAnsi="仿宋" w:eastAsia="仿宋"/>
                <w:b/>
                <w:bCs/>
                <w:szCs w:val="21"/>
              </w:rPr>
              <w:t>号</w:t>
            </w:r>
            <w:r>
              <w:rPr>
                <w:rFonts w:hint="eastAsia" w:ascii="仿宋" w:hAnsi="仿宋" w:eastAsia="仿宋"/>
                <w:b/>
                <w:bCs/>
                <w:szCs w:val="21"/>
                <w:lang w:val="en-US" w:eastAsia="zh-CN"/>
              </w:rPr>
              <w:t>460</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24</w:t>
            </w:r>
            <w:r>
              <w:rPr>
                <w:rFonts w:hint="eastAsia" w:ascii="仿宋" w:hAnsi="仿宋" w:eastAsia="仿宋"/>
                <w:b/>
                <w:bCs/>
                <w:szCs w:val="21"/>
              </w:rPr>
              <w:t>号</w:t>
            </w:r>
            <w:r>
              <w:rPr>
                <w:rFonts w:hint="eastAsia" w:ascii="仿宋" w:hAnsi="仿宋" w:eastAsia="仿宋"/>
                <w:b/>
                <w:bCs/>
                <w:szCs w:val="21"/>
                <w:lang w:val="en-US" w:eastAsia="zh-CN"/>
              </w:rPr>
              <w:t>460</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D份额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24</w:t>
            </w:r>
            <w:r>
              <w:rPr>
                <w:rFonts w:hint="eastAsia" w:ascii="仿宋" w:hAnsi="仿宋" w:eastAsia="仿宋"/>
                <w:b/>
                <w:bCs/>
                <w:szCs w:val="21"/>
              </w:rPr>
              <w:t>号</w:t>
            </w:r>
            <w:r>
              <w:rPr>
                <w:rFonts w:hint="eastAsia" w:ascii="仿宋" w:hAnsi="仿宋" w:eastAsia="仿宋"/>
                <w:b/>
                <w:bCs/>
                <w:szCs w:val="21"/>
                <w:lang w:val="en-US" w:eastAsia="zh-CN"/>
              </w:rPr>
              <w:t>460</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22121024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w:t>
            </w:r>
            <w:r>
              <w:rPr>
                <w:rFonts w:hint="eastAsia" w:ascii="仿宋" w:hAnsi="仿宋" w:eastAsia="仿宋"/>
                <w:bCs/>
                <w:szCs w:val="21"/>
              </w:rPr>
              <w:t>22121024</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w:t>
            </w:r>
            <w:r>
              <w:rPr>
                <w:rFonts w:hint="eastAsia" w:ascii="仿宋" w:hAnsi="仿宋" w:eastAsia="仿宋"/>
                <w:bCs/>
                <w:szCs w:val="21"/>
              </w:rPr>
              <w:t>22121024</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w:t>
            </w:r>
            <w:r>
              <w:rPr>
                <w:rFonts w:hint="eastAsia" w:ascii="仿宋" w:hAnsi="仿宋" w:eastAsia="仿宋"/>
                <w:bCs/>
                <w:szCs w:val="21"/>
              </w:rPr>
              <w:t>22121024</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w:t>
            </w:r>
            <w:r>
              <w:rPr>
                <w:rFonts w:hint="eastAsia" w:ascii="仿宋" w:hAnsi="仿宋" w:eastAsia="仿宋"/>
                <w:bCs/>
                <w:szCs w:val="21"/>
              </w:rPr>
              <w:t>22121024</w:t>
            </w:r>
            <w:r>
              <w:rPr>
                <w:rFonts w:hint="eastAsia" w:ascii="仿宋" w:hAnsi="仿宋" w:eastAsia="仿宋"/>
                <w:bCs/>
                <w:color w:val="auto"/>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Z7003922000129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3.85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3.75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szCs w:val="21"/>
              </w:rPr>
              <w:t>以产品投资信用债仓位60%-90%，非标债权类资产仓位10%-40%，组合杠杆率100%-120%为例，参考剩余期限匹配的目标债券到期收益率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30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460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24</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A</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05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30</w:t>
            </w:r>
            <w:r>
              <w:rPr>
                <w:rFonts w:hint="eastAsia" w:ascii="仿宋" w:hAnsi="仿宋" w:eastAsia="仿宋"/>
                <w:bCs/>
                <w:color w:val="auto"/>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eastAsia="zh-CN"/>
              </w:rPr>
              <w:t>各份额销售手续费</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%，则管理人不收取超额管理费；超过</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3.90</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3.90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3.85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3.85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3.75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3.75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20" w:firstLineChars="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w:t>
      </w:r>
      <w:r>
        <w:rPr>
          <w:rFonts w:hint="eastAsia" w:ascii="仿宋" w:hAnsi="仿宋" w:eastAsia="仿宋"/>
          <w:color w:val="auto"/>
          <w:lang w:eastAsia="zh-CN"/>
        </w:rPr>
        <w:t>计提</w:t>
      </w:r>
      <w:r>
        <w:rPr>
          <w:rFonts w:hint="eastAsia" w:ascii="仿宋" w:hAnsi="仿宋" w:eastAsia="仿宋"/>
          <w:color w:val="auto"/>
        </w:rPr>
        <w:t>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5019"/>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5D4CF1"/>
    <w:rsid w:val="500C5A60"/>
    <w:rsid w:val="50461117"/>
    <w:rsid w:val="509A5F14"/>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57981"/>
    <w:rsid w:val="6A5B0FA5"/>
    <w:rsid w:val="6A983C35"/>
    <w:rsid w:val="6AAC3F8C"/>
    <w:rsid w:val="6B4C2F45"/>
    <w:rsid w:val="6B6E4269"/>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C125BA"/>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lczgs</cp:lastModifiedBy>
  <cp:lastPrinted>2021-07-21T07:06:00Z</cp:lastPrinted>
  <dcterms:modified xsi:type="dcterms:W3CDTF">2023-01-06T08:29:37Z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