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E31DE">
      <w:pPr>
        <w:spacing w:line="360" w:lineRule="auto"/>
        <w:jc w:val="center"/>
        <w:outlineLvl w:val="0"/>
        <w:rPr>
          <w:rFonts w:ascii="黑体" w:hAnsi="黑体" w:eastAsia="黑体" w:cs="黑体"/>
          <w:b/>
          <w:bCs/>
          <w:color w:val="000000"/>
          <w:sz w:val="36"/>
          <w:szCs w:val="36"/>
        </w:rPr>
      </w:pPr>
      <w:r>
        <w:rPr>
          <w:rFonts w:hint="eastAsia" w:ascii="黑体" w:hAnsi="黑体" w:eastAsia="黑体" w:cs="黑体"/>
          <w:b/>
          <w:bCs/>
          <w:color w:val="000000"/>
          <w:sz w:val="36"/>
          <w:szCs w:val="36"/>
        </w:rPr>
        <w:t>光大理财“</w:t>
      </w:r>
      <w:r>
        <w:rPr>
          <w:rFonts w:hint="eastAsia" w:ascii="黑体" w:hAnsi="黑体" w:eastAsia="黑体" w:cs="黑体"/>
          <w:b/>
          <w:bCs/>
          <w:color w:val="000000"/>
          <w:sz w:val="36"/>
          <w:szCs w:val="36"/>
          <w:lang w:eastAsia="zh-CN"/>
        </w:rPr>
        <w:t>阳光金增利稳健天天购35号（30天最低持有）</w:t>
      </w:r>
      <w:r>
        <w:rPr>
          <w:rFonts w:hint="eastAsia" w:ascii="黑体" w:hAnsi="黑体" w:eastAsia="黑体" w:cs="黑体"/>
          <w:b/>
          <w:bCs/>
          <w:color w:val="000000"/>
          <w:sz w:val="36"/>
          <w:szCs w:val="36"/>
        </w:rPr>
        <w:t>”</w:t>
      </w:r>
    </w:p>
    <w:p w14:paraId="5A9FA47B">
      <w:pPr>
        <w:spacing w:line="360" w:lineRule="auto"/>
        <w:jc w:val="center"/>
        <w:outlineLvl w:val="0"/>
        <w:rPr>
          <w:rFonts w:ascii="黑体" w:hAnsi="黑体" w:eastAsia="黑体" w:cs="黑体"/>
          <w:b/>
          <w:bCs/>
          <w:color w:val="000000"/>
          <w:sz w:val="36"/>
          <w:szCs w:val="36"/>
        </w:rPr>
      </w:pPr>
      <w:r>
        <w:rPr>
          <w:rFonts w:hint="eastAsia" w:ascii="黑体" w:hAnsi="黑体" w:eastAsia="黑体" w:cs="黑体"/>
          <w:b/>
          <w:bCs/>
          <w:color w:val="000000"/>
          <w:sz w:val="36"/>
          <w:szCs w:val="36"/>
        </w:rPr>
        <w:t>理财产品说明书</w:t>
      </w:r>
    </w:p>
    <w:p w14:paraId="29FE1361">
      <w:pPr>
        <w:spacing w:line="360" w:lineRule="auto"/>
        <w:jc w:val="center"/>
        <w:rPr>
          <w:rFonts w:ascii="宋体" w:hAnsi="宋体" w:cs="宋体"/>
          <w:b/>
          <w:sz w:val="28"/>
          <w:szCs w:val="28"/>
        </w:rPr>
      </w:pPr>
      <w:r>
        <w:rPr>
          <w:rFonts w:hint="eastAsia" w:ascii="宋体" w:hAnsi="宋体" w:cs="宋体"/>
          <w:b/>
          <w:sz w:val="28"/>
          <w:szCs w:val="28"/>
        </w:rPr>
        <w:t>重要须知</w:t>
      </w:r>
    </w:p>
    <w:p w14:paraId="22C09E00">
      <w:pPr>
        <w:pStyle w:val="24"/>
        <w:numPr>
          <w:ilvl w:val="0"/>
          <w:numId w:val="2"/>
        </w:numPr>
        <w:spacing w:line="360" w:lineRule="auto"/>
        <w:ind w:left="-420" w:leftChars="-200" w:firstLineChars="0"/>
        <w:rPr>
          <w:rFonts w:ascii="宋体" w:hAnsi="宋体" w:cs="宋体"/>
          <w:b/>
          <w:bCs/>
          <w:color w:val="000000"/>
          <w:szCs w:val="21"/>
        </w:rPr>
      </w:pPr>
      <w:r>
        <w:rPr>
          <w:rFonts w:hint="eastAsia" w:ascii="宋体" w:hAnsi="宋体" w:cs="宋体"/>
          <w:szCs w:val="21"/>
        </w:rPr>
        <w:t>在购买本理财产品前，投资者应确保自己完全理解该项投资的性质和所涉及的风险，详细了解和审慎评估该理财产品的资金投向、风险类型等基本情况，在慎重考虑后自行决定购买与自身风险承受能力和资产管理需求匹配的理财产品。</w:t>
      </w:r>
    </w:p>
    <w:p w14:paraId="22D120E4">
      <w:pPr>
        <w:pStyle w:val="24"/>
        <w:numPr>
          <w:ilvl w:val="0"/>
          <w:numId w:val="2"/>
        </w:numPr>
        <w:spacing w:line="360" w:lineRule="auto"/>
        <w:ind w:left="-420" w:leftChars="-200" w:firstLineChars="0"/>
        <w:rPr>
          <w:rFonts w:ascii="宋体" w:hAnsi="宋体" w:cs="宋体"/>
          <w:szCs w:val="21"/>
        </w:rPr>
      </w:pPr>
      <w:r>
        <w:rPr>
          <w:rFonts w:hint="eastAsia" w:ascii="宋体" w:hAnsi="宋体" w:cs="宋体"/>
          <w:b/>
          <w:bCs/>
          <w:color w:val="000000"/>
          <w:szCs w:val="21"/>
        </w:rPr>
        <w:t>本理财产品不保证本金及收益，您的本金可能因市场变动而蒙受相应损失，投资者应充分认识投资风险，谨慎投资；本理财产品过往业绩不代表其未来表现，不等于理财产品实际收益，投资须谨慎；理财非存款、产品有风险、投资须谨慎。</w:t>
      </w:r>
    </w:p>
    <w:p w14:paraId="4317BEE5">
      <w:pPr>
        <w:pStyle w:val="24"/>
        <w:numPr>
          <w:ilvl w:val="0"/>
          <w:numId w:val="2"/>
        </w:numPr>
        <w:spacing w:line="360" w:lineRule="auto"/>
        <w:ind w:left="-420" w:leftChars="-200" w:firstLineChars="0"/>
        <w:rPr>
          <w:rFonts w:ascii="宋体" w:hAnsi="宋体" w:cs="宋体"/>
          <w:szCs w:val="21"/>
        </w:rPr>
      </w:pPr>
      <w:r>
        <w:rPr>
          <w:rFonts w:hint="eastAsia" w:ascii="宋体" w:hAnsi="宋体" w:cs="宋体"/>
          <w:b/>
          <w:bCs/>
          <w:szCs w:val="21"/>
        </w:rPr>
        <w:t>本理财产品的任何业绩比较区间、业绩比较基准</w:t>
      </w:r>
      <w:r>
        <w:rPr>
          <w:rFonts w:hint="eastAsia" w:ascii="宋体" w:hAnsi="宋体" w:cs="宋体"/>
          <w:b/>
          <w:bCs/>
          <w:color w:val="000000"/>
          <w:szCs w:val="21"/>
        </w:rPr>
        <w:t>等</w:t>
      </w:r>
      <w:r>
        <w:rPr>
          <w:rFonts w:hint="eastAsia" w:ascii="宋体" w:hAnsi="宋体" w:cs="宋体"/>
          <w:b/>
          <w:bCs/>
          <w:szCs w:val="21"/>
        </w:rPr>
        <w:t>类似表述均属不具有法律约束力的用语，不代表投资者可能获得的实际收益，亦不构成光大理财有限责任公司（以下简称“光大理财”）对本理财产品的任何收益承诺。</w:t>
      </w:r>
    </w:p>
    <w:p w14:paraId="7B39F492">
      <w:pPr>
        <w:pStyle w:val="24"/>
        <w:numPr>
          <w:ilvl w:val="0"/>
          <w:numId w:val="2"/>
        </w:numPr>
        <w:spacing w:line="360" w:lineRule="auto"/>
        <w:ind w:left="-420" w:leftChars="-200" w:firstLineChars="0"/>
        <w:rPr>
          <w:rFonts w:ascii="宋体" w:hAnsi="宋体" w:cs="宋体"/>
          <w:szCs w:val="21"/>
        </w:rPr>
      </w:pPr>
      <w:r>
        <w:rPr>
          <w:rFonts w:hint="eastAsia" w:ascii="宋体" w:hAnsi="宋体" w:cs="宋体"/>
          <w:szCs w:val="21"/>
        </w:rPr>
        <w:t>《光大理财</w:t>
      </w:r>
      <w:bookmarkStart w:id="0" w:name="OLE_LINK3"/>
      <w:r>
        <w:rPr>
          <w:rFonts w:hint="eastAsia" w:ascii="宋体" w:hAnsi="宋体" w:cs="宋体"/>
          <w:szCs w:val="21"/>
        </w:rPr>
        <w:t>“</w:t>
      </w:r>
      <w:r>
        <w:rPr>
          <w:rFonts w:hint="eastAsia" w:ascii="宋体" w:hAnsi="宋体" w:cs="宋体"/>
          <w:szCs w:val="21"/>
          <w:lang w:eastAsia="zh-CN"/>
        </w:rPr>
        <w:t>阳光金增利稳健天天购35号（30天最低持有）</w:t>
      </w:r>
      <w:r>
        <w:rPr>
          <w:rFonts w:hint="eastAsia" w:ascii="宋体" w:hAnsi="宋体" w:cs="宋体"/>
          <w:szCs w:val="21"/>
        </w:rPr>
        <w:t>”</w:t>
      </w:r>
      <w:bookmarkEnd w:id="0"/>
      <w:r>
        <w:rPr>
          <w:rFonts w:hint="eastAsia" w:ascii="宋体" w:hAnsi="宋体" w:cs="宋体"/>
          <w:szCs w:val="21"/>
        </w:rPr>
        <w:t>理财产品说明书》《光大理财“</w:t>
      </w:r>
      <w:r>
        <w:rPr>
          <w:rFonts w:hint="eastAsia" w:ascii="宋体" w:hAnsi="宋体" w:cs="宋体"/>
          <w:szCs w:val="21"/>
          <w:lang w:eastAsia="zh-CN"/>
        </w:rPr>
        <w:t>阳光金增利稳健天天购35号（30天最低持有）</w:t>
      </w:r>
      <w:r>
        <w:rPr>
          <w:rFonts w:hint="eastAsia" w:ascii="宋体" w:hAnsi="宋体" w:cs="宋体"/>
          <w:szCs w:val="21"/>
        </w:rPr>
        <w:t>”理财产品风险揭示书》《投资者权益须知》《理财产品投资协议书》</w:t>
      </w:r>
      <w:bookmarkStart w:id="1" w:name="_Hlk75178698"/>
      <w:r>
        <w:rPr>
          <w:rFonts w:hint="eastAsia" w:ascii="宋体" w:hAnsi="宋体" w:cs="宋体"/>
          <w:szCs w:val="21"/>
        </w:rPr>
        <w:t>《</w:t>
      </w:r>
      <w:r>
        <w:rPr>
          <w:rFonts w:hint="eastAsia" w:ascii="宋体" w:hAnsi="宋体"/>
          <w:color w:val="000000"/>
          <w:szCs w:val="21"/>
        </w:rPr>
        <w:t>销售（代理销售）协议书</w:t>
      </w:r>
      <w:r>
        <w:rPr>
          <w:rFonts w:hint="eastAsia" w:ascii="宋体" w:hAnsi="宋体" w:cs="宋体"/>
          <w:szCs w:val="21"/>
        </w:rPr>
        <w:t>》等</w:t>
      </w:r>
      <w:bookmarkEnd w:id="1"/>
      <w:r>
        <w:rPr>
          <w:rFonts w:hint="eastAsia" w:ascii="宋体" w:hAnsi="宋体" w:cs="宋体"/>
          <w:szCs w:val="21"/>
        </w:rPr>
        <w:t>共同构成本理财产品完整的不可分割的理财产品销售文件。</w:t>
      </w:r>
    </w:p>
    <w:p w14:paraId="0CBD2F4E">
      <w:pPr>
        <w:pStyle w:val="24"/>
        <w:numPr>
          <w:ilvl w:val="0"/>
          <w:numId w:val="2"/>
        </w:numPr>
        <w:spacing w:line="360" w:lineRule="auto"/>
        <w:ind w:left="-420" w:leftChars="-200" w:firstLineChars="0"/>
        <w:rPr>
          <w:rFonts w:ascii="宋体" w:hAnsi="宋体" w:cs="宋体"/>
          <w:szCs w:val="21"/>
        </w:rPr>
      </w:pPr>
      <w:r>
        <w:rPr>
          <w:rFonts w:hint="eastAsia" w:ascii="宋体" w:hAnsi="宋体" w:cs="宋体"/>
          <w:szCs w:val="21"/>
        </w:rPr>
        <w:t>本理财产品涉及的主要风险包括政策风险、信用风险、市场风险、流动性风险、管理风险、操作风险、产品不成立风险、兑付延期风险、提前终止风险、信息传递风险、销售风险</w:t>
      </w:r>
      <w:r>
        <w:rPr>
          <w:rFonts w:hint="eastAsia" w:ascii="宋体" w:hAnsi="宋体"/>
          <w:spacing w:val="-2"/>
          <w:szCs w:val="21"/>
        </w:rPr>
        <w:t>、关联关系及关联交易风险、投资者合规风险</w:t>
      </w:r>
      <w:r>
        <w:rPr>
          <w:rFonts w:hint="eastAsia" w:ascii="宋体" w:hAnsi="宋体" w:cs="宋体"/>
          <w:szCs w:val="21"/>
        </w:rPr>
        <w:t>及其他风险等。请仔细阅读《光大理财“</w:t>
      </w:r>
      <w:r>
        <w:rPr>
          <w:rFonts w:hint="eastAsia" w:ascii="宋体" w:hAnsi="宋体" w:cs="宋体"/>
          <w:szCs w:val="21"/>
          <w:lang w:eastAsia="zh-CN"/>
        </w:rPr>
        <w:t>阳光金增利稳健天天购35号（30天最低持有）</w:t>
      </w:r>
      <w:r>
        <w:rPr>
          <w:rFonts w:hint="eastAsia" w:ascii="宋体" w:hAnsi="宋体" w:cs="宋体"/>
          <w:szCs w:val="21"/>
        </w:rPr>
        <w:t>”理财产品风险揭示书》的“风险揭示”部分。</w:t>
      </w:r>
    </w:p>
    <w:p w14:paraId="4E16121A">
      <w:pPr>
        <w:pStyle w:val="24"/>
        <w:numPr>
          <w:ilvl w:val="0"/>
          <w:numId w:val="2"/>
        </w:numPr>
        <w:spacing w:line="360" w:lineRule="auto"/>
        <w:ind w:left="-420" w:leftChars="-200" w:firstLineChars="0"/>
        <w:rPr>
          <w:rFonts w:ascii="宋体" w:hAnsi="宋体" w:cs="宋体"/>
          <w:szCs w:val="21"/>
        </w:rPr>
      </w:pPr>
      <w:r>
        <w:rPr>
          <w:rFonts w:hint="eastAsia" w:ascii="宋体" w:hAnsi="宋体" w:cs="宋体"/>
          <w:szCs w:val="21"/>
        </w:rPr>
        <w:t>投资者不得使用贷款、发行债券等筹集的非自有资金投资本理财产品。</w:t>
      </w:r>
    </w:p>
    <w:p w14:paraId="74207FF3">
      <w:pPr>
        <w:pStyle w:val="26"/>
        <w:numPr>
          <w:ilvl w:val="0"/>
          <w:numId w:val="2"/>
        </w:numPr>
        <w:spacing w:line="360" w:lineRule="auto"/>
        <w:ind w:left="-420" w:leftChars="-200" w:firstLineChars="0"/>
        <w:rPr>
          <w:rFonts w:ascii="宋体" w:hAnsi="宋体" w:cs="宋体"/>
          <w:szCs w:val="21"/>
        </w:rPr>
      </w:pPr>
      <w:bookmarkStart w:id="2" w:name="_Hlk28677057"/>
      <w:r>
        <w:rPr>
          <w:rFonts w:hint="eastAsia" w:ascii="宋体" w:hAnsi="宋体" w:cs="宋体"/>
          <w:szCs w:val="21"/>
        </w:rPr>
        <w:t>本理财产品类型为</w:t>
      </w:r>
      <w:r>
        <w:rPr>
          <w:rFonts w:hint="eastAsia" w:ascii="宋体" w:hAnsi="宋体" w:cs="宋体"/>
          <w:b/>
          <w:bCs/>
          <w:szCs w:val="21"/>
          <w:u w:val="single"/>
        </w:rPr>
        <w:t>固定收益类，非保本浮动收益型</w:t>
      </w:r>
      <w:r>
        <w:rPr>
          <w:rFonts w:hint="eastAsia" w:ascii="宋体" w:hAnsi="宋体" w:cs="宋体"/>
          <w:szCs w:val="21"/>
        </w:rPr>
        <w:t>。若法律法规、国家监管政策或市场情况发生变化，光大理财在不改变产品类型的情况下，可对本说明书中已约定的投资范围、投资品种、投资比例以及收费项目、条件、标准、方式和收益分配原则进行调整。该调整事项将于生效前2个工作日通过产品管理人官方网站或销售服务机构网上销售平台进行书面公告以征求投资者意见。若本理财产品的投资者不接受上述调整（费率优惠除外），则应及时通过销售服务机构营业网点或网上销售平台赎回本产品（高风险类型的理财产品超出比例范围投资较低风险资产的情况除外）；若本理财产品投资者未赎回本产品，则视为本理财产品投资者对相关调整无异议并同意继续持有本理财产品。</w:t>
      </w:r>
      <w:bookmarkEnd w:id="2"/>
    </w:p>
    <w:p w14:paraId="18959F7D">
      <w:pPr>
        <w:pStyle w:val="24"/>
        <w:numPr>
          <w:ilvl w:val="0"/>
          <w:numId w:val="2"/>
        </w:numPr>
        <w:spacing w:line="360" w:lineRule="auto"/>
        <w:ind w:left="-24" w:leftChars="-200" w:hanging="396" w:hangingChars="189"/>
        <w:rPr>
          <w:rFonts w:ascii="宋体" w:hAnsi="宋体" w:cs="宋体"/>
          <w:szCs w:val="21"/>
        </w:rPr>
      </w:pPr>
      <w:r>
        <w:rPr>
          <w:rFonts w:hint="eastAsia" w:ascii="宋体" w:hAnsi="宋体" w:cs="宋体"/>
          <w:szCs w:val="21"/>
        </w:rPr>
        <w:t>在本产品存续期内，如因监管政策或法律法规发生变化，</w:t>
      </w:r>
      <w:r>
        <w:rPr>
          <w:rFonts w:hint="eastAsia"/>
        </w:rPr>
        <w:t>为了维持产品正常运作且在不实质损害投资者利益的前提下，</w:t>
      </w:r>
      <w:r>
        <w:rPr>
          <w:rFonts w:hint="eastAsia" w:ascii="宋体" w:hAnsi="宋体" w:cs="宋体"/>
          <w:szCs w:val="21"/>
        </w:rPr>
        <w:t>光大理财有权单方对本产品条款进行修订。</w:t>
      </w:r>
    </w:p>
    <w:p w14:paraId="4810E423">
      <w:pPr>
        <w:pStyle w:val="24"/>
        <w:numPr>
          <w:ilvl w:val="0"/>
          <w:numId w:val="2"/>
        </w:numPr>
        <w:spacing w:line="360" w:lineRule="auto"/>
        <w:ind w:left="-21" w:leftChars="-200" w:hanging="399" w:hangingChars="190"/>
        <w:rPr>
          <w:rFonts w:ascii="宋体" w:hAnsi="宋体" w:cs="宋体"/>
          <w:szCs w:val="21"/>
        </w:rPr>
      </w:pPr>
      <w:r>
        <w:rPr>
          <w:rFonts w:hint="eastAsia" w:ascii="宋体" w:hAnsi="宋体" w:cs="宋体"/>
          <w:szCs w:val="21"/>
        </w:rPr>
        <w:t>在购买本理财产品后，投资者应随时关注该理财产品的信息披露情况，及时获取相关信息。</w:t>
      </w:r>
    </w:p>
    <w:p w14:paraId="21F0948F">
      <w:pPr>
        <w:pStyle w:val="24"/>
        <w:numPr>
          <w:ilvl w:val="0"/>
          <w:numId w:val="2"/>
        </w:numPr>
        <w:spacing w:line="360" w:lineRule="auto"/>
        <w:ind w:left="-24" w:leftChars="-200" w:hanging="396" w:hangingChars="189"/>
        <w:rPr>
          <w:rFonts w:ascii="宋体" w:hAnsi="宋体" w:cs="宋体"/>
          <w:szCs w:val="21"/>
        </w:rPr>
      </w:pPr>
      <w:r>
        <w:rPr>
          <w:rFonts w:hint="eastAsia" w:ascii="宋体" w:hAnsi="宋体" w:cs="宋体"/>
          <w:szCs w:val="21"/>
        </w:rPr>
        <w:t>投资者通过销售服务机构或直接与光大理财签署理财产品投资协议书等销售文件后，销售服务机构或光大理财在划款时，不再通过任何方式与投资者进行最后确认，直接划款。</w:t>
      </w:r>
    </w:p>
    <w:p w14:paraId="65FD4111">
      <w:pPr>
        <w:pStyle w:val="24"/>
        <w:spacing w:line="360" w:lineRule="auto"/>
        <w:ind w:firstLine="0" w:firstLineChars="0"/>
        <w:jc w:val="left"/>
        <w:rPr>
          <w:rFonts w:ascii="宋体" w:hAnsi="宋体" w:cs="宋体"/>
          <w:sz w:val="22"/>
        </w:rPr>
      </w:pPr>
    </w:p>
    <w:p w14:paraId="521DFA42">
      <w:pPr>
        <w:spacing w:line="360" w:lineRule="auto"/>
        <w:jc w:val="center"/>
        <w:outlineLvl w:val="0"/>
        <w:rPr>
          <w:rFonts w:ascii="宋体" w:hAnsi="宋体" w:cs="宋体"/>
          <w:b/>
          <w:sz w:val="28"/>
          <w:szCs w:val="28"/>
        </w:rPr>
      </w:pPr>
      <w:r>
        <w:rPr>
          <w:rFonts w:hint="eastAsia" w:ascii="宋体" w:hAnsi="宋体" w:cs="宋体"/>
          <w:b/>
          <w:sz w:val="28"/>
          <w:szCs w:val="28"/>
        </w:rPr>
        <w:t>一、产品要素</w:t>
      </w:r>
    </w:p>
    <w:p w14:paraId="11395A24">
      <w:pPr>
        <w:spacing w:line="360" w:lineRule="auto"/>
        <w:ind w:firstLine="420" w:firstLineChars="200"/>
        <w:rPr>
          <w:rFonts w:ascii="宋体" w:hAnsi="宋体" w:cs="宋体"/>
          <w:szCs w:val="21"/>
        </w:rPr>
      </w:pPr>
      <w:r>
        <w:rPr>
          <w:rFonts w:hint="eastAsia" w:ascii="宋体" w:hAnsi="宋体" w:cs="宋体"/>
          <w:szCs w:val="21"/>
        </w:rPr>
        <w:t>为保护投资者合法权益，尊重投资者的知情权和自主选择权，现将本理财产品的基本条款说明如下：</w:t>
      </w:r>
    </w:p>
    <w:p w14:paraId="706A6316">
      <w:pPr>
        <w:spacing w:line="360" w:lineRule="auto"/>
        <w:ind w:firstLine="422" w:firstLineChars="200"/>
        <w:rPr>
          <w:rFonts w:ascii="宋体" w:hAnsi="宋体" w:cs="宋体"/>
          <w:b/>
          <w:szCs w:val="21"/>
        </w:rPr>
      </w:pPr>
      <w:r>
        <w:rPr>
          <w:rFonts w:hint="eastAsia" w:ascii="宋体" w:hAnsi="宋体" w:cs="宋体"/>
          <w:b/>
          <w:szCs w:val="21"/>
        </w:rPr>
        <w:t>▲▲特别说明：</w:t>
      </w:r>
    </w:p>
    <w:p w14:paraId="0BC9D67B">
      <w:pPr>
        <w:spacing w:line="360" w:lineRule="auto"/>
        <w:ind w:firstLine="422" w:firstLineChars="200"/>
        <w:rPr>
          <w:rFonts w:ascii="宋体" w:hAnsi="宋体" w:cs="宋体"/>
          <w:b/>
          <w:szCs w:val="21"/>
        </w:rPr>
      </w:pPr>
      <w:r>
        <w:rPr>
          <w:rFonts w:hint="eastAsia" w:ascii="宋体" w:hAnsi="宋体" w:cs="宋体"/>
          <w:b/>
          <w:szCs w:val="21"/>
        </w:rPr>
        <w:t>1、本产品划分为</w:t>
      </w:r>
      <w:r>
        <w:rPr>
          <w:rFonts w:hint="eastAsia" w:ascii="宋体" w:hAnsi="宋体" w:cs="宋体"/>
          <w:b/>
          <w:szCs w:val="21"/>
          <w:lang w:eastAsia="zh-Hans"/>
        </w:rPr>
        <w:t>不同</w:t>
      </w:r>
      <w:r>
        <w:rPr>
          <w:rFonts w:hint="eastAsia" w:ascii="宋体" w:hAnsi="宋体" w:cs="宋体"/>
          <w:b/>
          <w:szCs w:val="21"/>
        </w:rPr>
        <w:t>份额，</w:t>
      </w:r>
      <w:r>
        <w:rPr>
          <w:rFonts w:hint="eastAsia" w:ascii="宋体" w:hAnsi="宋体" w:cs="宋体"/>
          <w:b/>
          <w:szCs w:val="21"/>
          <w:lang w:eastAsia="zh-Hans"/>
        </w:rPr>
        <w:t>各类</w:t>
      </w:r>
      <w:r>
        <w:rPr>
          <w:rFonts w:hint="eastAsia" w:ascii="宋体" w:hAnsi="宋体" w:cs="宋体"/>
          <w:b/>
          <w:szCs w:val="21"/>
        </w:rPr>
        <w:t>份额的差异性约定将在本产品说明书中进行明确列举说明。除明确约定所适用份额类别的条款外，其他条款适用于全部类别份额。</w:t>
      </w:r>
    </w:p>
    <w:p w14:paraId="755CC0A3">
      <w:pPr>
        <w:spacing w:line="360" w:lineRule="auto"/>
        <w:ind w:firstLine="422" w:firstLineChars="200"/>
        <w:rPr>
          <w:rFonts w:ascii="宋体" w:hAnsi="宋体" w:cs="宋体"/>
          <w:b/>
          <w:szCs w:val="21"/>
        </w:rPr>
      </w:pPr>
      <w:r>
        <w:rPr>
          <w:rFonts w:hint="eastAsia" w:ascii="宋体" w:hAnsi="宋体" w:cs="宋体"/>
          <w:b/>
          <w:szCs w:val="21"/>
        </w:rPr>
        <w:t>2、投资者可通过本产品销售服务机构营业网点或网上销售平台展示的产品销售代码、销售名称确定拟购买的产品份额种类。</w:t>
      </w:r>
    </w:p>
    <w:p w14:paraId="4288A781">
      <w:pPr>
        <w:spacing w:line="360" w:lineRule="auto"/>
        <w:ind w:firstLine="422" w:firstLineChars="200"/>
        <w:rPr>
          <w:rFonts w:ascii="宋体" w:hAnsi="宋体" w:cs="宋体"/>
          <w:b/>
          <w:szCs w:val="21"/>
        </w:rPr>
      </w:pPr>
      <w:r>
        <w:rPr>
          <w:rFonts w:hint="eastAsia" w:ascii="宋体" w:hAnsi="宋体" w:cs="宋体"/>
          <w:b/>
          <w:szCs w:val="21"/>
        </w:rPr>
        <w:t>3.理财产品份额分类是指，根据销售服务机构对不同客群设置的各类差异化销售安排，对本产品份额进行的区分。具体销售客群信息以销售服务机构设定为准。各类产品份额分设不同的销售名称及销售代码，分别设置销售服务费率、认（申）购金额与赎回份额，并分别计算和公布产品份额净值和份额累计净值。</w:t>
      </w:r>
    </w:p>
    <w:tbl>
      <w:tblPr>
        <w:tblStyle w:val="10"/>
        <w:tblW w:w="932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5"/>
        <w:gridCol w:w="1417"/>
        <w:gridCol w:w="1560"/>
        <w:gridCol w:w="595"/>
        <w:gridCol w:w="1901"/>
        <w:gridCol w:w="2040"/>
      </w:tblGrid>
      <w:tr w14:paraId="0D3F7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1815" w:type="dxa"/>
            <w:vAlign w:val="center"/>
          </w:tcPr>
          <w:p w14:paraId="33C0C98A">
            <w:pPr>
              <w:widowControl/>
              <w:spacing w:line="300" w:lineRule="atLeast"/>
              <w:jc w:val="center"/>
              <w:textAlignment w:val="top"/>
              <w:rPr>
                <w:rFonts w:ascii="宋体" w:hAnsi="宋体" w:cs="宋体"/>
                <w:b/>
                <w:szCs w:val="21"/>
                <w:highlight w:val="none"/>
              </w:rPr>
            </w:pPr>
            <w:r>
              <w:rPr>
                <w:rFonts w:hint="eastAsia" w:ascii="宋体" w:hAnsi="宋体" w:cs="宋体"/>
                <w:b/>
                <w:szCs w:val="21"/>
                <w:highlight w:val="none"/>
              </w:rPr>
              <w:t>产品名称</w:t>
            </w:r>
          </w:p>
        </w:tc>
        <w:tc>
          <w:tcPr>
            <w:tcW w:w="7513" w:type="dxa"/>
            <w:gridSpan w:val="5"/>
            <w:vAlign w:val="center"/>
          </w:tcPr>
          <w:p w14:paraId="47EEDB72">
            <w:pPr>
              <w:widowControl/>
              <w:spacing w:line="300" w:lineRule="atLeast"/>
              <w:jc w:val="center"/>
              <w:textAlignment w:val="top"/>
              <w:rPr>
                <w:rFonts w:hint="eastAsia" w:ascii="宋体" w:hAnsi="宋体" w:eastAsia="宋体" w:cs="宋体"/>
                <w:szCs w:val="21"/>
                <w:highlight w:val="none"/>
                <w:lang w:eastAsia="zh-CN"/>
              </w:rPr>
            </w:pPr>
            <w:r>
              <w:rPr>
                <w:rFonts w:hint="eastAsia" w:ascii="宋体" w:hAnsi="宋体" w:cs="宋体"/>
                <w:szCs w:val="21"/>
                <w:highlight w:val="none"/>
                <w:lang w:eastAsia="zh-CN"/>
              </w:rPr>
              <w:t>阳光金增利稳健天天购35号（30天最低持有）</w:t>
            </w:r>
          </w:p>
        </w:tc>
      </w:tr>
      <w:tr w14:paraId="47580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01F1508C">
            <w:pPr>
              <w:widowControl/>
              <w:spacing w:line="300" w:lineRule="atLeast"/>
              <w:jc w:val="center"/>
              <w:textAlignment w:val="top"/>
              <w:rPr>
                <w:rFonts w:ascii="宋体" w:hAnsi="宋体" w:cs="宋体"/>
                <w:b/>
                <w:szCs w:val="21"/>
                <w:highlight w:val="none"/>
              </w:rPr>
            </w:pPr>
            <w:r>
              <w:rPr>
                <w:rFonts w:hint="eastAsia" w:ascii="宋体" w:hAnsi="宋体" w:cs="宋体"/>
                <w:b/>
                <w:kern w:val="0"/>
                <w:szCs w:val="21"/>
                <w:highlight w:val="none"/>
              </w:rPr>
              <w:t>产品编号</w:t>
            </w:r>
          </w:p>
        </w:tc>
        <w:tc>
          <w:tcPr>
            <w:tcW w:w="7513" w:type="dxa"/>
            <w:gridSpan w:val="5"/>
            <w:vAlign w:val="center"/>
          </w:tcPr>
          <w:p w14:paraId="56636F25">
            <w:pPr>
              <w:widowControl/>
              <w:spacing w:line="300" w:lineRule="atLeast"/>
              <w:jc w:val="center"/>
              <w:textAlignment w:val="top"/>
              <w:rPr>
                <w:rFonts w:hint="eastAsia" w:ascii="宋体" w:hAnsi="宋体" w:eastAsia="宋体" w:cs="宋体"/>
                <w:szCs w:val="21"/>
                <w:highlight w:val="none"/>
                <w:lang w:eastAsia="zh-CN"/>
              </w:rPr>
            </w:pPr>
            <w:r>
              <w:rPr>
                <w:rFonts w:hint="eastAsia" w:ascii="宋体" w:hAnsi="宋体" w:cs="宋体"/>
                <w:szCs w:val="21"/>
                <w:highlight w:val="none"/>
                <w:lang w:eastAsia="zh-CN"/>
              </w:rPr>
              <w:t>EW5932</w:t>
            </w:r>
          </w:p>
        </w:tc>
      </w:tr>
      <w:tr w14:paraId="4AB38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138BA237">
            <w:pPr>
              <w:widowControl/>
              <w:spacing w:line="300" w:lineRule="atLeast"/>
              <w:jc w:val="center"/>
              <w:textAlignment w:val="top"/>
              <w:rPr>
                <w:rFonts w:ascii="宋体" w:hAnsi="宋体" w:cs="宋体"/>
                <w:b/>
                <w:kern w:val="0"/>
                <w:szCs w:val="21"/>
                <w:highlight w:val="none"/>
              </w:rPr>
            </w:pPr>
            <w:r>
              <w:rPr>
                <w:rFonts w:hint="eastAsia" w:ascii="宋体" w:hAnsi="宋体" w:cs="宋体"/>
                <w:b/>
                <w:kern w:val="0"/>
                <w:szCs w:val="21"/>
                <w:highlight w:val="none"/>
              </w:rPr>
              <w:t>理财产品</w:t>
            </w:r>
          </w:p>
          <w:p w14:paraId="2F2D7217">
            <w:pPr>
              <w:widowControl/>
              <w:spacing w:line="300" w:lineRule="atLeast"/>
              <w:jc w:val="center"/>
              <w:textAlignment w:val="top"/>
              <w:rPr>
                <w:rFonts w:ascii="宋体" w:hAnsi="宋体" w:cs="宋体"/>
                <w:b/>
                <w:kern w:val="0"/>
                <w:szCs w:val="21"/>
                <w:highlight w:val="none"/>
              </w:rPr>
            </w:pPr>
            <w:r>
              <w:rPr>
                <w:rFonts w:hint="eastAsia" w:ascii="宋体" w:hAnsi="宋体" w:cs="宋体"/>
                <w:b/>
                <w:kern w:val="0"/>
                <w:szCs w:val="21"/>
                <w:highlight w:val="none"/>
              </w:rPr>
              <w:t>登记编码</w:t>
            </w:r>
          </w:p>
        </w:tc>
        <w:tc>
          <w:tcPr>
            <w:tcW w:w="7513" w:type="dxa"/>
            <w:gridSpan w:val="5"/>
            <w:vAlign w:val="center"/>
          </w:tcPr>
          <w:p w14:paraId="398C1E58">
            <w:pPr>
              <w:widowControl/>
              <w:spacing w:line="300" w:lineRule="atLeast"/>
              <w:jc w:val="center"/>
              <w:textAlignment w:val="top"/>
              <w:rPr>
                <w:rFonts w:hint="default" w:ascii="宋体" w:hAnsi="宋体" w:eastAsia="宋体" w:cs="宋体"/>
                <w:szCs w:val="21"/>
                <w:highlight w:val="none"/>
                <w:lang w:val="en-US" w:eastAsia="zh-CN"/>
              </w:rPr>
            </w:pPr>
            <w:r>
              <w:rPr>
                <w:rFonts w:hint="default" w:ascii="宋体" w:hAnsi="宋体" w:eastAsia="宋体" w:cs="宋体"/>
                <w:szCs w:val="21"/>
                <w:highlight w:val="none"/>
                <w:lang w:val="en-US" w:eastAsia="zh-CN"/>
              </w:rPr>
              <w:t>Z7001425001</w:t>
            </w:r>
            <w:r>
              <w:rPr>
                <w:rFonts w:hint="eastAsia" w:ascii="宋体" w:hAnsi="宋体" w:cs="宋体"/>
                <w:szCs w:val="21"/>
                <w:highlight w:val="none"/>
                <w:lang w:val="en-US" w:eastAsia="zh-CN"/>
              </w:rPr>
              <w:t>935</w:t>
            </w:r>
          </w:p>
          <w:p w14:paraId="0EB9DA9B">
            <w:pPr>
              <w:widowControl/>
              <w:spacing w:line="300" w:lineRule="atLeast"/>
              <w:textAlignment w:val="top"/>
              <w:rPr>
                <w:rFonts w:ascii="宋体" w:hAnsi="宋体" w:cs="宋体"/>
                <w:kern w:val="0"/>
                <w:szCs w:val="21"/>
                <w:highlight w:val="none"/>
              </w:rPr>
            </w:pPr>
            <w:r>
              <w:rPr>
                <w:rFonts w:hint="eastAsia" w:ascii="宋体" w:hAnsi="宋体" w:cs="宋体"/>
                <w:szCs w:val="21"/>
                <w:highlight w:val="none"/>
              </w:rPr>
              <w:t>（投资者可依据该编码在中国理财网www.chinawealth.com.cn查询产品信息）</w:t>
            </w:r>
          </w:p>
        </w:tc>
      </w:tr>
      <w:tr w14:paraId="259B3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815" w:type="dxa"/>
            <w:vMerge w:val="restart"/>
            <w:vAlign w:val="center"/>
          </w:tcPr>
          <w:p w14:paraId="1BCF28B3">
            <w:pPr>
              <w:widowControl/>
              <w:spacing w:line="300" w:lineRule="atLeast"/>
              <w:jc w:val="center"/>
              <w:textAlignment w:val="top"/>
              <w:rPr>
                <w:rFonts w:ascii="宋体" w:hAnsi="宋体" w:cs="宋体"/>
                <w:b/>
                <w:kern w:val="0"/>
                <w:szCs w:val="21"/>
                <w:highlight w:val="none"/>
              </w:rPr>
            </w:pPr>
            <w:r>
              <w:rPr>
                <w:rFonts w:hint="eastAsia" w:ascii="宋体" w:hAnsi="宋体" w:cs="宋体"/>
                <w:b/>
                <w:kern w:val="0"/>
                <w:szCs w:val="21"/>
                <w:highlight w:val="none"/>
              </w:rPr>
              <w:br w:type="textWrapping"/>
            </w:r>
            <w:r>
              <w:rPr>
                <w:rFonts w:hint="eastAsia" w:ascii="宋体" w:hAnsi="宋体" w:cs="宋体"/>
                <w:b/>
                <w:kern w:val="0"/>
                <w:szCs w:val="21"/>
                <w:highlight w:val="none"/>
              </w:rPr>
              <w:br w:type="textWrapping"/>
            </w:r>
            <w:r>
              <w:rPr>
                <w:rFonts w:hint="eastAsia" w:ascii="宋体" w:hAnsi="宋体" w:cs="宋体"/>
                <w:b/>
                <w:kern w:val="0"/>
                <w:szCs w:val="21"/>
                <w:highlight w:val="none"/>
              </w:rPr>
              <w:br w:type="textWrapping"/>
            </w:r>
            <w:r>
              <w:rPr>
                <w:rFonts w:hint="eastAsia" w:ascii="宋体" w:hAnsi="宋体" w:cs="宋体"/>
                <w:b/>
                <w:kern w:val="0"/>
                <w:szCs w:val="21"/>
                <w:highlight w:val="none"/>
              </w:rPr>
              <w:br w:type="textWrapping"/>
            </w:r>
            <w:r>
              <w:rPr>
                <w:rFonts w:hint="eastAsia" w:ascii="宋体" w:hAnsi="宋体" w:cs="宋体"/>
                <w:b/>
                <w:kern w:val="0"/>
                <w:szCs w:val="21"/>
                <w:highlight w:val="none"/>
              </w:rPr>
              <w:t>份额分类</w:t>
            </w:r>
          </w:p>
        </w:tc>
        <w:tc>
          <w:tcPr>
            <w:tcW w:w="1417" w:type="dxa"/>
            <w:vAlign w:val="center"/>
          </w:tcPr>
          <w:p w14:paraId="050E207F">
            <w:pPr>
              <w:widowControl/>
              <w:spacing w:line="300" w:lineRule="atLeast"/>
              <w:jc w:val="center"/>
              <w:textAlignment w:val="top"/>
              <w:rPr>
                <w:rFonts w:ascii="宋体" w:hAnsi="宋体" w:cs="宋体"/>
                <w:szCs w:val="21"/>
                <w:highlight w:val="none"/>
              </w:rPr>
            </w:pPr>
            <w:r>
              <w:rPr>
                <w:rFonts w:hint="eastAsia" w:ascii="宋体" w:hAnsi="宋体" w:cs="宋体"/>
                <w:kern w:val="0"/>
                <w:szCs w:val="21"/>
                <w:highlight w:val="none"/>
              </w:rPr>
              <w:t>份额名称</w:t>
            </w:r>
          </w:p>
        </w:tc>
        <w:tc>
          <w:tcPr>
            <w:tcW w:w="1560" w:type="dxa"/>
            <w:vAlign w:val="center"/>
          </w:tcPr>
          <w:p w14:paraId="59E414A2">
            <w:pPr>
              <w:widowControl/>
              <w:spacing w:line="300" w:lineRule="atLeast"/>
              <w:jc w:val="center"/>
              <w:textAlignment w:val="top"/>
              <w:rPr>
                <w:rFonts w:ascii="宋体" w:hAnsi="宋体" w:cs="宋体"/>
                <w:szCs w:val="21"/>
                <w:highlight w:val="none"/>
              </w:rPr>
            </w:pPr>
            <w:r>
              <w:rPr>
                <w:rFonts w:hint="eastAsia" w:ascii="宋体" w:hAnsi="宋体" w:cs="宋体"/>
                <w:kern w:val="0"/>
                <w:szCs w:val="21"/>
                <w:highlight w:val="none"/>
              </w:rPr>
              <w:t>销售代码</w:t>
            </w:r>
          </w:p>
        </w:tc>
        <w:tc>
          <w:tcPr>
            <w:tcW w:w="2496" w:type="dxa"/>
            <w:gridSpan w:val="2"/>
            <w:vAlign w:val="center"/>
          </w:tcPr>
          <w:p w14:paraId="31A6CE11">
            <w:pPr>
              <w:widowControl/>
              <w:spacing w:line="300" w:lineRule="atLeast"/>
              <w:jc w:val="center"/>
              <w:textAlignment w:val="top"/>
              <w:rPr>
                <w:rFonts w:ascii="宋体" w:hAnsi="宋体" w:cs="宋体"/>
                <w:szCs w:val="21"/>
                <w:highlight w:val="none"/>
              </w:rPr>
            </w:pPr>
            <w:r>
              <w:rPr>
                <w:rFonts w:hint="eastAsia" w:ascii="宋体" w:hAnsi="宋体" w:cs="宋体"/>
                <w:kern w:val="0"/>
                <w:szCs w:val="21"/>
                <w:highlight w:val="none"/>
              </w:rPr>
              <w:t>销售名称</w:t>
            </w:r>
          </w:p>
        </w:tc>
        <w:tc>
          <w:tcPr>
            <w:tcW w:w="2040" w:type="dxa"/>
            <w:vAlign w:val="center"/>
          </w:tcPr>
          <w:p w14:paraId="53EAC6A7">
            <w:pPr>
              <w:widowControl/>
              <w:spacing w:line="300" w:lineRule="atLeast"/>
              <w:jc w:val="center"/>
              <w:textAlignment w:val="top"/>
              <w:rPr>
                <w:rFonts w:ascii="宋体" w:hAnsi="宋体" w:cs="宋体"/>
                <w:szCs w:val="21"/>
                <w:highlight w:val="none"/>
              </w:rPr>
            </w:pPr>
            <w:r>
              <w:rPr>
                <w:rFonts w:hint="eastAsia" w:ascii="宋体" w:hAnsi="宋体" w:cs="宋体"/>
                <w:kern w:val="0"/>
                <w:szCs w:val="21"/>
                <w:highlight w:val="none"/>
              </w:rPr>
              <w:t>销售客群</w:t>
            </w:r>
          </w:p>
        </w:tc>
      </w:tr>
      <w:tr w14:paraId="5DAFB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815" w:type="dxa"/>
            <w:vMerge w:val="continue"/>
            <w:vAlign w:val="center"/>
          </w:tcPr>
          <w:p w14:paraId="73A25988">
            <w:pPr>
              <w:widowControl/>
              <w:spacing w:line="300" w:lineRule="atLeast"/>
              <w:jc w:val="center"/>
              <w:textAlignment w:val="top"/>
              <w:rPr>
                <w:rFonts w:ascii="宋体" w:hAnsi="宋体" w:cs="宋体"/>
                <w:b/>
                <w:kern w:val="0"/>
                <w:szCs w:val="21"/>
                <w:highlight w:val="none"/>
              </w:rPr>
            </w:pPr>
          </w:p>
        </w:tc>
        <w:tc>
          <w:tcPr>
            <w:tcW w:w="1417" w:type="dxa"/>
            <w:vAlign w:val="center"/>
          </w:tcPr>
          <w:p w14:paraId="51830F1D">
            <w:pPr>
              <w:widowControl/>
              <w:spacing w:line="300" w:lineRule="atLeast"/>
              <w:jc w:val="center"/>
              <w:textAlignment w:val="top"/>
              <w:rPr>
                <w:rFonts w:ascii="宋体" w:hAnsi="宋体" w:cs="宋体"/>
                <w:kern w:val="0"/>
                <w:szCs w:val="21"/>
                <w:highlight w:val="none"/>
              </w:rPr>
            </w:pPr>
            <w:r>
              <w:rPr>
                <w:rFonts w:hint="eastAsia" w:ascii="宋体" w:hAnsi="宋体" w:cs="宋体"/>
                <w:kern w:val="0"/>
                <w:szCs w:val="21"/>
                <w:highlight w:val="none"/>
                <w:lang w:val="en-US" w:eastAsia="zh-CN"/>
              </w:rPr>
              <w:t>D</w:t>
            </w:r>
            <w:r>
              <w:rPr>
                <w:rFonts w:hint="eastAsia" w:ascii="宋体" w:hAnsi="宋体" w:cs="宋体"/>
                <w:kern w:val="0"/>
                <w:szCs w:val="21"/>
                <w:highlight w:val="none"/>
              </w:rPr>
              <w:t>类份额</w:t>
            </w:r>
          </w:p>
        </w:tc>
        <w:tc>
          <w:tcPr>
            <w:tcW w:w="1560" w:type="dxa"/>
            <w:vAlign w:val="center"/>
          </w:tcPr>
          <w:p w14:paraId="2AEF6ACD">
            <w:pPr>
              <w:widowControl/>
              <w:spacing w:line="300" w:lineRule="atLeast"/>
              <w:jc w:val="center"/>
              <w:textAlignment w:val="top"/>
              <w:rPr>
                <w:rFonts w:ascii="宋体" w:hAnsi="宋体" w:cs="宋体"/>
                <w:kern w:val="0"/>
                <w:szCs w:val="21"/>
                <w:highlight w:val="none"/>
              </w:rPr>
            </w:pPr>
            <w:r>
              <w:rPr>
                <w:rFonts w:hint="eastAsia" w:ascii="宋体" w:hAnsi="宋体" w:cs="宋体"/>
                <w:kern w:val="0"/>
                <w:szCs w:val="21"/>
                <w:highlight w:val="none"/>
                <w:lang w:eastAsia="zh-CN"/>
              </w:rPr>
              <w:t>EW5932</w:t>
            </w:r>
            <w:r>
              <w:rPr>
                <w:rFonts w:hint="eastAsia" w:ascii="宋体" w:hAnsi="宋体" w:cs="宋体"/>
                <w:kern w:val="0"/>
                <w:szCs w:val="21"/>
                <w:highlight w:val="none"/>
              </w:rPr>
              <w:t>D</w:t>
            </w:r>
          </w:p>
        </w:tc>
        <w:tc>
          <w:tcPr>
            <w:tcW w:w="2496" w:type="dxa"/>
            <w:gridSpan w:val="2"/>
            <w:vAlign w:val="center"/>
          </w:tcPr>
          <w:p w14:paraId="64F85B80">
            <w:pPr>
              <w:widowControl/>
              <w:spacing w:line="300" w:lineRule="atLeast"/>
              <w:jc w:val="center"/>
              <w:textAlignment w:val="top"/>
              <w:rPr>
                <w:rFonts w:ascii="宋体" w:hAnsi="宋体" w:cs="宋体"/>
                <w:szCs w:val="21"/>
                <w:highlight w:val="none"/>
              </w:rPr>
            </w:pPr>
            <w:r>
              <w:rPr>
                <w:rFonts w:hint="eastAsia" w:ascii="宋体" w:hAnsi="宋体" w:cs="宋体"/>
                <w:szCs w:val="21"/>
                <w:highlight w:val="none"/>
                <w:lang w:eastAsia="zh-CN"/>
              </w:rPr>
              <w:t>阳光金增利稳健天天购35号（30天最低持有）</w:t>
            </w:r>
            <w:r>
              <w:rPr>
                <w:rFonts w:hint="eastAsia" w:ascii="宋体" w:hAnsi="宋体" w:cs="宋体"/>
                <w:szCs w:val="21"/>
                <w:highlight w:val="none"/>
              </w:rPr>
              <w:t>D</w:t>
            </w:r>
          </w:p>
        </w:tc>
        <w:tc>
          <w:tcPr>
            <w:tcW w:w="2040" w:type="dxa"/>
            <w:vAlign w:val="center"/>
          </w:tcPr>
          <w:p w14:paraId="1AD1EF69">
            <w:pPr>
              <w:widowControl/>
              <w:spacing w:line="300" w:lineRule="atLeast"/>
              <w:jc w:val="center"/>
              <w:textAlignment w:val="top"/>
              <w:rPr>
                <w:rFonts w:ascii="宋体" w:hAnsi="宋体" w:cs="宋体"/>
                <w:kern w:val="0"/>
                <w:szCs w:val="21"/>
                <w:highlight w:val="none"/>
              </w:rPr>
            </w:pPr>
            <w:r>
              <w:rPr>
                <w:rFonts w:hint="eastAsia" w:ascii="宋体" w:hAnsi="宋体" w:cs="宋体"/>
                <w:kern w:val="0"/>
                <w:szCs w:val="21"/>
                <w:highlight w:val="none"/>
                <w:lang w:val="en-US" w:eastAsia="zh-CN"/>
              </w:rPr>
              <w:t>D</w:t>
            </w:r>
            <w:r>
              <w:rPr>
                <w:rFonts w:hint="eastAsia" w:ascii="宋体" w:hAnsi="宋体" w:cs="宋体"/>
                <w:kern w:val="0"/>
                <w:szCs w:val="21"/>
                <w:highlight w:val="none"/>
              </w:rPr>
              <w:t>类份额客户</w:t>
            </w:r>
          </w:p>
        </w:tc>
      </w:tr>
      <w:tr w14:paraId="79CF7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815" w:type="dxa"/>
            <w:vMerge w:val="continue"/>
            <w:vAlign w:val="center"/>
          </w:tcPr>
          <w:p w14:paraId="5EB85103">
            <w:pPr>
              <w:widowControl/>
              <w:spacing w:line="300" w:lineRule="atLeast"/>
              <w:jc w:val="center"/>
              <w:textAlignment w:val="top"/>
              <w:rPr>
                <w:rFonts w:ascii="宋体" w:hAnsi="宋体" w:cs="宋体"/>
                <w:b/>
                <w:kern w:val="0"/>
                <w:szCs w:val="21"/>
                <w:highlight w:val="none"/>
              </w:rPr>
            </w:pPr>
            <w:bookmarkStart w:id="3" w:name="OLE_LINK19" w:colFirst="1" w:colLast="1"/>
          </w:p>
        </w:tc>
        <w:tc>
          <w:tcPr>
            <w:tcW w:w="1417" w:type="dxa"/>
            <w:shd w:val="clear" w:color="auto" w:fill="auto"/>
            <w:vAlign w:val="center"/>
          </w:tcPr>
          <w:p w14:paraId="5EB335CD">
            <w:pPr>
              <w:widowControl/>
              <w:spacing w:line="300" w:lineRule="atLeast"/>
              <w:jc w:val="center"/>
              <w:textAlignment w:val="top"/>
              <w:rPr>
                <w:rFonts w:hint="eastAsia" w:ascii="宋体" w:hAnsi="宋体" w:cs="宋体"/>
                <w:kern w:val="0"/>
                <w:szCs w:val="21"/>
                <w:highlight w:val="none"/>
                <w:lang w:val="en-US" w:eastAsia="zh-CN"/>
              </w:rPr>
            </w:pPr>
            <w:r>
              <w:rPr>
                <w:rFonts w:hint="eastAsia" w:ascii="宋体" w:hAnsi="宋体" w:cs="宋体"/>
                <w:kern w:val="0"/>
                <w:szCs w:val="21"/>
                <w:highlight w:val="none"/>
                <w:lang w:val="en-US" w:eastAsia="zh-CN"/>
              </w:rPr>
              <w:t>I类</w:t>
            </w:r>
            <w:r>
              <w:rPr>
                <w:rFonts w:hint="eastAsia" w:ascii="宋体" w:hAnsi="宋体" w:cs="宋体"/>
                <w:kern w:val="0"/>
                <w:szCs w:val="21"/>
                <w:highlight w:val="none"/>
              </w:rPr>
              <w:t>份额</w:t>
            </w:r>
          </w:p>
        </w:tc>
        <w:tc>
          <w:tcPr>
            <w:tcW w:w="1560" w:type="dxa"/>
            <w:shd w:val="clear" w:color="auto" w:fill="auto"/>
            <w:vAlign w:val="center"/>
          </w:tcPr>
          <w:p w14:paraId="2343FF43">
            <w:pPr>
              <w:widowControl/>
              <w:spacing w:line="300" w:lineRule="atLeast"/>
              <w:jc w:val="center"/>
              <w:textAlignment w:val="top"/>
              <w:rPr>
                <w:rFonts w:hint="eastAsia" w:ascii="宋体" w:hAnsi="宋体" w:cs="宋体"/>
                <w:kern w:val="0"/>
                <w:szCs w:val="21"/>
                <w:highlight w:val="none"/>
                <w:lang w:eastAsia="zh-CN"/>
              </w:rPr>
            </w:pPr>
            <w:r>
              <w:rPr>
                <w:rFonts w:hint="eastAsia" w:ascii="宋体" w:hAnsi="宋体" w:cs="宋体"/>
                <w:kern w:val="0"/>
                <w:szCs w:val="21"/>
                <w:highlight w:val="none"/>
                <w:lang w:eastAsia="zh-CN"/>
              </w:rPr>
              <w:t>EW5932</w:t>
            </w:r>
            <w:r>
              <w:rPr>
                <w:rFonts w:hint="eastAsia" w:ascii="宋体" w:hAnsi="宋体" w:cs="宋体"/>
                <w:kern w:val="0"/>
                <w:szCs w:val="21"/>
                <w:highlight w:val="none"/>
                <w:lang w:val="en-US" w:eastAsia="zh-CN"/>
              </w:rPr>
              <w:t>I</w:t>
            </w:r>
          </w:p>
        </w:tc>
        <w:tc>
          <w:tcPr>
            <w:tcW w:w="2496" w:type="dxa"/>
            <w:gridSpan w:val="2"/>
            <w:shd w:val="clear" w:color="auto" w:fill="auto"/>
            <w:vAlign w:val="center"/>
          </w:tcPr>
          <w:p w14:paraId="59C94D82">
            <w:pPr>
              <w:widowControl/>
              <w:spacing w:line="300" w:lineRule="atLeast"/>
              <w:jc w:val="center"/>
              <w:textAlignment w:val="top"/>
              <w:rPr>
                <w:rFonts w:hint="eastAsia" w:ascii="宋体" w:hAnsi="宋体" w:cs="宋体"/>
                <w:szCs w:val="21"/>
                <w:highlight w:val="none"/>
                <w:lang w:eastAsia="zh-CN"/>
              </w:rPr>
            </w:pPr>
            <w:r>
              <w:rPr>
                <w:rFonts w:hint="eastAsia" w:ascii="宋体" w:hAnsi="宋体" w:cs="宋体"/>
                <w:szCs w:val="21"/>
                <w:highlight w:val="none"/>
                <w:lang w:eastAsia="zh-CN"/>
              </w:rPr>
              <w:t>阳光金增利稳健天天购35号（30天最低持有）</w:t>
            </w:r>
            <w:r>
              <w:rPr>
                <w:rFonts w:hint="eastAsia" w:ascii="宋体" w:hAnsi="宋体" w:cs="宋体"/>
                <w:szCs w:val="21"/>
                <w:highlight w:val="none"/>
                <w:lang w:val="en-US" w:eastAsia="zh-CN"/>
              </w:rPr>
              <w:t>I</w:t>
            </w:r>
          </w:p>
        </w:tc>
        <w:tc>
          <w:tcPr>
            <w:tcW w:w="2040" w:type="dxa"/>
            <w:shd w:val="clear" w:color="auto" w:fill="auto"/>
            <w:vAlign w:val="center"/>
          </w:tcPr>
          <w:p w14:paraId="554B31E9">
            <w:pPr>
              <w:widowControl/>
              <w:spacing w:line="300" w:lineRule="atLeast"/>
              <w:jc w:val="center"/>
              <w:textAlignment w:val="top"/>
              <w:rPr>
                <w:rFonts w:hint="eastAsia" w:ascii="宋体" w:hAnsi="宋体" w:cs="宋体"/>
                <w:kern w:val="0"/>
                <w:szCs w:val="21"/>
                <w:highlight w:val="none"/>
                <w:lang w:val="en-US" w:eastAsia="zh-CN"/>
              </w:rPr>
            </w:pPr>
            <w:r>
              <w:rPr>
                <w:rFonts w:hint="eastAsia" w:ascii="宋体" w:hAnsi="宋体" w:cs="宋体"/>
                <w:kern w:val="0"/>
                <w:szCs w:val="21"/>
                <w:highlight w:val="none"/>
                <w:lang w:val="en-US" w:eastAsia="zh-CN"/>
              </w:rPr>
              <w:t>I类</w:t>
            </w:r>
            <w:r>
              <w:rPr>
                <w:rFonts w:hint="eastAsia" w:ascii="宋体" w:hAnsi="宋体" w:cs="宋体"/>
                <w:kern w:val="0"/>
                <w:szCs w:val="21"/>
                <w:highlight w:val="none"/>
              </w:rPr>
              <w:t>份额客户</w:t>
            </w:r>
          </w:p>
        </w:tc>
      </w:tr>
      <w:tr w14:paraId="645D7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35CAE70C">
            <w:pPr>
              <w:widowControl/>
              <w:spacing w:line="300" w:lineRule="atLeast"/>
              <w:jc w:val="center"/>
              <w:textAlignment w:val="top"/>
              <w:rPr>
                <w:rFonts w:ascii="宋体" w:hAnsi="宋体" w:cs="宋体"/>
                <w:b/>
                <w:szCs w:val="21"/>
                <w:highlight w:val="none"/>
              </w:rPr>
            </w:pPr>
            <w:r>
              <w:rPr>
                <w:rFonts w:hint="eastAsia" w:ascii="宋体" w:hAnsi="宋体" w:cs="宋体"/>
                <w:b/>
                <w:szCs w:val="21"/>
                <w:highlight w:val="none"/>
              </w:rPr>
              <w:t>产品管理人</w:t>
            </w:r>
          </w:p>
        </w:tc>
        <w:tc>
          <w:tcPr>
            <w:tcW w:w="7513" w:type="dxa"/>
            <w:gridSpan w:val="5"/>
            <w:vAlign w:val="center"/>
          </w:tcPr>
          <w:p w14:paraId="1E566D5A">
            <w:pPr>
              <w:widowControl/>
              <w:spacing w:line="300" w:lineRule="atLeast"/>
              <w:jc w:val="center"/>
              <w:textAlignment w:val="top"/>
              <w:rPr>
                <w:rFonts w:ascii="宋体" w:hAnsi="宋体" w:cs="宋体"/>
                <w:kern w:val="0"/>
                <w:szCs w:val="21"/>
                <w:highlight w:val="none"/>
              </w:rPr>
            </w:pPr>
            <w:r>
              <w:rPr>
                <w:rFonts w:hint="eastAsia" w:ascii="宋体" w:hAnsi="宋体" w:cs="宋体"/>
                <w:szCs w:val="21"/>
                <w:highlight w:val="none"/>
              </w:rPr>
              <w:t>光大理财有限责任公司</w:t>
            </w:r>
          </w:p>
        </w:tc>
      </w:tr>
      <w:tr w14:paraId="0B758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815" w:type="dxa"/>
            <w:vAlign w:val="center"/>
          </w:tcPr>
          <w:p w14:paraId="110457A2">
            <w:pPr>
              <w:widowControl/>
              <w:spacing w:line="300" w:lineRule="atLeast"/>
              <w:jc w:val="center"/>
              <w:textAlignment w:val="top"/>
              <w:rPr>
                <w:rFonts w:ascii="宋体" w:hAnsi="宋体" w:cs="宋体"/>
                <w:b/>
                <w:szCs w:val="21"/>
                <w:highlight w:val="none"/>
              </w:rPr>
            </w:pPr>
            <w:r>
              <w:rPr>
                <w:rFonts w:hint="eastAsia" w:ascii="宋体" w:hAnsi="宋体" w:cs="宋体"/>
                <w:b/>
                <w:szCs w:val="21"/>
                <w:highlight w:val="none"/>
              </w:rPr>
              <w:t>产品托管人</w:t>
            </w:r>
          </w:p>
        </w:tc>
        <w:tc>
          <w:tcPr>
            <w:tcW w:w="7513" w:type="dxa"/>
            <w:gridSpan w:val="5"/>
            <w:vAlign w:val="center"/>
          </w:tcPr>
          <w:p w14:paraId="487835A4">
            <w:pPr>
              <w:widowControl/>
              <w:spacing w:line="300" w:lineRule="atLeast"/>
              <w:jc w:val="center"/>
              <w:textAlignment w:val="top"/>
              <w:rPr>
                <w:rFonts w:ascii="宋体" w:hAnsi="宋体" w:cs="宋体"/>
                <w:szCs w:val="21"/>
                <w:highlight w:val="none"/>
              </w:rPr>
            </w:pPr>
            <w:r>
              <w:rPr>
                <w:rFonts w:hint="eastAsia" w:ascii="宋体" w:hAnsi="宋体" w:cs="宋体"/>
                <w:kern w:val="0"/>
                <w:szCs w:val="21"/>
              </w:rPr>
              <w:t>中国银行股份有限公司上海市分行</w:t>
            </w:r>
          </w:p>
        </w:tc>
      </w:tr>
      <w:bookmarkEnd w:id="3"/>
      <w:tr w14:paraId="2BAF8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409F9119">
            <w:pPr>
              <w:widowControl/>
              <w:spacing w:line="300" w:lineRule="atLeast"/>
              <w:jc w:val="center"/>
              <w:textAlignment w:val="top"/>
              <w:rPr>
                <w:rFonts w:ascii="宋体" w:hAnsi="宋体" w:cs="宋体"/>
                <w:b/>
                <w:kern w:val="0"/>
                <w:szCs w:val="21"/>
                <w:highlight w:val="none"/>
              </w:rPr>
            </w:pPr>
            <w:r>
              <w:rPr>
                <w:rFonts w:hint="eastAsia" w:ascii="宋体" w:hAnsi="宋体" w:cs="宋体"/>
                <w:b/>
                <w:kern w:val="0"/>
                <w:szCs w:val="21"/>
                <w:highlight w:val="none"/>
              </w:rPr>
              <w:t>产品内部</w:t>
            </w:r>
          </w:p>
          <w:p w14:paraId="175773A1">
            <w:pPr>
              <w:widowControl/>
              <w:spacing w:line="300" w:lineRule="atLeast"/>
              <w:jc w:val="center"/>
              <w:textAlignment w:val="top"/>
              <w:rPr>
                <w:rFonts w:ascii="宋体" w:hAnsi="宋体" w:cs="宋体"/>
                <w:b/>
                <w:szCs w:val="21"/>
                <w:highlight w:val="none"/>
              </w:rPr>
            </w:pPr>
            <w:r>
              <w:rPr>
                <w:rFonts w:hint="eastAsia" w:ascii="宋体" w:hAnsi="宋体" w:cs="宋体"/>
                <w:b/>
                <w:kern w:val="0"/>
                <w:szCs w:val="21"/>
                <w:highlight w:val="none"/>
              </w:rPr>
              <w:t>风险评级</w:t>
            </w:r>
          </w:p>
        </w:tc>
        <w:tc>
          <w:tcPr>
            <w:tcW w:w="7513" w:type="dxa"/>
            <w:gridSpan w:val="5"/>
            <w:vAlign w:val="center"/>
          </w:tcPr>
          <w:p w14:paraId="7CB77A47">
            <w:pPr>
              <w:widowControl/>
              <w:spacing w:line="300" w:lineRule="atLeast"/>
              <w:jc w:val="center"/>
              <w:textAlignment w:val="top"/>
              <w:rPr>
                <w:rFonts w:ascii="宋体" w:hAnsi="宋体" w:cs="宋体"/>
                <w:kern w:val="0"/>
                <w:szCs w:val="21"/>
              </w:rPr>
            </w:pPr>
            <w:r>
              <w:rPr>
                <w:rFonts w:hint="eastAsia" w:ascii="宋体" w:hAnsi="宋体" w:cs="宋体"/>
                <w:kern w:val="0"/>
                <w:szCs w:val="21"/>
              </w:rPr>
              <w:t>星级（本评级为光大理财有限责任公司内部评级，仅供参考；本产品存续期内，产品内部风险评级可能会根据实际情况进行调整）</w:t>
            </w:r>
          </w:p>
          <w:p w14:paraId="249151BD">
            <w:pPr>
              <w:widowControl/>
              <w:spacing w:line="300" w:lineRule="atLeast"/>
              <w:jc w:val="left"/>
              <w:textAlignment w:val="top"/>
              <w:rPr>
                <w:rFonts w:ascii="宋体" w:hAnsi="宋体" w:cs="宋体"/>
                <w:szCs w:val="21"/>
                <w:highlight w:val="none"/>
              </w:rPr>
            </w:pPr>
            <w:r>
              <w:rPr>
                <w:rFonts w:hint="eastAsia" w:ascii="宋体" w:hAnsi="宋体" w:cs="宋体"/>
                <w:kern w:val="0"/>
                <w:szCs w:val="21"/>
              </w:rPr>
              <w:t>本产品通过销售服务机构销售的，产品风险评级应当以销售服务机构最终披露的评级结果为准。</w:t>
            </w:r>
          </w:p>
        </w:tc>
      </w:tr>
      <w:tr w14:paraId="27B23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15" w:type="dxa"/>
            <w:vAlign w:val="center"/>
          </w:tcPr>
          <w:p w14:paraId="29CA0C95">
            <w:pPr>
              <w:widowControl/>
              <w:spacing w:line="300" w:lineRule="atLeast"/>
              <w:jc w:val="center"/>
              <w:textAlignment w:val="top"/>
              <w:rPr>
                <w:rFonts w:ascii="宋体" w:hAnsi="宋体" w:cs="宋体"/>
                <w:b/>
                <w:kern w:val="0"/>
                <w:szCs w:val="21"/>
                <w:highlight w:val="none"/>
              </w:rPr>
            </w:pPr>
            <w:r>
              <w:rPr>
                <w:rFonts w:hint="eastAsia" w:ascii="宋体" w:hAnsi="宋体" w:cs="宋体"/>
                <w:b/>
                <w:kern w:val="0"/>
                <w:szCs w:val="21"/>
                <w:highlight w:val="none"/>
              </w:rPr>
              <w:t>产品类型</w:t>
            </w:r>
          </w:p>
        </w:tc>
        <w:tc>
          <w:tcPr>
            <w:tcW w:w="7513" w:type="dxa"/>
            <w:gridSpan w:val="5"/>
            <w:vAlign w:val="center"/>
          </w:tcPr>
          <w:p w14:paraId="73D485E7">
            <w:pPr>
              <w:widowControl/>
              <w:spacing w:line="300" w:lineRule="atLeast"/>
              <w:jc w:val="center"/>
              <w:textAlignment w:val="top"/>
              <w:rPr>
                <w:rFonts w:ascii="宋体" w:hAnsi="宋体" w:cs="宋体"/>
                <w:kern w:val="0"/>
                <w:szCs w:val="21"/>
                <w:highlight w:val="none"/>
              </w:rPr>
            </w:pPr>
            <w:bookmarkStart w:id="4" w:name="OLE_LINK24"/>
            <w:r>
              <w:rPr>
                <w:rFonts w:hint="eastAsia" w:ascii="宋体" w:hAnsi="宋体" w:cs="宋体"/>
                <w:kern w:val="0"/>
                <w:szCs w:val="21"/>
                <w:highlight w:val="none"/>
              </w:rPr>
              <w:t>固定收益类，非保本浮动收益型</w:t>
            </w:r>
            <w:bookmarkEnd w:id="4"/>
          </w:p>
        </w:tc>
      </w:tr>
      <w:tr w14:paraId="75A7D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340AF8FF">
            <w:pPr>
              <w:widowControl/>
              <w:spacing w:line="300" w:lineRule="atLeast"/>
              <w:jc w:val="center"/>
              <w:textAlignment w:val="top"/>
              <w:rPr>
                <w:rFonts w:ascii="宋体" w:hAnsi="宋体" w:cs="宋体"/>
                <w:b/>
                <w:szCs w:val="21"/>
                <w:highlight w:val="none"/>
              </w:rPr>
            </w:pPr>
            <w:r>
              <w:rPr>
                <w:rFonts w:hint="eastAsia" w:ascii="宋体" w:hAnsi="宋体" w:cs="宋体"/>
                <w:b/>
                <w:szCs w:val="21"/>
                <w:highlight w:val="none"/>
              </w:rPr>
              <w:t>产品运作模式</w:t>
            </w:r>
          </w:p>
        </w:tc>
        <w:tc>
          <w:tcPr>
            <w:tcW w:w="7513" w:type="dxa"/>
            <w:gridSpan w:val="5"/>
            <w:vAlign w:val="center"/>
          </w:tcPr>
          <w:p w14:paraId="53067C2D">
            <w:pPr>
              <w:widowControl/>
              <w:spacing w:line="300" w:lineRule="atLeast"/>
              <w:jc w:val="center"/>
              <w:textAlignment w:val="top"/>
              <w:rPr>
                <w:rFonts w:ascii="宋体" w:hAnsi="宋体" w:cs="宋体"/>
                <w:szCs w:val="21"/>
                <w:highlight w:val="none"/>
              </w:rPr>
            </w:pPr>
            <w:r>
              <w:rPr>
                <w:rFonts w:hint="eastAsia" w:ascii="宋体" w:hAnsi="宋体" w:cs="宋体"/>
                <w:szCs w:val="21"/>
                <w:highlight w:val="none"/>
              </w:rPr>
              <w:t>开放式净值型产品</w:t>
            </w:r>
          </w:p>
        </w:tc>
      </w:tr>
      <w:tr w14:paraId="76FAB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400D2FC3">
            <w:pPr>
              <w:widowControl/>
              <w:spacing w:line="300" w:lineRule="atLeast"/>
              <w:jc w:val="center"/>
              <w:textAlignment w:val="top"/>
              <w:rPr>
                <w:rFonts w:ascii="宋体" w:hAnsi="宋体" w:cs="宋体"/>
                <w:b/>
                <w:szCs w:val="21"/>
                <w:highlight w:val="none"/>
              </w:rPr>
            </w:pPr>
            <w:r>
              <w:rPr>
                <w:rFonts w:hint="eastAsia" w:ascii="宋体" w:hAnsi="宋体" w:cs="宋体"/>
                <w:b/>
                <w:szCs w:val="21"/>
                <w:highlight w:val="none"/>
              </w:rPr>
              <w:t>产品募集方式</w:t>
            </w:r>
          </w:p>
        </w:tc>
        <w:tc>
          <w:tcPr>
            <w:tcW w:w="7513" w:type="dxa"/>
            <w:gridSpan w:val="5"/>
            <w:vAlign w:val="center"/>
          </w:tcPr>
          <w:p w14:paraId="18C9910B">
            <w:pPr>
              <w:widowControl/>
              <w:spacing w:line="300" w:lineRule="atLeast"/>
              <w:jc w:val="center"/>
              <w:textAlignment w:val="top"/>
              <w:rPr>
                <w:rFonts w:ascii="宋体" w:hAnsi="宋体" w:cs="宋体"/>
                <w:szCs w:val="21"/>
                <w:highlight w:val="none"/>
              </w:rPr>
            </w:pPr>
            <w:r>
              <w:rPr>
                <w:rFonts w:hint="eastAsia" w:ascii="宋体" w:hAnsi="宋体" w:cs="宋体"/>
                <w:szCs w:val="21"/>
                <w:highlight w:val="none"/>
              </w:rPr>
              <w:t>公募</w:t>
            </w:r>
          </w:p>
        </w:tc>
      </w:tr>
      <w:tr w14:paraId="05DA1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1E06B9A3">
            <w:pPr>
              <w:widowControl/>
              <w:spacing w:line="300" w:lineRule="atLeast"/>
              <w:jc w:val="center"/>
              <w:textAlignment w:val="top"/>
              <w:rPr>
                <w:rFonts w:ascii="宋体" w:hAnsi="宋体" w:cs="宋体"/>
                <w:b/>
                <w:szCs w:val="21"/>
                <w:highlight w:val="none"/>
              </w:rPr>
            </w:pPr>
            <w:bookmarkStart w:id="5" w:name="OLE_LINK25" w:colFirst="1" w:colLast="1"/>
            <w:r>
              <w:rPr>
                <w:rFonts w:hint="eastAsia" w:ascii="宋体" w:hAnsi="宋体" w:cs="宋体"/>
                <w:b/>
                <w:szCs w:val="21"/>
                <w:highlight w:val="none"/>
              </w:rPr>
              <w:t>销售对象</w:t>
            </w:r>
          </w:p>
        </w:tc>
        <w:tc>
          <w:tcPr>
            <w:tcW w:w="7513" w:type="dxa"/>
            <w:gridSpan w:val="5"/>
            <w:vAlign w:val="center"/>
          </w:tcPr>
          <w:p w14:paraId="6F2AC9B8">
            <w:pPr>
              <w:widowControl/>
              <w:spacing w:line="300" w:lineRule="atLeast"/>
              <w:textAlignment w:val="top"/>
              <w:rPr>
                <w:rFonts w:ascii="宋体" w:hAnsi="宋体" w:cs="宋体"/>
                <w:szCs w:val="21"/>
              </w:rPr>
            </w:pPr>
            <w:r>
              <w:rPr>
                <w:rFonts w:hint="eastAsia" w:ascii="宋体" w:hAnsi="宋体" w:cs="宋体"/>
                <w:szCs w:val="21"/>
              </w:rPr>
              <w:t>本产品面向不特定社会公众（个人和机构投资者）销售。投资者为符合相关法律法规、监管规定要求的，经销售服务机构评估的与本产品风险等级相适应的投资者。</w:t>
            </w:r>
          </w:p>
          <w:p w14:paraId="48A9CF3A">
            <w:pPr>
              <w:widowControl/>
              <w:spacing w:line="300" w:lineRule="atLeast"/>
              <w:textAlignment w:val="top"/>
              <w:rPr>
                <w:rFonts w:ascii="宋体" w:hAnsi="宋体" w:cs="宋体"/>
                <w:szCs w:val="21"/>
                <w:highlight w:val="none"/>
              </w:rPr>
            </w:pPr>
            <w:r>
              <w:rPr>
                <w:rFonts w:hint="eastAsia" w:ascii="宋体" w:hAnsi="宋体" w:cs="宋体"/>
                <w:szCs w:val="21"/>
              </w:rPr>
              <w:t>本产品通过销售服务机构销售的，产品风险评级应当以销售服务机构最终披露的评级结果为准。</w:t>
            </w:r>
          </w:p>
        </w:tc>
      </w:tr>
      <w:tr w14:paraId="4AC42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27EB315A">
            <w:pPr>
              <w:widowControl/>
              <w:spacing w:line="300" w:lineRule="atLeast"/>
              <w:jc w:val="center"/>
              <w:textAlignment w:val="top"/>
              <w:rPr>
                <w:rFonts w:ascii="宋体" w:hAnsi="宋体" w:cs="宋体"/>
                <w:b/>
                <w:szCs w:val="21"/>
                <w:highlight w:val="none"/>
              </w:rPr>
            </w:pPr>
            <w:r>
              <w:rPr>
                <w:rFonts w:hint="eastAsia" w:ascii="宋体" w:hAnsi="宋体" w:cs="宋体"/>
                <w:b/>
                <w:szCs w:val="21"/>
                <w:highlight w:val="none"/>
              </w:rPr>
              <w:t>投资者集中度</w:t>
            </w:r>
          </w:p>
        </w:tc>
        <w:tc>
          <w:tcPr>
            <w:tcW w:w="7513" w:type="dxa"/>
            <w:gridSpan w:val="5"/>
            <w:vAlign w:val="center"/>
          </w:tcPr>
          <w:p w14:paraId="31BAD7E3">
            <w:pPr>
              <w:widowControl/>
              <w:spacing w:line="300" w:lineRule="atLeast"/>
              <w:textAlignment w:val="top"/>
              <w:rPr>
                <w:rFonts w:ascii="宋体" w:hAnsi="宋体" w:cs="宋体"/>
                <w:szCs w:val="21"/>
                <w:highlight w:val="none"/>
              </w:rPr>
            </w:pPr>
            <w:r>
              <w:rPr>
                <w:rFonts w:hint="eastAsia" w:ascii="宋体" w:hAnsi="宋体" w:cs="宋体"/>
                <w:b/>
                <w:bCs/>
                <w:szCs w:val="21"/>
              </w:rPr>
              <w:t>本产品</w:t>
            </w:r>
            <w:r>
              <w:rPr>
                <w:rFonts w:ascii="宋体" w:hAnsi="宋体" w:cs="宋体"/>
                <w:b/>
                <w:bCs/>
                <w:szCs w:val="21"/>
              </w:rPr>
              <w:t>单一投资者持有</w:t>
            </w:r>
            <w:r>
              <w:rPr>
                <w:rFonts w:hint="eastAsia" w:ascii="宋体" w:hAnsi="宋体" w:cs="宋体"/>
                <w:b/>
                <w:bCs/>
                <w:szCs w:val="21"/>
              </w:rPr>
              <w:t>本理财产品</w:t>
            </w:r>
            <w:r>
              <w:rPr>
                <w:rFonts w:ascii="宋体" w:hAnsi="宋体" w:cs="宋体"/>
                <w:b/>
                <w:bCs/>
                <w:szCs w:val="21"/>
              </w:rPr>
              <w:t>份额</w:t>
            </w:r>
            <w:r>
              <w:rPr>
                <w:rFonts w:hint="eastAsia" w:ascii="宋体" w:hAnsi="宋体" w:cs="宋体"/>
                <w:b/>
                <w:bCs/>
                <w:szCs w:val="21"/>
              </w:rPr>
              <w:t>不可</w:t>
            </w:r>
            <w:r>
              <w:rPr>
                <w:rFonts w:ascii="宋体" w:hAnsi="宋体" w:cs="宋体"/>
                <w:b/>
                <w:bCs/>
                <w:szCs w:val="21"/>
              </w:rPr>
              <w:t>超过</w:t>
            </w:r>
            <w:r>
              <w:rPr>
                <w:rFonts w:hint="eastAsia" w:ascii="宋体" w:hAnsi="宋体" w:cs="宋体"/>
                <w:b/>
                <w:bCs/>
                <w:szCs w:val="21"/>
              </w:rPr>
              <w:t>产品</w:t>
            </w:r>
            <w:r>
              <w:rPr>
                <w:rFonts w:ascii="宋体" w:hAnsi="宋体" w:cs="宋体"/>
                <w:b/>
                <w:bCs/>
                <w:szCs w:val="21"/>
              </w:rPr>
              <w:t>总份额</w:t>
            </w:r>
            <w:r>
              <w:rPr>
                <w:rFonts w:hint="eastAsia" w:ascii="宋体" w:hAnsi="宋体" w:cs="宋体"/>
                <w:b/>
                <w:bCs/>
                <w:szCs w:val="21"/>
              </w:rPr>
              <w:t>的</w:t>
            </w:r>
            <w:r>
              <w:rPr>
                <w:rFonts w:ascii="宋体" w:hAnsi="宋体" w:cs="宋体"/>
                <w:b/>
                <w:bCs/>
                <w:szCs w:val="21"/>
              </w:rPr>
              <w:t>50%。</w:t>
            </w:r>
            <w:r>
              <w:rPr>
                <w:rFonts w:hint="eastAsia" w:ascii="宋体" w:hAnsi="宋体" w:cs="宋体"/>
                <w:b/>
                <w:bCs/>
                <w:szCs w:val="21"/>
              </w:rPr>
              <w:t>若超过此限制，管理人有权拒绝该</w:t>
            </w:r>
            <w:r>
              <w:rPr>
                <w:rFonts w:hint="eastAsia" w:ascii="宋体" w:hAnsi="宋体" w:cs="宋体"/>
                <w:b/>
                <w:bCs/>
                <w:szCs w:val="21"/>
                <w:lang w:eastAsia="zh-CN"/>
              </w:rPr>
              <w:t>投资者</w:t>
            </w:r>
            <w:r>
              <w:rPr>
                <w:rFonts w:hint="eastAsia" w:ascii="宋体" w:hAnsi="宋体" w:cs="宋体"/>
                <w:b/>
                <w:bCs/>
                <w:szCs w:val="21"/>
              </w:rPr>
              <w:t>的全部或者超出部分的购买申请。</w:t>
            </w:r>
            <w:r>
              <w:rPr>
                <w:rFonts w:ascii="宋体" w:hAnsi="宋体" w:cs="宋体"/>
                <w:b/>
                <w:bCs/>
                <w:szCs w:val="21"/>
              </w:rPr>
              <w:t>非因</w:t>
            </w:r>
            <w:r>
              <w:rPr>
                <w:rFonts w:hint="eastAsia" w:ascii="宋体" w:hAnsi="宋体" w:cs="宋体"/>
                <w:b/>
                <w:bCs/>
                <w:szCs w:val="21"/>
              </w:rPr>
              <w:t>管理人</w:t>
            </w:r>
            <w:r>
              <w:rPr>
                <w:rFonts w:ascii="宋体" w:hAnsi="宋体" w:cs="宋体"/>
                <w:b/>
                <w:bCs/>
                <w:szCs w:val="21"/>
              </w:rPr>
              <w:t>主观因素导致突破</w:t>
            </w:r>
            <w:r>
              <w:rPr>
                <w:rFonts w:hint="eastAsia" w:ascii="宋体" w:hAnsi="宋体" w:cs="宋体"/>
                <w:b/>
                <w:bCs/>
                <w:szCs w:val="21"/>
              </w:rPr>
              <w:t>上述</w:t>
            </w:r>
            <w:r>
              <w:rPr>
                <w:rFonts w:ascii="宋体" w:hAnsi="宋体" w:cs="宋体"/>
                <w:b/>
                <w:bCs/>
                <w:szCs w:val="21"/>
              </w:rPr>
              <w:t>比例限制的，在单一投资者持有</w:t>
            </w:r>
            <w:r>
              <w:rPr>
                <w:rFonts w:hint="eastAsia" w:ascii="宋体" w:hAnsi="宋体" w:cs="宋体"/>
                <w:b/>
                <w:bCs/>
                <w:szCs w:val="21"/>
              </w:rPr>
              <w:t>份额</w:t>
            </w:r>
            <w:r>
              <w:rPr>
                <w:rFonts w:ascii="宋体" w:hAnsi="宋体" w:cs="宋体"/>
                <w:b/>
                <w:bCs/>
                <w:szCs w:val="21"/>
              </w:rPr>
              <w:t>比例降至50%以下之前，</w:t>
            </w:r>
            <w:r>
              <w:rPr>
                <w:rFonts w:hint="eastAsia" w:ascii="宋体" w:hAnsi="宋体" w:cs="宋体"/>
                <w:b/>
                <w:bCs/>
                <w:szCs w:val="21"/>
              </w:rPr>
              <w:t>管理人不再</w:t>
            </w:r>
            <w:r>
              <w:rPr>
                <w:rFonts w:ascii="宋体" w:hAnsi="宋体" w:cs="宋体"/>
                <w:b/>
                <w:bCs/>
                <w:szCs w:val="21"/>
              </w:rPr>
              <w:t>接受该投资者对</w:t>
            </w:r>
            <w:r>
              <w:rPr>
                <w:rFonts w:hint="eastAsia" w:ascii="宋体" w:hAnsi="宋体" w:cs="宋体"/>
                <w:b/>
                <w:bCs/>
                <w:szCs w:val="21"/>
              </w:rPr>
              <w:t>本</w:t>
            </w:r>
            <w:r>
              <w:rPr>
                <w:rFonts w:ascii="宋体" w:hAnsi="宋体" w:cs="宋体"/>
                <w:b/>
                <w:bCs/>
                <w:szCs w:val="21"/>
              </w:rPr>
              <w:t>理财产品的</w:t>
            </w:r>
            <w:r>
              <w:rPr>
                <w:rFonts w:hint="eastAsia" w:ascii="宋体" w:hAnsi="宋体" w:cs="宋体"/>
                <w:b/>
                <w:bCs/>
                <w:szCs w:val="21"/>
              </w:rPr>
              <w:t>购买</w:t>
            </w:r>
            <w:r>
              <w:rPr>
                <w:rFonts w:ascii="宋体" w:hAnsi="宋体" w:cs="宋体"/>
                <w:b/>
                <w:bCs/>
                <w:szCs w:val="21"/>
              </w:rPr>
              <w:t>申请。</w:t>
            </w:r>
          </w:p>
        </w:tc>
      </w:tr>
      <w:bookmarkEnd w:id="5"/>
      <w:tr w14:paraId="74AE6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42A4CCDB">
            <w:pPr>
              <w:widowControl/>
              <w:spacing w:line="300" w:lineRule="atLeast"/>
              <w:jc w:val="center"/>
              <w:textAlignment w:val="top"/>
              <w:rPr>
                <w:rFonts w:ascii="宋体" w:hAnsi="宋体" w:cs="宋体"/>
                <w:b/>
                <w:kern w:val="0"/>
                <w:szCs w:val="21"/>
                <w:highlight w:val="none"/>
              </w:rPr>
            </w:pPr>
            <w:r>
              <w:rPr>
                <w:rFonts w:hint="eastAsia" w:ascii="宋体" w:hAnsi="宋体" w:cs="宋体"/>
                <w:b/>
                <w:szCs w:val="21"/>
                <w:highlight w:val="none"/>
              </w:rPr>
              <w:t>募集币种</w:t>
            </w:r>
          </w:p>
        </w:tc>
        <w:tc>
          <w:tcPr>
            <w:tcW w:w="7513" w:type="dxa"/>
            <w:gridSpan w:val="5"/>
            <w:vAlign w:val="center"/>
          </w:tcPr>
          <w:p w14:paraId="5F0F1F01">
            <w:pPr>
              <w:widowControl/>
              <w:spacing w:line="300" w:lineRule="atLeast"/>
              <w:jc w:val="center"/>
              <w:textAlignment w:val="top"/>
              <w:rPr>
                <w:rFonts w:ascii="宋体" w:hAnsi="宋体" w:cs="宋体"/>
                <w:kern w:val="0"/>
                <w:szCs w:val="21"/>
                <w:highlight w:val="none"/>
              </w:rPr>
            </w:pPr>
            <w:r>
              <w:rPr>
                <w:rFonts w:hint="eastAsia" w:ascii="宋体" w:hAnsi="宋体" w:cs="宋体"/>
                <w:szCs w:val="21"/>
                <w:highlight w:val="none"/>
              </w:rPr>
              <w:t>人民币</w:t>
            </w:r>
          </w:p>
        </w:tc>
      </w:tr>
      <w:tr w14:paraId="5017F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665C2FE9">
            <w:pPr>
              <w:widowControl/>
              <w:spacing w:line="300" w:lineRule="atLeast"/>
              <w:jc w:val="center"/>
              <w:textAlignment w:val="top"/>
              <w:rPr>
                <w:rFonts w:ascii="宋体" w:hAnsi="宋体" w:cs="宋体"/>
                <w:b/>
                <w:kern w:val="0"/>
                <w:szCs w:val="21"/>
                <w:highlight w:val="none"/>
              </w:rPr>
            </w:pPr>
            <w:r>
              <w:rPr>
                <w:rFonts w:hint="eastAsia" w:ascii="宋体" w:hAnsi="宋体" w:cs="宋体"/>
                <w:b/>
                <w:szCs w:val="21"/>
                <w:highlight w:val="none"/>
              </w:rPr>
              <w:t>业绩比较基准（年化）</w:t>
            </w:r>
          </w:p>
        </w:tc>
        <w:tc>
          <w:tcPr>
            <w:tcW w:w="7513" w:type="dxa"/>
            <w:gridSpan w:val="5"/>
            <w:vAlign w:val="center"/>
          </w:tcPr>
          <w:p w14:paraId="25B59B6B">
            <w:pPr>
              <w:widowControl/>
              <w:spacing w:line="300" w:lineRule="atLeast"/>
              <w:jc w:val="center"/>
              <w:textAlignment w:val="top"/>
              <w:rPr>
                <w:rFonts w:hint="eastAsia" w:ascii="宋体" w:hAnsi="宋体" w:cs="宋体"/>
                <w:szCs w:val="21"/>
                <w:lang w:val="en-US" w:eastAsia="zh-CN"/>
              </w:rPr>
            </w:pPr>
            <w:bookmarkStart w:id="6" w:name="OLE_LINK26"/>
            <w:r>
              <w:rPr>
                <w:rFonts w:hint="eastAsia" w:ascii="宋体" w:hAnsi="宋体" w:cs="宋体"/>
                <w:szCs w:val="21"/>
                <w:lang w:val="en-US" w:eastAsia="zh-CN"/>
              </w:rPr>
              <w:t>D类份额：1.20%-2.00%</w:t>
            </w:r>
          </w:p>
          <w:p w14:paraId="2F9B4AAC">
            <w:pPr>
              <w:widowControl/>
              <w:spacing w:line="300" w:lineRule="atLeast"/>
              <w:jc w:val="center"/>
              <w:textAlignment w:val="top"/>
              <w:rPr>
                <w:rFonts w:hint="eastAsia" w:ascii="宋体" w:hAnsi="宋体" w:cs="宋体"/>
                <w:szCs w:val="21"/>
                <w:lang w:val="en-US" w:eastAsia="zh-CN"/>
              </w:rPr>
            </w:pPr>
            <w:r>
              <w:rPr>
                <w:rFonts w:hint="eastAsia" w:ascii="宋体" w:hAnsi="宋体" w:cs="宋体"/>
                <w:szCs w:val="21"/>
                <w:lang w:val="en-US" w:eastAsia="zh-CN"/>
              </w:rPr>
              <w:t>I类份额：1.25%-2.05%</w:t>
            </w:r>
          </w:p>
          <w:p w14:paraId="415AF578">
            <w:pPr>
              <w:widowControl/>
              <w:spacing w:line="300" w:lineRule="atLeast"/>
              <w:jc w:val="center"/>
              <w:textAlignment w:val="top"/>
              <w:rPr>
                <w:rFonts w:ascii="宋体" w:hAnsi="宋体" w:cs="宋体"/>
                <w:szCs w:val="21"/>
                <w:highlight w:val="none"/>
              </w:rPr>
            </w:pPr>
            <w:r>
              <w:rPr>
                <w:rFonts w:hint="eastAsia" w:ascii="宋体" w:hAnsi="宋体" w:cs="宋体"/>
                <w:szCs w:val="21"/>
                <w:highlight w:val="none"/>
              </w:rPr>
              <w:t>本产品主要投资于债券等，适度投资于优先股，业绩比较基准根据策略目标基准中债综合财富指数等历史数据进行测算。业绩比较基准是管理人基于产品性质、投资策略、过往经验等因素对产品设定的投资目标，业绩比较基准不是预期收益率，不代表产品的未来表现和实际收益，不构成对产品收益的承诺。</w:t>
            </w:r>
          </w:p>
          <w:p w14:paraId="1708D7EF">
            <w:pPr>
              <w:widowControl/>
              <w:spacing w:line="300" w:lineRule="atLeast"/>
              <w:textAlignment w:val="top"/>
              <w:rPr>
                <w:rFonts w:ascii="宋体" w:hAnsi="宋体" w:cs="宋体"/>
                <w:kern w:val="0"/>
                <w:szCs w:val="21"/>
                <w:highlight w:val="none"/>
              </w:rPr>
            </w:pPr>
            <w:r>
              <w:rPr>
                <w:rFonts w:hint="eastAsia" w:ascii="宋体" w:hAnsi="宋体" w:cs="宋体"/>
                <w:szCs w:val="21"/>
                <w:highlight w:val="none"/>
              </w:rPr>
              <w:t>各类产品份额业绩比较基准存在差异仅因销售服务机构对各类份额收取的销售服务费率不同所致。（本产品的业绩比较基准可根据当时市场情况进行调整，调整后的业绩比较基准将根据信息披露规则进行披露。</w:t>
            </w:r>
            <w:r>
              <w:rPr>
                <w:rFonts w:hint="eastAsia" w:ascii="宋体" w:hAnsi="宋体" w:cs="宋体"/>
                <w:b/>
                <w:bCs/>
                <w:szCs w:val="21"/>
                <w:highlight w:val="none"/>
                <w:u w:val="single"/>
              </w:rPr>
              <w:t>请投资者及时通过本销售文件约定的信息披露渠道获取最新业绩比较基准情况</w:t>
            </w:r>
            <w:r>
              <w:rPr>
                <w:rFonts w:hint="eastAsia" w:ascii="宋体" w:hAnsi="宋体" w:cs="宋体"/>
                <w:b/>
                <w:bCs/>
                <w:szCs w:val="21"/>
                <w:highlight w:val="none"/>
              </w:rPr>
              <w:t>。）</w:t>
            </w:r>
            <w:bookmarkEnd w:id="6"/>
          </w:p>
        </w:tc>
      </w:tr>
      <w:tr w14:paraId="64DFC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815" w:type="dxa"/>
            <w:vAlign w:val="center"/>
          </w:tcPr>
          <w:p w14:paraId="2EDC8D39">
            <w:pPr>
              <w:widowControl/>
              <w:spacing w:line="300" w:lineRule="atLeast"/>
              <w:jc w:val="center"/>
              <w:textAlignment w:val="top"/>
              <w:rPr>
                <w:rFonts w:ascii="宋体" w:hAnsi="宋体" w:cs="宋体"/>
                <w:b/>
                <w:kern w:val="0"/>
                <w:szCs w:val="21"/>
                <w:highlight w:val="none"/>
              </w:rPr>
            </w:pPr>
            <w:r>
              <w:rPr>
                <w:rFonts w:hint="eastAsia" w:ascii="宋体" w:hAnsi="宋体" w:cs="宋体"/>
                <w:b/>
                <w:kern w:val="0"/>
                <w:szCs w:val="21"/>
                <w:highlight w:val="none"/>
              </w:rPr>
              <w:t>起点金额/递增金额</w:t>
            </w:r>
          </w:p>
        </w:tc>
        <w:tc>
          <w:tcPr>
            <w:tcW w:w="7513" w:type="dxa"/>
            <w:gridSpan w:val="5"/>
            <w:vAlign w:val="center"/>
          </w:tcPr>
          <w:p w14:paraId="7A51E751">
            <w:pPr>
              <w:widowControl/>
              <w:spacing w:line="300" w:lineRule="atLeast"/>
              <w:jc w:val="center"/>
              <w:textAlignment w:val="top"/>
              <w:rPr>
                <w:rFonts w:hint="eastAsia" w:ascii="宋体" w:hAnsi="宋体" w:cs="宋体"/>
                <w:szCs w:val="21"/>
                <w:highlight w:val="none"/>
              </w:rPr>
            </w:pPr>
            <w:bookmarkStart w:id="7" w:name="OLE_LINK1"/>
            <w:r>
              <w:rPr>
                <w:rFonts w:hint="eastAsia" w:ascii="宋体" w:hAnsi="宋体" w:cs="宋体"/>
                <w:szCs w:val="21"/>
                <w:highlight w:val="none"/>
                <w:lang w:val="en-US" w:eastAsia="zh-CN"/>
              </w:rPr>
              <w:t>D</w:t>
            </w:r>
            <w:r>
              <w:rPr>
                <w:rFonts w:hint="eastAsia" w:ascii="宋体" w:hAnsi="宋体" w:cs="宋体"/>
                <w:szCs w:val="21"/>
                <w:highlight w:val="none"/>
              </w:rPr>
              <w:t>类份额</w:t>
            </w:r>
            <w:r>
              <w:rPr>
                <w:rFonts w:hint="eastAsia" w:ascii="宋体" w:hAnsi="宋体" w:cs="宋体"/>
                <w:szCs w:val="21"/>
                <w:highlight w:val="none"/>
                <w:lang w:eastAsia="zh-CN"/>
              </w:rPr>
              <w:t>：</w:t>
            </w:r>
            <w:r>
              <w:rPr>
                <w:rFonts w:hint="eastAsia" w:ascii="宋体" w:hAnsi="宋体" w:cs="宋体"/>
                <w:szCs w:val="21"/>
                <w:highlight w:val="none"/>
              </w:rPr>
              <w:t>1元/1元</w:t>
            </w:r>
            <w:bookmarkEnd w:id="7"/>
          </w:p>
          <w:p w14:paraId="544E3F2C">
            <w:pPr>
              <w:widowControl/>
              <w:spacing w:line="300" w:lineRule="atLeast"/>
              <w:jc w:val="center"/>
              <w:textAlignment w:val="top"/>
              <w:rPr>
                <w:highlight w:val="none"/>
              </w:rPr>
            </w:pPr>
            <w:r>
              <w:rPr>
                <w:rFonts w:hint="eastAsia" w:ascii="宋体" w:hAnsi="宋体" w:cs="宋体"/>
                <w:szCs w:val="21"/>
                <w:highlight w:val="none"/>
                <w:lang w:val="en-US" w:eastAsia="zh-CN"/>
              </w:rPr>
              <w:t>I类</w:t>
            </w:r>
            <w:r>
              <w:rPr>
                <w:rFonts w:hint="eastAsia" w:ascii="宋体" w:hAnsi="宋体" w:cs="宋体"/>
                <w:szCs w:val="21"/>
                <w:highlight w:val="none"/>
              </w:rPr>
              <w:t>份额</w:t>
            </w:r>
            <w:r>
              <w:rPr>
                <w:rFonts w:hint="eastAsia" w:ascii="宋体" w:hAnsi="宋体" w:cs="宋体"/>
                <w:szCs w:val="21"/>
                <w:highlight w:val="none"/>
                <w:lang w:eastAsia="zh-CN"/>
              </w:rPr>
              <w:t>：</w:t>
            </w:r>
            <w:r>
              <w:rPr>
                <w:rFonts w:hint="eastAsia" w:ascii="宋体" w:hAnsi="宋体" w:cs="宋体"/>
                <w:szCs w:val="21"/>
                <w:highlight w:val="none"/>
                <w:lang w:val="en-US" w:eastAsia="zh-CN"/>
              </w:rPr>
              <w:t>200万元/1元</w:t>
            </w:r>
          </w:p>
        </w:tc>
      </w:tr>
      <w:tr w14:paraId="64E5C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44B4C53E">
            <w:pPr>
              <w:widowControl/>
              <w:spacing w:line="300" w:lineRule="atLeast"/>
              <w:jc w:val="center"/>
              <w:textAlignment w:val="top"/>
              <w:rPr>
                <w:rFonts w:ascii="宋体" w:hAnsi="宋体" w:cs="宋体"/>
                <w:b/>
                <w:kern w:val="0"/>
                <w:szCs w:val="21"/>
                <w:highlight w:val="none"/>
              </w:rPr>
            </w:pPr>
            <w:r>
              <w:rPr>
                <w:rFonts w:hint="eastAsia" w:ascii="宋体" w:hAnsi="宋体" w:cs="宋体"/>
                <w:b/>
                <w:kern w:val="0"/>
                <w:szCs w:val="21"/>
                <w:highlight w:val="none"/>
              </w:rPr>
              <w:t>认/申购追加金额</w:t>
            </w:r>
          </w:p>
        </w:tc>
        <w:tc>
          <w:tcPr>
            <w:tcW w:w="7513" w:type="dxa"/>
            <w:gridSpan w:val="5"/>
            <w:vAlign w:val="center"/>
          </w:tcPr>
          <w:p w14:paraId="760E4473">
            <w:pPr>
              <w:widowControl/>
              <w:spacing w:line="300" w:lineRule="atLeast"/>
              <w:jc w:val="center"/>
              <w:textAlignment w:val="top"/>
              <w:rPr>
                <w:rFonts w:hint="eastAsia" w:ascii="宋体" w:hAnsi="宋体" w:cs="宋体"/>
                <w:szCs w:val="21"/>
                <w:highlight w:val="none"/>
              </w:rPr>
            </w:pPr>
            <w:r>
              <w:rPr>
                <w:rFonts w:hint="eastAsia" w:ascii="宋体" w:hAnsi="宋体" w:cs="宋体"/>
                <w:szCs w:val="21"/>
                <w:highlight w:val="none"/>
                <w:lang w:val="en-US" w:eastAsia="zh-CN"/>
              </w:rPr>
              <w:t>D</w:t>
            </w:r>
            <w:r>
              <w:rPr>
                <w:rFonts w:hint="eastAsia" w:ascii="宋体" w:hAnsi="宋体" w:cs="宋体"/>
                <w:szCs w:val="21"/>
                <w:highlight w:val="none"/>
              </w:rPr>
              <w:t>类份额</w:t>
            </w:r>
            <w:r>
              <w:rPr>
                <w:rFonts w:hint="eastAsia" w:ascii="宋体" w:hAnsi="宋体" w:cs="宋体"/>
                <w:szCs w:val="21"/>
                <w:highlight w:val="none"/>
                <w:lang w:eastAsia="zh-CN"/>
              </w:rPr>
              <w:t>：</w:t>
            </w:r>
            <w:r>
              <w:rPr>
                <w:rFonts w:hint="eastAsia" w:ascii="宋体" w:hAnsi="宋体" w:cs="宋体"/>
                <w:szCs w:val="21"/>
                <w:highlight w:val="none"/>
              </w:rPr>
              <w:t>1元的整数倍</w:t>
            </w:r>
          </w:p>
          <w:p w14:paraId="7D079D49">
            <w:pPr>
              <w:widowControl/>
              <w:spacing w:line="300" w:lineRule="atLeast"/>
              <w:jc w:val="center"/>
              <w:textAlignment w:val="top"/>
            </w:pPr>
            <w:r>
              <w:rPr>
                <w:rFonts w:hint="eastAsia" w:ascii="宋体" w:hAnsi="宋体" w:cs="宋体"/>
                <w:szCs w:val="21"/>
                <w:highlight w:val="none"/>
                <w:lang w:val="en-US" w:eastAsia="zh-CN"/>
              </w:rPr>
              <w:t>I类</w:t>
            </w:r>
            <w:r>
              <w:rPr>
                <w:rFonts w:hint="eastAsia" w:ascii="宋体" w:hAnsi="宋体" w:cs="宋体"/>
                <w:szCs w:val="21"/>
                <w:highlight w:val="none"/>
              </w:rPr>
              <w:t>份额：1元的整数倍</w:t>
            </w:r>
          </w:p>
        </w:tc>
      </w:tr>
      <w:tr w14:paraId="4CD11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15" w:type="dxa"/>
            <w:vAlign w:val="center"/>
          </w:tcPr>
          <w:p w14:paraId="38119940">
            <w:pPr>
              <w:widowControl/>
              <w:spacing w:line="300" w:lineRule="atLeast"/>
              <w:jc w:val="center"/>
              <w:textAlignment w:val="top"/>
              <w:rPr>
                <w:rFonts w:ascii="宋体" w:hAnsi="宋体" w:cs="宋体"/>
                <w:b/>
                <w:kern w:val="0"/>
                <w:szCs w:val="21"/>
                <w:highlight w:val="none"/>
              </w:rPr>
            </w:pPr>
            <w:r>
              <w:rPr>
                <w:rFonts w:hint="eastAsia" w:ascii="宋体" w:hAnsi="宋体" w:cs="宋体"/>
                <w:b/>
                <w:kern w:val="0"/>
                <w:szCs w:val="21"/>
                <w:highlight w:val="none"/>
              </w:rPr>
              <w:t>单笔最小赎回份额</w:t>
            </w:r>
          </w:p>
        </w:tc>
        <w:tc>
          <w:tcPr>
            <w:tcW w:w="7513" w:type="dxa"/>
            <w:gridSpan w:val="5"/>
            <w:vAlign w:val="center"/>
          </w:tcPr>
          <w:p w14:paraId="6669312E">
            <w:pPr>
              <w:widowControl/>
              <w:spacing w:line="280" w:lineRule="atLeast"/>
              <w:jc w:val="center"/>
              <w:textAlignment w:val="top"/>
              <w:rPr>
                <w:rFonts w:ascii="宋体" w:hAnsi="宋体" w:cs="宋体"/>
                <w:szCs w:val="21"/>
                <w:highlight w:val="none"/>
              </w:rPr>
            </w:pPr>
            <w:r>
              <w:rPr>
                <w:rFonts w:hint="eastAsia" w:ascii="宋体" w:hAnsi="宋体" w:cs="宋体"/>
                <w:szCs w:val="21"/>
                <w:highlight w:val="none"/>
              </w:rPr>
              <w:t>0.01份</w:t>
            </w:r>
          </w:p>
        </w:tc>
      </w:tr>
      <w:tr w14:paraId="0ECAB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815" w:type="dxa"/>
            <w:vAlign w:val="center"/>
          </w:tcPr>
          <w:p w14:paraId="6E0A3DF6">
            <w:pPr>
              <w:widowControl/>
              <w:spacing w:line="300" w:lineRule="atLeast"/>
              <w:jc w:val="center"/>
              <w:textAlignment w:val="top"/>
              <w:rPr>
                <w:rFonts w:ascii="宋体" w:hAnsi="宋体" w:cs="宋体"/>
                <w:b/>
                <w:kern w:val="0"/>
                <w:szCs w:val="21"/>
                <w:highlight w:val="none"/>
              </w:rPr>
            </w:pPr>
            <w:r>
              <w:rPr>
                <w:rFonts w:hint="eastAsia" w:ascii="宋体" w:hAnsi="宋体" w:cs="宋体"/>
                <w:b/>
                <w:bCs/>
                <w:kern w:val="0"/>
                <w:szCs w:val="21"/>
                <w:highlight w:val="none"/>
              </w:rPr>
              <w:t>持有份额</w:t>
            </w:r>
            <w:r>
              <w:rPr>
                <w:rFonts w:hint="eastAsia" w:ascii="宋体" w:hAnsi="宋体" w:cs="宋体"/>
                <w:b/>
                <w:bCs/>
                <w:kern w:val="0"/>
                <w:szCs w:val="21"/>
                <w:highlight w:val="none"/>
                <w:lang w:val="en-US" w:eastAsia="zh-CN"/>
              </w:rPr>
              <w:t>上限/</w:t>
            </w:r>
            <w:r>
              <w:rPr>
                <w:rFonts w:hint="eastAsia" w:ascii="宋体" w:hAnsi="宋体" w:cs="宋体"/>
                <w:b/>
                <w:bCs/>
                <w:kern w:val="0"/>
                <w:szCs w:val="21"/>
                <w:highlight w:val="none"/>
              </w:rPr>
              <w:t>下限</w:t>
            </w:r>
          </w:p>
        </w:tc>
        <w:tc>
          <w:tcPr>
            <w:tcW w:w="7513" w:type="dxa"/>
            <w:gridSpan w:val="5"/>
            <w:vAlign w:val="center"/>
          </w:tcPr>
          <w:p w14:paraId="73CAE844">
            <w:pPr>
              <w:widowControl/>
              <w:jc w:val="center"/>
              <w:rPr>
                <w:rFonts w:hint="eastAsia" w:ascii="宋体" w:hAnsi="宋体" w:eastAsia="宋体" w:cs="宋体"/>
                <w:highlight w:val="none"/>
              </w:rPr>
            </w:pPr>
            <w:r>
              <w:rPr>
                <w:rFonts w:hint="eastAsia" w:ascii="宋体" w:hAnsi="宋体" w:cs="宋体"/>
                <w:highlight w:val="none"/>
                <w:lang w:val="en-US" w:eastAsia="zh-CN"/>
              </w:rPr>
              <w:t>D</w:t>
            </w:r>
            <w:r>
              <w:rPr>
                <w:rFonts w:hint="eastAsia" w:ascii="宋体" w:hAnsi="宋体" w:eastAsia="宋体" w:cs="宋体"/>
                <w:highlight w:val="none"/>
              </w:rPr>
              <w:t>类份额</w:t>
            </w:r>
            <w:r>
              <w:rPr>
                <w:rFonts w:hint="eastAsia" w:ascii="宋体" w:hAnsi="宋体" w:cs="宋体"/>
                <w:szCs w:val="21"/>
                <w:highlight w:val="none"/>
                <w:lang w:eastAsia="zh-CN"/>
              </w:rPr>
              <w:t>：</w:t>
            </w:r>
            <w:r>
              <w:rPr>
                <w:rFonts w:hint="eastAsia" w:ascii="宋体" w:hAnsi="宋体" w:cs="宋体"/>
                <w:szCs w:val="21"/>
                <w:highlight w:val="none"/>
                <w:lang w:val="en-US" w:eastAsia="zh-CN"/>
              </w:rPr>
              <w:t>-/</w:t>
            </w:r>
            <w:r>
              <w:rPr>
                <w:rFonts w:hint="eastAsia" w:ascii="宋体" w:hAnsi="宋体" w:eastAsia="宋体" w:cs="宋体"/>
                <w:highlight w:val="none"/>
              </w:rPr>
              <w:t>1份</w:t>
            </w:r>
          </w:p>
          <w:p w14:paraId="0CF9B74F">
            <w:pPr>
              <w:widowControl/>
              <w:jc w:val="center"/>
              <w:rPr>
                <w:rFonts w:hint="eastAsia" w:ascii="宋体" w:hAnsi="宋体" w:eastAsia="宋体" w:cs="宋体"/>
                <w:highlight w:val="none"/>
              </w:rPr>
            </w:pPr>
            <w:r>
              <w:rPr>
                <w:rFonts w:hint="eastAsia" w:ascii="宋体" w:hAnsi="宋体" w:cs="宋体"/>
                <w:highlight w:val="none"/>
                <w:lang w:val="en-US" w:eastAsia="zh-CN"/>
              </w:rPr>
              <w:t>I类</w:t>
            </w:r>
            <w:r>
              <w:rPr>
                <w:rFonts w:hint="eastAsia" w:ascii="宋体" w:hAnsi="宋体" w:eastAsia="宋体" w:cs="宋体"/>
                <w:highlight w:val="none"/>
              </w:rPr>
              <w:t>份额</w:t>
            </w:r>
            <w:r>
              <w:rPr>
                <w:rFonts w:hint="eastAsia" w:ascii="宋体" w:hAnsi="宋体" w:cs="宋体"/>
                <w:szCs w:val="21"/>
                <w:highlight w:val="none"/>
                <w:lang w:eastAsia="zh-CN"/>
              </w:rPr>
              <w:t>：</w:t>
            </w:r>
            <w:r>
              <w:rPr>
                <w:rFonts w:hint="eastAsia" w:ascii="宋体" w:hAnsi="宋体" w:cs="宋体"/>
                <w:szCs w:val="21"/>
                <w:highlight w:val="none"/>
                <w:lang w:val="en-US" w:eastAsia="zh-CN"/>
              </w:rPr>
              <w:t>-/</w:t>
            </w:r>
            <w:r>
              <w:rPr>
                <w:rFonts w:hint="eastAsia" w:ascii="宋体" w:hAnsi="宋体" w:eastAsia="宋体" w:cs="宋体"/>
                <w:highlight w:val="none"/>
              </w:rPr>
              <w:t>1份</w:t>
            </w:r>
          </w:p>
          <w:p w14:paraId="1BE45F84">
            <w:pPr>
              <w:widowControl/>
              <w:jc w:val="center"/>
              <w:rPr>
                <w:highlight w:val="none"/>
              </w:rPr>
            </w:pPr>
            <w:r>
              <w:rPr>
                <w:rFonts w:hint="eastAsia" w:ascii="宋体" w:hAnsi="宋体" w:cs="宋体"/>
                <w:szCs w:val="21"/>
                <w:highlight w:val="none"/>
              </w:rPr>
              <w:t>管理人有权根据产品实际募集、运作情况调整产品单一客户持有份额限制。</w:t>
            </w:r>
          </w:p>
        </w:tc>
      </w:tr>
      <w:tr w14:paraId="4AB99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3E1CA2D7">
            <w:pPr>
              <w:widowControl/>
              <w:spacing w:line="300" w:lineRule="atLeast"/>
              <w:jc w:val="center"/>
              <w:textAlignment w:val="top"/>
              <w:rPr>
                <w:rFonts w:ascii="宋体" w:hAnsi="宋体" w:cs="宋体"/>
                <w:b/>
                <w:kern w:val="0"/>
                <w:szCs w:val="21"/>
                <w:highlight w:val="none"/>
              </w:rPr>
            </w:pPr>
            <w:r>
              <w:rPr>
                <w:rFonts w:hint="eastAsia" w:ascii="宋体" w:hAnsi="宋体" w:cs="宋体"/>
                <w:b/>
                <w:kern w:val="0"/>
                <w:szCs w:val="21"/>
                <w:highlight w:val="none"/>
              </w:rPr>
              <w:t>产品募集期</w:t>
            </w:r>
          </w:p>
        </w:tc>
        <w:tc>
          <w:tcPr>
            <w:tcW w:w="7513" w:type="dxa"/>
            <w:gridSpan w:val="5"/>
            <w:vAlign w:val="center"/>
          </w:tcPr>
          <w:p w14:paraId="20CBD28D">
            <w:pPr>
              <w:widowControl/>
              <w:spacing w:line="300" w:lineRule="atLeast"/>
              <w:textAlignment w:val="top"/>
              <w:rPr>
                <w:rFonts w:ascii="宋体" w:hAnsi="宋体" w:cs="宋体"/>
                <w:szCs w:val="21"/>
                <w:highlight w:val="none"/>
              </w:rPr>
            </w:pPr>
            <w:r>
              <w:rPr>
                <w:rFonts w:hint="eastAsia" w:ascii="宋体" w:hAnsi="宋体" w:cs="宋体"/>
                <w:kern w:val="0"/>
                <w:szCs w:val="21"/>
                <w:highlight w:val="none"/>
                <w:lang w:eastAsia="zh-CN"/>
              </w:rPr>
              <w:t>2026年1月30日至2026年2月2日</w:t>
            </w:r>
            <w:r>
              <w:rPr>
                <w:rFonts w:hint="eastAsia" w:ascii="宋体" w:hAnsi="宋体" w:cs="宋体"/>
                <w:kern w:val="0"/>
                <w:szCs w:val="21"/>
                <w:highlight w:val="none"/>
              </w:rPr>
              <w:t>（管理人有权根据募集情况缩短或延长产品募集期，本产品最长募集期不超过1个月。管理人有权根据实际募集期提前或延后产品成立日期，并将通过</w:t>
            </w:r>
            <w:r>
              <w:rPr>
                <w:rFonts w:hint="eastAsia" w:ascii="宋体" w:hAnsi="宋体" w:cs="宋体"/>
                <w:szCs w:val="21"/>
                <w:highlight w:val="none"/>
              </w:rPr>
              <w:t>产品管理人官方网站或销售服务机构网上销售平台</w:t>
            </w:r>
            <w:r>
              <w:rPr>
                <w:rFonts w:hint="eastAsia" w:ascii="宋体" w:hAnsi="宋体" w:cs="宋体"/>
                <w:kern w:val="0"/>
                <w:szCs w:val="21"/>
                <w:highlight w:val="none"/>
              </w:rPr>
              <w:t>进行公布。）</w:t>
            </w:r>
          </w:p>
        </w:tc>
      </w:tr>
      <w:tr w14:paraId="1C965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5FE71313">
            <w:pPr>
              <w:widowControl/>
              <w:spacing w:line="300" w:lineRule="atLeast"/>
              <w:jc w:val="center"/>
              <w:textAlignment w:val="top"/>
              <w:rPr>
                <w:rFonts w:ascii="宋体" w:hAnsi="宋体" w:cs="宋体"/>
                <w:b/>
                <w:kern w:val="0"/>
                <w:szCs w:val="21"/>
                <w:highlight w:val="none"/>
              </w:rPr>
            </w:pPr>
            <w:r>
              <w:rPr>
                <w:rFonts w:hint="eastAsia" w:ascii="宋体" w:hAnsi="宋体" w:cs="宋体"/>
                <w:b/>
                <w:kern w:val="0"/>
                <w:szCs w:val="21"/>
                <w:highlight w:val="none"/>
              </w:rPr>
              <w:t>产品认购确认日</w:t>
            </w:r>
          </w:p>
        </w:tc>
        <w:tc>
          <w:tcPr>
            <w:tcW w:w="7513" w:type="dxa"/>
            <w:gridSpan w:val="5"/>
            <w:vAlign w:val="center"/>
          </w:tcPr>
          <w:p w14:paraId="2A4B247D">
            <w:pPr>
              <w:widowControl/>
              <w:spacing w:line="300" w:lineRule="atLeast"/>
              <w:jc w:val="center"/>
              <w:textAlignment w:val="top"/>
              <w:rPr>
                <w:rFonts w:hint="eastAsia" w:ascii="宋体" w:hAnsi="宋体" w:eastAsia="宋体" w:cs="宋体"/>
                <w:kern w:val="0"/>
                <w:szCs w:val="21"/>
                <w:highlight w:val="none"/>
                <w:lang w:eastAsia="zh-CN"/>
              </w:rPr>
            </w:pPr>
            <w:r>
              <w:rPr>
                <w:rFonts w:hint="eastAsia" w:ascii="宋体" w:hAnsi="宋体" w:cs="宋体"/>
                <w:kern w:val="0"/>
                <w:szCs w:val="21"/>
                <w:highlight w:val="none"/>
                <w:lang w:eastAsia="zh-CN"/>
              </w:rPr>
              <w:t>2026年2月3日</w:t>
            </w:r>
          </w:p>
        </w:tc>
      </w:tr>
      <w:tr w14:paraId="5C34D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7236544F">
            <w:pPr>
              <w:widowControl/>
              <w:spacing w:line="300" w:lineRule="atLeast"/>
              <w:jc w:val="center"/>
              <w:textAlignment w:val="top"/>
              <w:rPr>
                <w:rFonts w:ascii="宋体" w:hAnsi="宋体" w:cs="宋体"/>
                <w:b/>
                <w:kern w:val="0"/>
                <w:szCs w:val="21"/>
                <w:highlight w:val="none"/>
              </w:rPr>
            </w:pPr>
            <w:r>
              <w:rPr>
                <w:rFonts w:hint="eastAsia" w:ascii="宋体" w:hAnsi="宋体" w:cs="宋体"/>
                <w:b/>
                <w:kern w:val="0"/>
                <w:szCs w:val="21"/>
                <w:highlight w:val="none"/>
              </w:rPr>
              <w:t>产品成立日</w:t>
            </w:r>
          </w:p>
        </w:tc>
        <w:tc>
          <w:tcPr>
            <w:tcW w:w="7513" w:type="dxa"/>
            <w:gridSpan w:val="5"/>
            <w:vAlign w:val="center"/>
          </w:tcPr>
          <w:p w14:paraId="115690A1">
            <w:pPr>
              <w:widowControl/>
              <w:spacing w:line="300" w:lineRule="atLeast"/>
              <w:jc w:val="center"/>
              <w:textAlignment w:val="top"/>
              <w:rPr>
                <w:rFonts w:hint="eastAsia" w:ascii="宋体" w:hAnsi="宋体" w:eastAsia="宋体" w:cs="宋体"/>
                <w:szCs w:val="21"/>
                <w:highlight w:val="none"/>
                <w:lang w:eastAsia="zh-CN"/>
              </w:rPr>
            </w:pPr>
            <w:r>
              <w:rPr>
                <w:rFonts w:hint="eastAsia" w:ascii="宋体" w:hAnsi="宋体" w:cs="宋体"/>
                <w:kern w:val="0"/>
                <w:szCs w:val="21"/>
                <w:highlight w:val="none"/>
                <w:lang w:eastAsia="zh-CN"/>
              </w:rPr>
              <w:t>2026年2月3日</w:t>
            </w:r>
          </w:p>
        </w:tc>
      </w:tr>
      <w:tr w14:paraId="39FAA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4D8F708E">
            <w:pPr>
              <w:widowControl/>
              <w:spacing w:line="300" w:lineRule="atLeast"/>
              <w:jc w:val="center"/>
              <w:textAlignment w:val="top"/>
              <w:rPr>
                <w:rFonts w:ascii="宋体" w:hAnsi="宋体" w:cs="宋体"/>
                <w:b/>
                <w:kern w:val="0"/>
                <w:szCs w:val="21"/>
                <w:highlight w:val="none"/>
              </w:rPr>
            </w:pPr>
            <w:r>
              <w:rPr>
                <w:rFonts w:hint="eastAsia" w:ascii="宋体" w:hAnsi="宋体" w:cs="宋体"/>
                <w:b/>
                <w:kern w:val="0"/>
                <w:szCs w:val="21"/>
                <w:highlight w:val="none"/>
              </w:rPr>
              <w:t>产品最低募集规模</w:t>
            </w:r>
          </w:p>
        </w:tc>
        <w:tc>
          <w:tcPr>
            <w:tcW w:w="7513" w:type="dxa"/>
            <w:gridSpan w:val="5"/>
            <w:vAlign w:val="center"/>
          </w:tcPr>
          <w:p w14:paraId="3484FA85">
            <w:pPr>
              <w:widowControl/>
              <w:spacing w:line="300" w:lineRule="atLeast"/>
              <w:textAlignment w:val="top"/>
              <w:rPr>
                <w:rFonts w:ascii="宋体" w:hAnsi="宋体" w:cs="宋体"/>
                <w:szCs w:val="21"/>
                <w:highlight w:val="none"/>
                <w:u w:val="single"/>
              </w:rPr>
            </w:pPr>
            <w:r>
              <w:rPr>
                <w:rFonts w:hint="eastAsia" w:ascii="宋体" w:hAnsi="宋体" w:cs="宋体"/>
                <w:szCs w:val="21"/>
                <w:highlight w:val="none"/>
              </w:rPr>
              <w:t>本产品初始募集规模拟不低</w:t>
            </w:r>
            <w:r>
              <w:rPr>
                <w:rFonts w:hint="eastAsia" w:ascii="宋体" w:hAnsi="宋体" w:cs="宋体"/>
                <w:szCs w:val="21"/>
                <w:highlight w:val="none"/>
                <w:lang w:val="en-US" w:eastAsia="zh-CN"/>
              </w:rPr>
              <w:t>300</w:t>
            </w:r>
            <w:r>
              <w:rPr>
                <w:rFonts w:hint="eastAsia" w:ascii="宋体" w:hAnsi="宋体" w:cs="宋体"/>
                <w:szCs w:val="21"/>
                <w:highlight w:val="none"/>
              </w:rPr>
              <w:t>万元，若认购金额不足</w:t>
            </w:r>
            <w:r>
              <w:rPr>
                <w:rFonts w:hint="eastAsia" w:ascii="宋体" w:hAnsi="宋体" w:cs="宋体"/>
                <w:szCs w:val="21"/>
                <w:highlight w:val="none"/>
                <w:lang w:val="en-US" w:eastAsia="zh-CN"/>
              </w:rPr>
              <w:t>300</w:t>
            </w:r>
            <w:r>
              <w:rPr>
                <w:rFonts w:hint="eastAsia" w:ascii="宋体" w:hAnsi="宋体" w:cs="宋体"/>
                <w:szCs w:val="21"/>
                <w:highlight w:val="none"/>
              </w:rPr>
              <w:t>万元，管理人有权宣布理财产品不成立，并在原定成立日后的2个工作日内进行披露。</w:t>
            </w:r>
          </w:p>
        </w:tc>
      </w:tr>
      <w:tr w14:paraId="5C4B0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15" w:type="dxa"/>
            <w:vAlign w:val="center"/>
          </w:tcPr>
          <w:p w14:paraId="4F52FE8B">
            <w:pPr>
              <w:widowControl/>
              <w:spacing w:line="300" w:lineRule="atLeast"/>
              <w:jc w:val="center"/>
              <w:textAlignment w:val="top"/>
              <w:rPr>
                <w:rFonts w:ascii="宋体" w:hAnsi="宋体" w:cs="宋体"/>
                <w:b/>
                <w:kern w:val="0"/>
                <w:szCs w:val="21"/>
                <w:highlight w:val="none"/>
              </w:rPr>
            </w:pPr>
            <w:r>
              <w:rPr>
                <w:rFonts w:hint="eastAsia" w:ascii="宋体" w:hAnsi="宋体" w:cs="宋体"/>
                <w:b/>
                <w:kern w:val="0"/>
                <w:szCs w:val="21"/>
                <w:highlight w:val="none"/>
              </w:rPr>
              <w:t>产品募集规模上限</w:t>
            </w:r>
          </w:p>
        </w:tc>
        <w:tc>
          <w:tcPr>
            <w:tcW w:w="7513" w:type="dxa"/>
            <w:gridSpan w:val="5"/>
            <w:vAlign w:val="center"/>
          </w:tcPr>
          <w:p w14:paraId="6425C746">
            <w:pPr>
              <w:widowControl/>
              <w:spacing w:line="300" w:lineRule="atLeast"/>
              <w:textAlignment w:val="top"/>
              <w:rPr>
                <w:rFonts w:ascii="宋体" w:hAnsi="宋体" w:cs="宋体"/>
                <w:szCs w:val="21"/>
                <w:highlight w:val="none"/>
              </w:rPr>
            </w:pPr>
            <w:r>
              <w:rPr>
                <w:rFonts w:hint="eastAsia" w:ascii="宋体" w:hAnsi="宋体" w:cs="宋体"/>
                <w:szCs w:val="21"/>
                <w:highlight w:val="none"/>
              </w:rPr>
              <w:t>本产品募集规模上限为</w:t>
            </w:r>
            <w:r>
              <w:rPr>
                <w:rFonts w:hint="eastAsia" w:ascii="宋体" w:hAnsi="宋体" w:cs="宋体"/>
                <w:szCs w:val="21"/>
                <w:highlight w:val="none"/>
                <w:lang w:val="en-US" w:eastAsia="zh-CN"/>
              </w:rPr>
              <w:t>20</w:t>
            </w:r>
            <w:r>
              <w:rPr>
                <w:rFonts w:hint="eastAsia" w:ascii="宋体" w:hAnsi="宋体" w:cs="宋体"/>
                <w:szCs w:val="21"/>
                <w:highlight w:val="none"/>
              </w:rPr>
              <w:t>亿元，管理人有权根据产品实际募集、运作情况调整产品募集规模上限。</w:t>
            </w:r>
          </w:p>
        </w:tc>
      </w:tr>
      <w:tr w14:paraId="57565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78F15C33">
            <w:pPr>
              <w:widowControl/>
              <w:spacing w:line="300" w:lineRule="atLeast"/>
              <w:jc w:val="center"/>
              <w:textAlignment w:val="top"/>
              <w:rPr>
                <w:rFonts w:ascii="宋体" w:hAnsi="宋体" w:cs="宋体"/>
                <w:b/>
                <w:kern w:val="0"/>
                <w:szCs w:val="21"/>
                <w:highlight w:val="none"/>
              </w:rPr>
            </w:pPr>
            <w:r>
              <w:rPr>
                <w:rFonts w:hint="eastAsia" w:ascii="宋体" w:hAnsi="宋体" w:cs="宋体"/>
                <w:b/>
                <w:kern w:val="0"/>
                <w:szCs w:val="21"/>
                <w:highlight w:val="none"/>
              </w:rPr>
              <w:t>最低持有期</w:t>
            </w:r>
          </w:p>
        </w:tc>
        <w:tc>
          <w:tcPr>
            <w:tcW w:w="7513" w:type="dxa"/>
            <w:gridSpan w:val="5"/>
            <w:vAlign w:val="center"/>
          </w:tcPr>
          <w:p w14:paraId="5E46712B">
            <w:pPr>
              <w:widowControl/>
              <w:spacing w:line="300" w:lineRule="atLeast"/>
              <w:textAlignment w:val="top"/>
              <w:rPr>
                <w:rFonts w:ascii="宋体" w:hAnsi="宋体" w:cs="宋体"/>
                <w:szCs w:val="21"/>
                <w:highlight w:val="none"/>
              </w:rPr>
            </w:pPr>
            <w:r>
              <w:rPr>
                <w:rFonts w:hint="eastAsia" w:ascii="宋体" w:hAnsi="宋体" w:cs="宋体"/>
                <w:szCs w:val="21"/>
                <w:highlight w:val="none"/>
              </w:rPr>
              <w:t>自产品认购/申购确认日（含当日）起</w:t>
            </w:r>
            <w:r>
              <w:rPr>
                <w:rFonts w:hint="eastAsia" w:ascii="宋体" w:hAnsi="宋体" w:cs="宋体"/>
                <w:szCs w:val="21"/>
                <w:highlight w:val="none"/>
                <w:lang w:val="en-US" w:eastAsia="zh-CN"/>
              </w:rPr>
              <w:t>30</w:t>
            </w:r>
            <w:r>
              <w:rPr>
                <w:rFonts w:hint="eastAsia" w:ascii="宋体" w:hAnsi="宋体" w:cs="宋体"/>
                <w:szCs w:val="21"/>
                <w:highlight w:val="none"/>
              </w:rPr>
              <w:t>个自然日为最低持有期，投资者每笔理财份额从认/申购确认日（含该日）起</w:t>
            </w:r>
            <w:r>
              <w:rPr>
                <w:rFonts w:hint="eastAsia" w:ascii="宋体" w:hAnsi="宋体" w:cs="宋体"/>
                <w:szCs w:val="21"/>
                <w:highlight w:val="none"/>
                <w:lang w:val="en-US" w:eastAsia="zh-CN"/>
              </w:rPr>
              <w:t>30</w:t>
            </w:r>
            <w:r>
              <w:rPr>
                <w:rFonts w:hint="eastAsia" w:ascii="宋体" w:hAnsi="宋体" w:cs="宋体"/>
                <w:szCs w:val="21"/>
                <w:highlight w:val="none"/>
              </w:rPr>
              <w:t>个自然日（如第</w:t>
            </w:r>
            <w:r>
              <w:rPr>
                <w:rFonts w:hint="eastAsia" w:ascii="宋体" w:hAnsi="宋体" w:cs="宋体"/>
                <w:szCs w:val="21"/>
                <w:highlight w:val="none"/>
                <w:lang w:val="en-US" w:eastAsia="zh-CN"/>
              </w:rPr>
              <w:t>30</w:t>
            </w:r>
            <w:r>
              <w:rPr>
                <w:rFonts w:hint="eastAsia" w:ascii="宋体" w:hAnsi="宋体" w:cs="宋体"/>
                <w:szCs w:val="21"/>
                <w:highlight w:val="none"/>
              </w:rPr>
              <w:t>个自然日为非交易日，则顺延至下一个交易日）后（含当日），投资者可以提出赎回申请</w:t>
            </w:r>
          </w:p>
        </w:tc>
      </w:tr>
      <w:tr w14:paraId="265F9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72462A07">
            <w:pPr>
              <w:widowControl/>
              <w:spacing w:line="300" w:lineRule="atLeast"/>
              <w:jc w:val="center"/>
              <w:textAlignment w:val="top"/>
              <w:rPr>
                <w:rFonts w:ascii="宋体" w:hAnsi="宋体" w:cs="宋体"/>
                <w:b/>
                <w:kern w:val="0"/>
                <w:szCs w:val="21"/>
                <w:highlight w:val="none"/>
              </w:rPr>
            </w:pPr>
            <w:r>
              <w:rPr>
                <w:rFonts w:hint="eastAsia" w:ascii="宋体" w:hAnsi="宋体" w:cs="宋体"/>
                <w:b/>
                <w:kern w:val="0"/>
                <w:szCs w:val="21"/>
                <w:highlight w:val="none"/>
              </w:rPr>
              <w:t>产品开放日</w:t>
            </w:r>
          </w:p>
        </w:tc>
        <w:tc>
          <w:tcPr>
            <w:tcW w:w="7513" w:type="dxa"/>
            <w:gridSpan w:val="5"/>
            <w:vAlign w:val="center"/>
          </w:tcPr>
          <w:p w14:paraId="2E063501">
            <w:pPr>
              <w:widowControl/>
              <w:spacing w:line="300" w:lineRule="atLeast"/>
              <w:textAlignment w:val="top"/>
              <w:rPr>
                <w:rFonts w:ascii="宋体" w:hAnsi="宋体" w:cs="宋体"/>
                <w:szCs w:val="21"/>
                <w:highlight w:val="none"/>
              </w:rPr>
            </w:pPr>
            <w:r>
              <w:rPr>
                <w:rFonts w:hint="eastAsia" w:ascii="宋体" w:hAnsi="宋体" w:cs="宋体"/>
                <w:szCs w:val="21"/>
                <w:highlight w:val="none"/>
              </w:rPr>
              <w:t>本产品成立后每个交易所工作日为开放日，开放日可办理申购、赎回等交易（遇非交易所工作日顺延），但赎回交易的份额需满足最低持有期的要求。</w:t>
            </w:r>
          </w:p>
        </w:tc>
      </w:tr>
      <w:tr w14:paraId="7085C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376CD703">
            <w:pPr>
              <w:widowControl/>
              <w:spacing w:line="300" w:lineRule="atLeast"/>
              <w:jc w:val="center"/>
              <w:textAlignment w:val="top"/>
              <w:rPr>
                <w:rFonts w:ascii="宋体" w:hAnsi="宋体" w:cs="宋体"/>
                <w:b/>
                <w:kern w:val="0"/>
                <w:szCs w:val="21"/>
                <w:highlight w:val="none"/>
              </w:rPr>
            </w:pPr>
            <w:r>
              <w:rPr>
                <w:rFonts w:hint="eastAsia" w:ascii="宋体" w:hAnsi="宋体" w:cs="宋体"/>
                <w:b/>
                <w:kern w:val="0"/>
                <w:szCs w:val="21"/>
                <w:highlight w:val="none"/>
              </w:rPr>
              <w:t>预计资金到账日</w:t>
            </w:r>
          </w:p>
        </w:tc>
        <w:tc>
          <w:tcPr>
            <w:tcW w:w="7513" w:type="dxa"/>
            <w:gridSpan w:val="5"/>
            <w:vAlign w:val="center"/>
          </w:tcPr>
          <w:p w14:paraId="569FEBE5">
            <w:pPr>
              <w:widowControl/>
              <w:spacing w:line="300" w:lineRule="atLeast"/>
              <w:textAlignment w:val="top"/>
              <w:rPr>
                <w:rFonts w:ascii="宋体" w:hAnsi="宋体" w:cs="宋体"/>
                <w:kern w:val="0"/>
                <w:szCs w:val="21"/>
                <w:highlight w:val="none"/>
              </w:rPr>
            </w:pPr>
            <w:bookmarkStart w:id="8" w:name="OLE_LINK8"/>
            <w:r>
              <w:rPr>
                <w:rFonts w:hint="eastAsia" w:ascii="宋体" w:hAnsi="宋体" w:cs="宋体"/>
                <w:szCs w:val="21"/>
                <w:highlight w:val="none"/>
              </w:rPr>
              <w:t>投资者赎回金额预计于产品开放日后</w:t>
            </w:r>
            <w:r>
              <w:rPr>
                <w:rFonts w:hint="eastAsia" w:ascii="宋体" w:hAnsi="宋体" w:cs="宋体"/>
                <w:szCs w:val="21"/>
                <w:highlight w:val="none"/>
                <w:lang w:val="en-US" w:eastAsia="zh-CN"/>
              </w:rPr>
              <w:t>1</w:t>
            </w:r>
            <w:r>
              <w:rPr>
                <w:rFonts w:hint="eastAsia" w:ascii="宋体" w:hAnsi="宋体" w:cs="宋体"/>
                <w:szCs w:val="21"/>
                <w:highlight w:val="none"/>
              </w:rPr>
              <w:t>个交易所工作日内到账，产品赎回</w:t>
            </w:r>
            <w:r>
              <w:rPr>
                <w:rFonts w:ascii="宋体" w:hAnsi="宋体" w:cs="宋体"/>
                <w:szCs w:val="21"/>
                <w:highlight w:val="none"/>
              </w:rPr>
              <w:t>日</w:t>
            </w:r>
            <w:r>
              <w:rPr>
                <w:rFonts w:hint="eastAsia" w:ascii="宋体" w:hAnsi="宋体" w:cs="宋体"/>
                <w:szCs w:val="21"/>
                <w:highlight w:val="none"/>
              </w:rPr>
              <w:t>后至投资者资金到账日期间不计利息。</w:t>
            </w:r>
            <w:bookmarkEnd w:id="8"/>
          </w:p>
        </w:tc>
      </w:tr>
      <w:tr w14:paraId="6D516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6B08F2CB">
            <w:pPr>
              <w:widowControl/>
              <w:spacing w:line="300" w:lineRule="atLeast"/>
              <w:jc w:val="center"/>
              <w:textAlignment w:val="top"/>
              <w:rPr>
                <w:rFonts w:ascii="宋体" w:hAnsi="宋体" w:cs="宋体"/>
                <w:b/>
                <w:szCs w:val="21"/>
                <w:highlight w:val="none"/>
              </w:rPr>
            </w:pPr>
            <w:bookmarkStart w:id="9" w:name="OLE_LINK35" w:colFirst="0" w:colLast="1"/>
            <w:r>
              <w:rPr>
                <w:rFonts w:hint="eastAsia" w:ascii="宋体" w:hAnsi="宋体" w:cs="宋体"/>
                <w:b/>
                <w:szCs w:val="21"/>
                <w:highlight w:val="none"/>
              </w:rPr>
              <w:t>交易时间</w:t>
            </w:r>
          </w:p>
        </w:tc>
        <w:tc>
          <w:tcPr>
            <w:tcW w:w="7513" w:type="dxa"/>
            <w:gridSpan w:val="5"/>
            <w:vAlign w:val="center"/>
          </w:tcPr>
          <w:p w14:paraId="2E367EAA">
            <w:pPr>
              <w:widowControl/>
              <w:spacing w:line="300" w:lineRule="atLeast"/>
              <w:jc w:val="left"/>
              <w:textAlignment w:val="top"/>
              <w:rPr>
                <w:rFonts w:ascii="宋体" w:hAnsi="宋体" w:cs="宋体"/>
                <w:kern w:val="0"/>
                <w:szCs w:val="21"/>
                <w:highlight w:val="none"/>
              </w:rPr>
            </w:pPr>
            <w:r>
              <w:rPr>
                <w:rFonts w:hint="eastAsia" w:ascii="宋体" w:hAnsi="宋体" w:cs="宋体"/>
                <w:kern w:val="0"/>
                <w:szCs w:val="21"/>
                <w:highlight w:val="none"/>
              </w:rPr>
              <w:t>本产品认购交易时间为</w:t>
            </w:r>
            <w:r>
              <w:rPr>
                <w:rFonts w:ascii="宋体" w:hAnsi="宋体" w:cs="宋体"/>
                <w:szCs w:val="21"/>
                <w:highlight w:val="none"/>
              </w:rPr>
              <w:t>募集期开始日至结束日</w:t>
            </w:r>
            <w:r>
              <w:rPr>
                <w:rFonts w:hint="eastAsia" w:ascii="宋体" w:hAnsi="宋体" w:cs="宋体"/>
                <w:szCs w:val="21"/>
                <w:highlight w:val="none"/>
              </w:rPr>
              <w:t>当日北京时间</w:t>
            </w:r>
            <w:r>
              <w:rPr>
                <w:rFonts w:hint="eastAsia" w:ascii="宋体" w:hAnsi="宋体" w:cs="宋体"/>
                <w:szCs w:val="21"/>
                <w:highlight w:val="none"/>
                <w:lang w:val="en-US" w:eastAsia="zh-CN"/>
              </w:rPr>
              <w:t>15</w:t>
            </w:r>
            <w:r>
              <w:rPr>
                <w:rFonts w:hint="eastAsia" w:ascii="宋体" w:hAnsi="宋体" w:cs="宋体"/>
                <w:szCs w:val="21"/>
                <w:highlight w:val="none"/>
              </w:rPr>
              <w:t>:00</w:t>
            </w:r>
            <w:r>
              <w:rPr>
                <w:rFonts w:hint="eastAsia" w:ascii="宋体" w:hAnsi="宋体" w:cs="宋体"/>
                <w:kern w:val="0"/>
                <w:szCs w:val="21"/>
                <w:highlight w:val="none"/>
              </w:rPr>
              <w:t>，申购和赎回交易时间为</w:t>
            </w:r>
            <w:r>
              <w:rPr>
                <w:rFonts w:hint="eastAsia" w:ascii="宋体" w:hAnsi="宋体" w:cs="宋体"/>
                <w:szCs w:val="21"/>
                <w:highlight w:val="none"/>
              </w:rPr>
              <w:t>产品开放日当日北京时间00:0</w:t>
            </w:r>
            <w:r>
              <w:rPr>
                <w:rFonts w:hint="eastAsia" w:ascii="宋体" w:hAnsi="宋体" w:cs="宋体"/>
                <w:szCs w:val="21"/>
                <w:highlight w:val="none"/>
                <w:lang w:val="en-US" w:eastAsia="zh-CN"/>
              </w:rPr>
              <w:t>5</w:t>
            </w:r>
            <w:r>
              <w:rPr>
                <w:rFonts w:hint="eastAsia" w:ascii="宋体" w:hAnsi="宋体" w:cs="宋体"/>
                <w:szCs w:val="21"/>
                <w:highlight w:val="none"/>
              </w:rPr>
              <w:t>至1</w:t>
            </w:r>
            <w:r>
              <w:rPr>
                <w:rFonts w:hint="eastAsia" w:ascii="宋体" w:hAnsi="宋体" w:cs="宋体"/>
                <w:szCs w:val="21"/>
                <w:highlight w:val="none"/>
                <w:lang w:val="en-US" w:eastAsia="zh-CN"/>
              </w:rPr>
              <w:t>5</w:t>
            </w:r>
            <w:r>
              <w:rPr>
                <w:rFonts w:hint="eastAsia" w:ascii="宋体" w:hAnsi="宋体" w:cs="宋体"/>
                <w:szCs w:val="21"/>
                <w:highlight w:val="none"/>
              </w:rPr>
              <w:t>:00</w:t>
            </w:r>
            <w:r>
              <w:rPr>
                <w:rFonts w:hint="eastAsia" w:ascii="宋体" w:hAnsi="宋体" w:cs="宋体"/>
                <w:kern w:val="0"/>
                <w:szCs w:val="21"/>
                <w:highlight w:val="none"/>
              </w:rPr>
              <w:t>，投资者可以在交易时间内提交产品的认购、申购、赎回申请，申购、赎回申请在开放日1</w:t>
            </w:r>
            <w:r>
              <w:rPr>
                <w:rFonts w:hint="eastAsia" w:ascii="宋体" w:hAnsi="宋体" w:cs="宋体"/>
                <w:kern w:val="0"/>
                <w:szCs w:val="21"/>
                <w:highlight w:val="none"/>
                <w:lang w:val="en-US" w:eastAsia="zh-CN"/>
              </w:rPr>
              <w:t>5</w:t>
            </w:r>
            <w:r>
              <w:rPr>
                <w:rFonts w:hint="eastAsia" w:ascii="宋体" w:hAnsi="宋体" w:cs="宋体"/>
                <w:kern w:val="0"/>
                <w:szCs w:val="21"/>
                <w:highlight w:val="none"/>
              </w:rPr>
              <w:t>:00（不含）前允许撤单，管理人有权拒绝受理超过开放日1</w:t>
            </w:r>
            <w:r>
              <w:rPr>
                <w:rFonts w:hint="eastAsia" w:ascii="宋体" w:hAnsi="宋体" w:cs="宋体"/>
                <w:kern w:val="0"/>
                <w:szCs w:val="21"/>
                <w:highlight w:val="none"/>
                <w:lang w:val="en-US" w:eastAsia="zh-CN"/>
              </w:rPr>
              <w:t>5</w:t>
            </w:r>
            <w:r>
              <w:rPr>
                <w:rFonts w:hint="eastAsia" w:ascii="宋体" w:hAnsi="宋体" w:cs="宋体"/>
                <w:kern w:val="0"/>
                <w:szCs w:val="21"/>
                <w:highlight w:val="none"/>
              </w:rPr>
              <w:t>:00（不含）的申请。</w:t>
            </w:r>
          </w:p>
          <w:p w14:paraId="2C200BF6">
            <w:pPr>
              <w:widowControl/>
              <w:spacing w:line="300" w:lineRule="atLeast"/>
              <w:jc w:val="left"/>
              <w:textAlignment w:val="top"/>
              <w:rPr>
                <w:rFonts w:ascii="宋体" w:hAnsi="宋体" w:cs="宋体"/>
                <w:kern w:val="0"/>
                <w:szCs w:val="21"/>
                <w:highlight w:val="none"/>
              </w:rPr>
            </w:pPr>
            <w:r>
              <w:rPr>
                <w:rFonts w:hint="eastAsia" w:ascii="宋体" w:hAnsi="宋体" w:cs="宋体"/>
                <w:kern w:val="0"/>
                <w:szCs w:val="21"/>
                <w:highlight w:val="none"/>
              </w:rPr>
              <w:t>以上规则如有调整，以管理人公告为准。</w:t>
            </w:r>
          </w:p>
          <w:p w14:paraId="4F8EC40B">
            <w:pPr>
              <w:widowControl/>
              <w:spacing w:line="300" w:lineRule="atLeast"/>
              <w:jc w:val="left"/>
              <w:textAlignment w:val="top"/>
              <w:rPr>
                <w:rFonts w:ascii="宋体" w:hAnsi="宋体" w:cs="宋体"/>
                <w:kern w:val="0"/>
                <w:szCs w:val="21"/>
                <w:highlight w:val="none"/>
              </w:rPr>
            </w:pPr>
            <w:r>
              <w:rPr>
                <w:rFonts w:hint="eastAsia" w:ascii="宋体" w:hAnsi="宋体" w:cs="宋体"/>
                <w:kern w:val="0"/>
                <w:szCs w:val="21"/>
                <w:highlight w:val="none"/>
              </w:rPr>
              <w:t>投资者通过销售服务机构购买理财产品的，还应以销售服务</w:t>
            </w:r>
            <w:r>
              <w:rPr>
                <w:rFonts w:hint="eastAsia" w:ascii="宋体" w:hAnsi="宋体" w:cs="宋体"/>
                <w:kern w:val="0"/>
                <w:szCs w:val="21"/>
                <w:highlight w:val="none"/>
                <w:lang w:val="en-US" w:eastAsia="zh-CN"/>
              </w:rPr>
              <w:t>机</w:t>
            </w:r>
            <w:r>
              <w:rPr>
                <w:rFonts w:hint="eastAsia" w:ascii="宋体" w:hAnsi="宋体" w:cs="宋体"/>
                <w:kern w:val="0"/>
                <w:szCs w:val="21"/>
                <w:highlight w:val="none"/>
              </w:rPr>
              <w:t>构对于交易时间和交易申请的相关规定执行。</w:t>
            </w:r>
          </w:p>
        </w:tc>
      </w:tr>
      <w:tr w14:paraId="6A051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1E977534">
            <w:pPr>
              <w:widowControl/>
              <w:spacing w:line="300" w:lineRule="atLeast"/>
              <w:jc w:val="center"/>
              <w:textAlignment w:val="top"/>
              <w:rPr>
                <w:rFonts w:ascii="宋体" w:hAnsi="宋体" w:cs="宋体"/>
                <w:b/>
                <w:szCs w:val="21"/>
                <w:highlight w:val="none"/>
              </w:rPr>
            </w:pPr>
            <w:r>
              <w:rPr>
                <w:rFonts w:hint="eastAsia" w:ascii="宋体" w:hAnsi="宋体" w:cs="宋体"/>
                <w:b/>
                <w:szCs w:val="21"/>
                <w:highlight w:val="none"/>
              </w:rPr>
              <w:t>认/申购费率</w:t>
            </w:r>
          </w:p>
        </w:tc>
        <w:tc>
          <w:tcPr>
            <w:tcW w:w="7513" w:type="dxa"/>
            <w:gridSpan w:val="5"/>
            <w:vAlign w:val="center"/>
          </w:tcPr>
          <w:p w14:paraId="41AAF43F">
            <w:pPr>
              <w:widowControl/>
              <w:spacing w:line="300" w:lineRule="atLeast"/>
              <w:jc w:val="center"/>
              <w:textAlignment w:val="top"/>
              <w:rPr>
                <w:rFonts w:ascii="宋体" w:hAnsi="宋体" w:cs="宋体"/>
                <w:kern w:val="0"/>
                <w:szCs w:val="21"/>
                <w:highlight w:val="none"/>
              </w:rPr>
            </w:pPr>
            <w:r>
              <w:rPr>
                <w:rFonts w:hint="eastAsia" w:ascii="宋体" w:hAnsi="宋体" w:cs="宋体"/>
                <w:kern w:val="0"/>
                <w:szCs w:val="21"/>
                <w:highlight w:val="none"/>
              </w:rPr>
              <w:t>0.00%</w:t>
            </w:r>
          </w:p>
        </w:tc>
      </w:tr>
      <w:bookmarkEnd w:id="9"/>
      <w:tr w14:paraId="39F2B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200C33A3">
            <w:pPr>
              <w:widowControl/>
              <w:spacing w:line="300" w:lineRule="atLeast"/>
              <w:jc w:val="center"/>
              <w:textAlignment w:val="top"/>
              <w:rPr>
                <w:rFonts w:ascii="宋体" w:hAnsi="宋体" w:cs="宋体"/>
                <w:b/>
                <w:szCs w:val="21"/>
                <w:highlight w:val="none"/>
              </w:rPr>
            </w:pPr>
            <w:r>
              <w:rPr>
                <w:rFonts w:hint="eastAsia" w:ascii="宋体" w:hAnsi="宋体" w:cs="宋体"/>
                <w:b/>
                <w:szCs w:val="21"/>
                <w:highlight w:val="none"/>
              </w:rPr>
              <w:t>赎回费率</w:t>
            </w:r>
          </w:p>
        </w:tc>
        <w:tc>
          <w:tcPr>
            <w:tcW w:w="7513" w:type="dxa"/>
            <w:gridSpan w:val="5"/>
            <w:vAlign w:val="center"/>
          </w:tcPr>
          <w:p w14:paraId="27DFBBC1">
            <w:pPr>
              <w:widowControl/>
              <w:spacing w:line="300" w:lineRule="atLeast"/>
              <w:jc w:val="center"/>
              <w:textAlignment w:val="top"/>
              <w:rPr>
                <w:rFonts w:ascii="宋体" w:hAnsi="宋体" w:cs="宋体"/>
                <w:kern w:val="0"/>
                <w:szCs w:val="21"/>
                <w:highlight w:val="none"/>
              </w:rPr>
            </w:pPr>
            <w:r>
              <w:rPr>
                <w:rFonts w:hint="eastAsia" w:ascii="宋体" w:hAnsi="宋体" w:cs="宋体"/>
                <w:kern w:val="0"/>
                <w:szCs w:val="21"/>
                <w:highlight w:val="none"/>
              </w:rPr>
              <w:t>0.00%</w:t>
            </w:r>
          </w:p>
        </w:tc>
      </w:tr>
      <w:tr w14:paraId="471F0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1ED70FF0">
            <w:pPr>
              <w:widowControl/>
              <w:spacing w:line="300" w:lineRule="atLeast"/>
              <w:jc w:val="center"/>
              <w:textAlignment w:val="top"/>
              <w:rPr>
                <w:rFonts w:ascii="宋体" w:hAnsi="宋体" w:cs="宋体"/>
                <w:b/>
                <w:szCs w:val="21"/>
                <w:highlight w:val="none"/>
              </w:rPr>
            </w:pPr>
            <w:r>
              <w:rPr>
                <w:rFonts w:hint="eastAsia" w:ascii="宋体" w:hAnsi="宋体" w:cs="宋体"/>
                <w:b/>
                <w:szCs w:val="21"/>
                <w:highlight w:val="none"/>
              </w:rPr>
              <w:t>管理费率（年化）</w:t>
            </w:r>
          </w:p>
        </w:tc>
        <w:tc>
          <w:tcPr>
            <w:tcW w:w="7513" w:type="dxa"/>
            <w:gridSpan w:val="5"/>
            <w:vAlign w:val="center"/>
          </w:tcPr>
          <w:p w14:paraId="538A9A0C">
            <w:pPr>
              <w:widowControl/>
              <w:spacing w:line="300" w:lineRule="atLeast"/>
              <w:jc w:val="center"/>
              <w:textAlignment w:val="top"/>
              <w:rPr>
                <w:rFonts w:ascii="宋体" w:hAnsi="宋体" w:cs="宋体"/>
                <w:kern w:val="0"/>
                <w:szCs w:val="21"/>
                <w:highlight w:val="none"/>
              </w:rPr>
            </w:pPr>
            <w:r>
              <w:rPr>
                <w:rFonts w:hint="eastAsia" w:ascii="宋体" w:hAnsi="宋体" w:cs="宋体"/>
                <w:kern w:val="0"/>
                <w:szCs w:val="21"/>
                <w:highlight w:val="none"/>
                <w:lang w:val="en-US" w:eastAsia="zh-CN"/>
              </w:rPr>
              <w:t>0.30</w:t>
            </w:r>
            <w:r>
              <w:rPr>
                <w:rFonts w:hint="eastAsia" w:ascii="宋体" w:hAnsi="宋体" w:cs="宋体"/>
                <w:kern w:val="0"/>
                <w:szCs w:val="21"/>
                <w:highlight w:val="none"/>
              </w:rPr>
              <w:t>%</w:t>
            </w:r>
          </w:p>
        </w:tc>
      </w:tr>
      <w:tr w14:paraId="3BDCB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815" w:type="dxa"/>
            <w:vMerge w:val="restart"/>
            <w:vAlign w:val="center"/>
          </w:tcPr>
          <w:p w14:paraId="4DDA9733">
            <w:pPr>
              <w:widowControl/>
              <w:jc w:val="center"/>
              <w:textAlignment w:val="top"/>
              <w:rPr>
                <w:rFonts w:ascii="宋体" w:hAnsi="宋体" w:cs="宋体"/>
                <w:b/>
                <w:szCs w:val="21"/>
                <w:highlight w:val="none"/>
              </w:rPr>
            </w:pPr>
            <w:r>
              <w:rPr>
                <w:rFonts w:hint="eastAsia" w:ascii="宋体" w:hAnsi="宋体" w:cs="宋体"/>
                <w:b/>
                <w:szCs w:val="21"/>
                <w:highlight w:val="none"/>
              </w:rPr>
              <w:t>销售服务费率</w:t>
            </w:r>
          </w:p>
          <w:p w14:paraId="60DA9361">
            <w:pPr>
              <w:widowControl/>
              <w:spacing w:line="300" w:lineRule="atLeast"/>
              <w:jc w:val="center"/>
              <w:textAlignment w:val="top"/>
              <w:rPr>
                <w:rFonts w:ascii="宋体" w:hAnsi="宋体" w:cs="宋体"/>
                <w:b/>
                <w:szCs w:val="21"/>
                <w:highlight w:val="none"/>
              </w:rPr>
            </w:pPr>
            <w:r>
              <w:rPr>
                <w:rFonts w:hint="eastAsia" w:ascii="宋体" w:hAnsi="宋体" w:cs="宋体"/>
                <w:b/>
                <w:szCs w:val="21"/>
                <w:highlight w:val="none"/>
              </w:rPr>
              <w:t>（年化）</w:t>
            </w:r>
          </w:p>
        </w:tc>
        <w:tc>
          <w:tcPr>
            <w:tcW w:w="3572" w:type="dxa"/>
            <w:gridSpan w:val="3"/>
            <w:vAlign w:val="center"/>
          </w:tcPr>
          <w:p w14:paraId="41023A51">
            <w:pPr>
              <w:widowControl/>
              <w:spacing w:line="360" w:lineRule="auto"/>
              <w:jc w:val="center"/>
              <w:textAlignment w:val="top"/>
              <w:rPr>
                <w:rFonts w:ascii="宋体" w:hAnsi="宋体" w:cs="宋体"/>
                <w:kern w:val="0"/>
                <w:szCs w:val="21"/>
                <w:highlight w:val="none"/>
              </w:rPr>
            </w:pPr>
            <w:r>
              <w:rPr>
                <w:rFonts w:hint="eastAsia" w:ascii="宋体" w:hAnsi="宋体" w:cs="宋体"/>
                <w:kern w:val="0"/>
                <w:szCs w:val="21"/>
                <w:highlight w:val="none"/>
                <w:lang w:val="en-US" w:eastAsia="zh-CN"/>
              </w:rPr>
              <w:t>D</w:t>
            </w:r>
            <w:r>
              <w:rPr>
                <w:rFonts w:hint="eastAsia" w:ascii="宋体" w:hAnsi="宋体" w:cs="宋体"/>
                <w:kern w:val="0"/>
                <w:szCs w:val="21"/>
                <w:highlight w:val="none"/>
              </w:rPr>
              <w:t>类份额</w:t>
            </w:r>
          </w:p>
        </w:tc>
        <w:tc>
          <w:tcPr>
            <w:tcW w:w="3941" w:type="dxa"/>
            <w:gridSpan w:val="2"/>
            <w:vAlign w:val="center"/>
          </w:tcPr>
          <w:p w14:paraId="7620594B">
            <w:pPr>
              <w:widowControl/>
              <w:spacing w:line="360" w:lineRule="auto"/>
              <w:jc w:val="center"/>
              <w:textAlignment w:val="top"/>
              <w:rPr>
                <w:rFonts w:ascii="宋体" w:hAnsi="宋体" w:cs="宋体"/>
                <w:kern w:val="0"/>
                <w:szCs w:val="21"/>
                <w:highlight w:val="none"/>
              </w:rPr>
            </w:pPr>
            <w:r>
              <w:rPr>
                <w:rFonts w:hint="eastAsia" w:ascii="宋体" w:hAnsi="宋体" w:cs="宋体"/>
                <w:kern w:val="0"/>
                <w:szCs w:val="21"/>
                <w:highlight w:val="none"/>
                <w:lang w:val="en-US" w:eastAsia="zh-CN"/>
              </w:rPr>
              <w:t>0.40</w:t>
            </w:r>
            <w:r>
              <w:rPr>
                <w:rFonts w:hint="eastAsia" w:ascii="宋体" w:hAnsi="宋体" w:cs="宋体"/>
                <w:kern w:val="0"/>
                <w:szCs w:val="21"/>
                <w:highlight w:val="none"/>
              </w:rPr>
              <w:t>%</w:t>
            </w:r>
          </w:p>
        </w:tc>
      </w:tr>
      <w:tr w14:paraId="22D3F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815" w:type="dxa"/>
            <w:vMerge w:val="continue"/>
            <w:vAlign w:val="center"/>
          </w:tcPr>
          <w:p w14:paraId="7FDB5086">
            <w:pPr>
              <w:widowControl/>
              <w:spacing w:line="300" w:lineRule="atLeast"/>
              <w:jc w:val="center"/>
              <w:textAlignment w:val="top"/>
              <w:rPr>
                <w:rFonts w:hint="eastAsia" w:ascii="宋体" w:hAnsi="宋体" w:cs="宋体"/>
                <w:b/>
                <w:szCs w:val="21"/>
                <w:highlight w:val="none"/>
              </w:rPr>
            </w:pPr>
          </w:p>
        </w:tc>
        <w:tc>
          <w:tcPr>
            <w:tcW w:w="3572" w:type="dxa"/>
            <w:gridSpan w:val="3"/>
            <w:vAlign w:val="center"/>
          </w:tcPr>
          <w:p w14:paraId="3B261816">
            <w:pPr>
              <w:widowControl/>
              <w:spacing w:line="360" w:lineRule="auto"/>
              <w:jc w:val="center"/>
              <w:textAlignment w:val="top"/>
              <w:rPr>
                <w:rFonts w:hint="eastAsia" w:ascii="宋体" w:hAnsi="宋体" w:eastAsia="宋体" w:cs="宋体"/>
                <w:kern w:val="0"/>
                <w:sz w:val="21"/>
                <w:szCs w:val="21"/>
                <w:highlight w:val="none"/>
                <w:lang w:val="en-US" w:eastAsia="zh-CN" w:bidi="ar-SA"/>
              </w:rPr>
            </w:pPr>
            <w:r>
              <w:rPr>
                <w:rFonts w:hint="eastAsia" w:ascii="宋体" w:hAnsi="宋体" w:cs="宋体"/>
                <w:kern w:val="0"/>
                <w:szCs w:val="21"/>
                <w:highlight w:val="none"/>
                <w:lang w:val="en-US" w:eastAsia="zh-CN"/>
              </w:rPr>
              <w:t>I类</w:t>
            </w:r>
            <w:r>
              <w:rPr>
                <w:rFonts w:hint="eastAsia" w:ascii="宋体" w:hAnsi="宋体" w:cs="宋体"/>
                <w:kern w:val="0"/>
                <w:szCs w:val="21"/>
                <w:highlight w:val="none"/>
              </w:rPr>
              <w:t>份额</w:t>
            </w:r>
          </w:p>
        </w:tc>
        <w:tc>
          <w:tcPr>
            <w:tcW w:w="3941" w:type="dxa"/>
            <w:gridSpan w:val="2"/>
            <w:vAlign w:val="center"/>
          </w:tcPr>
          <w:p w14:paraId="57A93BEE">
            <w:pPr>
              <w:widowControl/>
              <w:spacing w:line="360" w:lineRule="auto"/>
              <w:jc w:val="center"/>
              <w:textAlignment w:val="top"/>
              <w:rPr>
                <w:rFonts w:hint="eastAsia" w:ascii="宋体" w:hAnsi="宋体" w:eastAsia="宋体" w:cs="宋体"/>
                <w:kern w:val="0"/>
                <w:sz w:val="21"/>
                <w:szCs w:val="21"/>
                <w:highlight w:val="none"/>
                <w:lang w:val="en-US" w:eastAsia="zh-CN" w:bidi="ar-SA"/>
              </w:rPr>
            </w:pPr>
            <w:r>
              <w:rPr>
                <w:rFonts w:hint="eastAsia" w:ascii="宋体" w:hAnsi="宋体" w:cs="宋体"/>
                <w:kern w:val="0"/>
                <w:szCs w:val="21"/>
                <w:highlight w:val="none"/>
                <w:lang w:val="en-US" w:eastAsia="zh-CN"/>
              </w:rPr>
              <w:t>0.35</w:t>
            </w:r>
            <w:r>
              <w:rPr>
                <w:rFonts w:hint="eastAsia" w:ascii="宋体" w:hAnsi="宋体" w:cs="宋体"/>
                <w:kern w:val="0"/>
                <w:szCs w:val="21"/>
                <w:highlight w:val="none"/>
              </w:rPr>
              <w:t>%</w:t>
            </w:r>
          </w:p>
        </w:tc>
      </w:tr>
      <w:tr w14:paraId="2BF12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76C23D92">
            <w:pPr>
              <w:widowControl/>
              <w:spacing w:line="300" w:lineRule="atLeast"/>
              <w:jc w:val="center"/>
              <w:textAlignment w:val="top"/>
              <w:rPr>
                <w:rFonts w:ascii="宋体" w:hAnsi="宋体" w:cs="宋体"/>
                <w:b/>
                <w:szCs w:val="21"/>
                <w:highlight w:val="none"/>
              </w:rPr>
            </w:pPr>
            <w:r>
              <w:rPr>
                <w:rFonts w:hint="eastAsia" w:ascii="宋体" w:hAnsi="宋体" w:cs="宋体"/>
                <w:b/>
                <w:szCs w:val="21"/>
                <w:highlight w:val="none"/>
              </w:rPr>
              <w:t>托管费率（年化）</w:t>
            </w:r>
          </w:p>
        </w:tc>
        <w:tc>
          <w:tcPr>
            <w:tcW w:w="7513" w:type="dxa"/>
            <w:gridSpan w:val="5"/>
            <w:vAlign w:val="center"/>
          </w:tcPr>
          <w:p w14:paraId="7ADA9ADF">
            <w:pPr>
              <w:widowControl/>
              <w:spacing w:line="300" w:lineRule="atLeast"/>
              <w:jc w:val="center"/>
              <w:textAlignment w:val="top"/>
              <w:rPr>
                <w:rFonts w:ascii="宋体" w:hAnsi="宋体" w:cs="宋体"/>
                <w:kern w:val="0"/>
                <w:szCs w:val="21"/>
                <w:highlight w:val="none"/>
              </w:rPr>
            </w:pPr>
            <w:r>
              <w:rPr>
                <w:rFonts w:hint="eastAsia" w:ascii="宋体" w:hAnsi="宋体" w:cs="宋体"/>
                <w:kern w:val="0"/>
                <w:szCs w:val="21"/>
                <w:highlight w:val="none"/>
                <w:lang w:val="en-US" w:eastAsia="zh-CN"/>
              </w:rPr>
              <w:t>0.02</w:t>
            </w:r>
            <w:r>
              <w:rPr>
                <w:rFonts w:hint="eastAsia" w:ascii="宋体" w:hAnsi="宋体" w:cs="宋体"/>
                <w:kern w:val="0"/>
                <w:szCs w:val="21"/>
                <w:highlight w:val="none"/>
              </w:rPr>
              <w:t>%</w:t>
            </w:r>
          </w:p>
        </w:tc>
      </w:tr>
      <w:tr w14:paraId="594D6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1841E945">
            <w:pPr>
              <w:widowControl/>
              <w:spacing w:line="300" w:lineRule="atLeast"/>
              <w:jc w:val="center"/>
              <w:textAlignment w:val="top"/>
              <w:rPr>
                <w:rFonts w:ascii="宋体" w:hAnsi="宋体" w:cs="宋体"/>
                <w:b/>
                <w:szCs w:val="21"/>
                <w:highlight w:val="none"/>
              </w:rPr>
            </w:pPr>
            <w:r>
              <w:rPr>
                <w:rFonts w:hint="eastAsia" w:ascii="宋体" w:hAnsi="宋体" w:cs="宋体"/>
                <w:b/>
                <w:szCs w:val="21"/>
                <w:highlight w:val="none"/>
              </w:rPr>
              <w:t>分红方式</w:t>
            </w:r>
          </w:p>
        </w:tc>
        <w:tc>
          <w:tcPr>
            <w:tcW w:w="7513" w:type="dxa"/>
            <w:gridSpan w:val="5"/>
            <w:vAlign w:val="center"/>
          </w:tcPr>
          <w:p w14:paraId="709CDE55">
            <w:pPr>
              <w:widowControl/>
              <w:spacing w:line="300" w:lineRule="atLeast"/>
              <w:jc w:val="center"/>
              <w:textAlignment w:val="top"/>
              <w:rPr>
                <w:rFonts w:ascii="宋体" w:hAnsi="宋体" w:cs="宋体"/>
                <w:kern w:val="0"/>
                <w:szCs w:val="21"/>
                <w:highlight w:val="none"/>
              </w:rPr>
            </w:pPr>
            <w:r>
              <w:rPr>
                <w:rFonts w:hint="eastAsia" w:ascii="宋体" w:hAnsi="宋体" w:cs="宋体"/>
                <w:kern w:val="0"/>
                <w:szCs w:val="21"/>
                <w:highlight w:val="none"/>
              </w:rPr>
              <w:t>现金分红</w:t>
            </w:r>
          </w:p>
        </w:tc>
      </w:tr>
      <w:tr w14:paraId="4AAFB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405A27AA">
            <w:pPr>
              <w:widowControl/>
              <w:spacing w:line="300" w:lineRule="atLeast"/>
              <w:jc w:val="center"/>
              <w:textAlignment w:val="top"/>
              <w:rPr>
                <w:rFonts w:ascii="宋体" w:hAnsi="宋体" w:cs="宋体"/>
                <w:b/>
                <w:szCs w:val="21"/>
                <w:highlight w:val="none"/>
              </w:rPr>
            </w:pPr>
            <w:r>
              <w:rPr>
                <w:rFonts w:hint="eastAsia" w:ascii="宋体" w:hAnsi="宋体" w:cs="宋体"/>
                <w:b/>
                <w:kern w:val="0"/>
                <w:szCs w:val="21"/>
                <w:highlight w:val="none"/>
              </w:rPr>
              <w:t>募集期间资金及利息的处理方式</w:t>
            </w:r>
          </w:p>
        </w:tc>
        <w:tc>
          <w:tcPr>
            <w:tcW w:w="7513" w:type="dxa"/>
            <w:gridSpan w:val="5"/>
            <w:vAlign w:val="center"/>
          </w:tcPr>
          <w:p w14:paraId="21AE5D8A">
            <w:pPr>
              <w:widowControl/>
              <w:spacing w:line="300" w:lineRule="atLeast"/>
              <w:textAlignment w:val="top"/>
              <w:rPr>
                <w:rFonts w:ascii="宋体" w:hAnsi="宋体" w:cs="宋体"/>
                <w:kern w:val="0"/>
                <w:szCs w:val="21"/>
                <w:highlight w:val="none"/>
              </w:rPr>
            </w:pPr>
            <w:r>
              <w:rPr>
                <w:rFonts w:hint="eastAsia" w:ascii="宋体" w:hAnsi="宋体" w:cs="宋体"/>
                <w:szCs w:val="21"/>
                <w:highlight w:val="none"/>
              </w:rPr>
              <w:t>投资者在募集期内的认购申请被受理后，销售服务机构有权冻结认购款项。冻结期间资金由销售服务机构按人民币活期存款利率计付利息，利息不计入认购本金。募集期最后一日全部募集资金将被划入资金募集账户，该日募集资金不计息。</w:t>
            </w:r>
          </w:p>
        </w:tc>
      </w:tr>
      <w:tr w14:paraId="65A3E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815" w:type="dxa"/>
            <w:vAlign w:val="center"/>
          </w:tcPr>
          <w:p w14:paraId="3402EC5B">
            <w:pPr>
              <w:widowControl/>
              <w:spacing w:line="300" w:lineRule="atLeast"/>
              <w:jc w:val="center"/>
              <w:textAlignment w:val="top"/>
              <w:rPr>
                <w:rFonts w:ascii="宋体" w:hAnsi="宋体" w:cs="宋体"/>
                <w:b/>
                <w:szCs w:val="21"/>
                <w:highlight w:val="none"/>
              </w:rPr>
            </w:pPr>
            <w:r>
              <w:rPr>
                <w:rFonts w:hint="eastAsia" w:ascii="宋体" w:hAnsi="宋体" w:cs="宋体"/>
                <w:b/>
                <w:kern w:val="0"/>
                <w:szCs w:val="21"/>
                <w:highlight w:val="none"/>
              </w:rPr>
              <w:t>提前终止</w:t>
            </w:r>
          </w:p>
        </w:tc>
        <w:tc>
          <w:tcPr>
            <w:tcW w:w="7513" w:type="dxa"/>
            <w:gridSpan w:val="5"/>
            <w:vAlign w:val="center"/>
          </w:tcPr>
          <w:p w14:paraId="6891F23B">
            <w:pPr>
              <w:widowControl/>
              <w:spacing w:line="300" w:lineRule="atLeast"/>
              <w:textAlignment w:val="top"/>
              <w:rPr>
                <w:rFonts w:ascii="宋体" w:hAnsi="宋体" w:cs="宋体"/>
                <w:kern w:val="0"/>
                <w:szCs w:val="21"/>
                <w:highlight w:val="none"/>
              </w:rPr>
            </w:pPr>
            <w:r>
              <w:rPr>
                <w:rFonts w:hint="eastAsia" w:ascii="宋体" w:hAnsi="宋体" w:cs="宋体"/>
                <w:kern w:val="0"/>
                <w:szCs w:val="21"/>
                <w:highlight w:val="none"/>
              </w:rPr>
              <w:t>为保护投资者利益，管理人可根据市场变化情况提前终止本产品，投资者不得提前终止本产品。</w:t>
            </w:r>
          </w:p>
        </w:tc>
      </w:tr>
    </w:tbl>
    <w:p w14:paraId="0078D040">
      <w:pPr>
        <w:widowControl/>
        <w:spacing w:line="360" w:lineRule="auto"/>
        <w:jc w:val="left"/>
        <w:rPr>
          <w:rFonts w:ascii="宋体" w:hAnsi="宋体" w:cs="宋体"/>
          <w:sz w:val="24"/>
          <w:szCs w:val="24"/>
        </w:rPr>
      </w:pPr>
    </w:p>
    <w:p w14:paraId="00B97B38">
      <w:pPr>
        <w:spacing w:line="360" w:lineRule="auto"/>
        <w:jc w:val="center"/>
        <w:outlineLvl w:val="0"/>
        <w:rPr>
          <w:rFonts w:ascii="宋体" w:hAnsi="宋体" w:cs="宋体"/>
          <w:b/>
          <w:bCs/>
          <w:color w:val="000000"/>
          <w:sz w:val="28"/>
          <w:szCs w:val="28"/>
        </w:rPr>
      </w:pPr>
      <w:r>
        <w:rPr>
          <w:rFonts w:hint="eastAsia" w:ascii="宋体" w:hAnsi="宋体" w:cs="宋体"/>
          <w:b/>
          <w:bCs/>
          <w:color w:val="000000"/>
          <w:sz w:val="28"/>
          <w:szCs w:val="28"/>
        </w:rPr>
        <w:t>二、风险评级</w:t>
      </w:r>
    </w:p>
    <w:p w14:paraId="15DB771C">
      <w:pPr>
        <w:spacing w:line="360" w:lineRule="auto"/>
        <w:ind w:firstLine="420" w:firstLineChars="200"/>
        <w:rPr>
          <w:rFonts w:ascii="宋体" w:hAnsi="宋体" w:cs="宋体"/>
          <w:szCs w:val="21"/>
        </w:rPr>
      </w:pPr>
      <w:r>
        <w:rPr>
          <w:rFonts w:hint="eastAsia" w:ascii="宋体" w:hAnsi="宋体" w:cs="宋体"/>
          <w:szCs w:val="21"/>
        </w:rPr>
        <w:t>本理财产品经光大理财内部风险评级为</w:t>
      </w:r>
      <w:r>
        <w:rPr>
          <w:rFonts w:hint="eastAsia" w:ascii="宋体" w:hAnsi="宋体" w:cs="宋体"/>
          <w:b/>
          <w:bCs/>
          <w:szCs w:val="21"/>
        </w:rPr>
        <w:t>较低风险（二星级）。</w:t>
      </w:r>
      <w:r>
        <w:rPr>
          <w:rFonts w:hint="eastAsia" w:ascii="宋体" w:hAnsi="宋体" w:cs="宋体"/>
          <w:szCs w:val="21"/>
        </w:rPr>
        <w:t>销售服务机构负责完成投资者风险承受能力评估，并在遵循投资者适当性原则的前提下进行本理财产品的销售活动。</w:t>
      </w:r>
      <w:r>
        <w:rPr>
          <w:rFonts w:hint="eastAsia"/>
          <w:b/>
          <w:bCs/>
          <w:szCs w:val="21"/>
          <w:u w:val="single"/>
        </w:rPr>
        <w:t>本产品通过销售服务机构渠道销售的，理财产品评级应当以销售服务机构最终披露的评级结果为准。</w:t>
      </w:r>
    </w:p>
    <w:tbl>
      <w:tblPr>
        <w:tblStyle w:val="10"/>
        <w:tblW w:w="52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3"/>
        <w:gridCol w:w="2759"/>
      </w:tblGrid>
      <w:tr w14:paraId="4C0E3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3" w:type="dxa"/>
            <w:vAlign w:val="center"/>
          </w:tcPr>
          <w:p w14:paraId="6D25FB35">
            <w:pPr>
              <w:jc w:val="center"/>
              <w:rPr>
                <w:rFonts w:ascii="宋体" w:hAnsi="宋体" w:cs="宋体"/>
                <w:b/>
                <w:color w:val="000000"/>
                <w:szCs w:val="21"/>
              </w:rPr>
            </w:pPr>
            <w:r>
              <w:rPr>
                <w:rFonts w:hint="eastAsia" w:ascii="宋体" w:hAnsi="宋体" w:cs="宋体"/>
                <w:b/>
                <w:bCs/>
                <w:color w:val="000000"/>
                <w:szCs w:val="21"/>
              </w:rPr>
              <w:t>光大理财内部风险评级</w:t>
            </w:r>
          </w:p>
        </w:tc>
        <w:tc>
          <w:tcPr>
            <w:tcW w:w="2759" w:type="dxa"/>
            <w:vAlign w:val="center"/>
          </w:tcPr>
          <w:p w14:paraId="43A1417E">
            <w:pPr>
              <w:jc w:val="center"/>
              <w:rPr>
                <w:rFonts w:ascii="宋体" w:hAnsi="宋体" w:cs="宋体"/>
                <w:b/>
                <w:color w:val="000000"/>
                <w:szCs w:val="21"/>
              </w:rPr>
            </w:pPr>
            <w:r>
              <w:rPr>
                <w:rFonts w:hint="eastAsia" w:ascii="宋体" w:hAnsi="宋体" w:cs="宋体"/>
                <w:b/>
                <w:bCs/>
                <w:color w:val="000000"/>
                <w:szCs w:val="21"/>
              </w:rPr>
              <w:t>风险程度</w:t>
            </w:r>
          </w:p>
        </w:tc>
      </w:tr>
      <w:tr w14:paraId="3C7FA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3" w:type="dxa"/>
          </w:tcPr>
          <w:p w14:paraId="1A2610B4">
            <w:pPr>
              <w:jc w:val="center"/>
              <w:rPr>
                <w:rFonts w:ascii="宋体" w:hAnsi="宋体" w:cs="宋体"/>
                <w:bCs/>
                <w:szCs w:val="21"/>
              </w:rPr>
            </w:pPr>
            <w:r>
              <w:rPr>
                <w:rFonts w:hint="eastAsia" w:ascii="宋体" w:hAnsi="宋体" w:cs="宋体"/>
                <w:bCs/>
                <w:szCs w:val="21"/>
              </w:rPr>
              <w:t>★</w:t>
            </w:r>
          </w:p>
        </w:tc>
        <w:tc>
          <w:tcPr>
            <w:tcW w:w="2759" w:type="dxa"/>
          </w:tcPr>
          <w:p w14:paraId="4871AF85">
            <w:pPr>
              <w:jc w:val="center"/>
              <w:rPr>
                <w:rFonts w:ascii="宋体" w:hAnsi="宋体" w:cs="宋体"/>
                <w:szCs w:val="21"/>
              </w:rPr>
            </w:pPr>
            <w:r>
              <w:rPr>
                <w:rFonts w:hint="eastAsia" w:ascii="宋体" w:hAnsi="宋体" w:cs="宋体"/>
                <w:bCs/>
                <w:szCs w:val="21"/>
              </w:rPr>
              <w:t>低</w:t>
            </w:r>
          </w:p>
        </w:tc>
      </w:tr>
      <w:tr w14:paraId="6D71D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3" w:type="dxa"/>
          </w:tcPr>
          <w:p w14:paraId="1B46D605">
            <w:pPr>
              <w:jc w:val="center"/>
              <w:rPr>
                <w:rFonts w:ascii="宋体" w:hAnsi="宋体" w:cs="宋体"/>
                <w:szCs w:val="21"/>
              </w:rPr>
            </w:pPr>
            <w:r>
              <w:rPr>
                <w:rFonts w:hint="eastAsia" w:ascii="宋体" w:hAnsi="宋体" w:cs="宋体"/>
                <w:b/>
                <w:bCs/>
                <w:szCs w:val="21"/>
              </w:rPr>
              <w:t>★★</w:t>
            </w:r>
          </w:p>
        </w:tc>
        <w:tc>
          <w:tcPr>
            <w:tcW w:w="2759" w:type="dxa"/>
          </w:tcPr>
          <w:p w14:paraId="24A95CD7">
            <w:pPr>
              <w:jc w:val="center"/>
              <w:rPr>
                <w:rFonts w:ascii="宋体" w:hAnsi="宋体" w:cs="宋体"/>
                <w:b/>
                <w:szCs w:val="21"/>
              </w:rPr>
            </w:pPr>
            <w:r>
              <w:rPr>
                <w:rFonts w:hint="eastAsia" w:ascii="宋体" w:hAnsi="宋体" w:cs="宋体"/>
                <w:b/>
                <w:bCs/>
                <w:szCs w:val="21"/>
              </w:rPr>
              <w:t>较低</w:t>
            </w:r>
          </w:p>
        </w:tc>
      </w:tr>
      <w:tr w14:paraId="3F85F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3" w:type="dxa"/>
          </w:tcPr>
          <w:p w14:paraId="13D24B5F">
            <w:pPr>
              <w:jc w:val="center"/>
              <w:rPr>
                <w:rFonts w:ascii="宋体" w:hAnsi="宋体" w:cs="宋体"/>
                <w:b/>
                <w:szCs w:val="21"/>
              </w:rPr>
            </w:pPr>
            <w:r>
              <w:rPr>
                <w:rFonts w:hint="eastAsia" w:ascii="宋体" w:hAnsi="宋体" w:cs="宋体"/>
                <w:szCs w:val="21"/>
              </w:rPr>
              <w:t>★★★</w:t>
            </w:r>
          </w:p>
        </w:tc>
        <w:tc>
          <w:tcPr>
            <w:tcW w:w="2759" w:type="dxa"/>
          </w:tcPr>
          <w:p w14:paraId="50F3D737">
            <w:pPr>
              <w:jc w:val="center"/>
              <w:rPr>
                <w:rFonts w:ascii="宋体" w:hAnsi="宋体" w:cs="宋体"/>
                <w:szCs w:val="21"/>
              </w:rPr>
            </w:pPr>
            <w:r>
              <w:rPr>
                <w:rFonts w:hint="eastAsia" w:ascii="宋体" w:hAnsi="宋体" w:cs="宋体"/>
                <w:bCs/>
                <w:szCs w:val="21"/>
              </w:rPr>
              <w:t>中</w:t>
            </w:r>
          </w:p>
        </w:tc>
      </w:tr>
      <w:tr w14:paraId="18C57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3" w:type="dxa"/>
          </w:tcPr>
          <w:p w14:paraId="766F7A9D">
            <w:pPr>
              <w:jc w:val="center"/>
              <w:rPr>
                <w:rFonts w:ascii="宋体" w:hAnsi="宋体" w:cs="宋体"/>
                <w:b/>
                <w:szCs w:val="21"/>
              </w:rPr>
            </w:pPr>
            <w:r>
              <w:rPr>
                <w:rFonts w:hint="eastAsia" w:ascii="宋体" w:hAnsi="宋体" w:cs="宋体"/>
                <w:bCs/>
                <w:szCs w:val="21"/>
              </w:rPr>
              <w:t>★★★★</w:t>
            </w:r>
          </w:p>
        </w:tc>
        <w:tc>
          <w:tcPr>
            <w:tcW w:w="2759" w:type="dxa"/>
          </w:tcPr>
          <w:p w14:paraId="37CDC666">
            <w:pPr>
              <w:jc w:val="center"/>
              <w:rPr>
                <w:rFonts w:ascii="宋体" w:hAnsi="宋体" w:cs="宋体"/>
                <w:szCs w:val="21"/>
              </w:rPr>
            </w:pPr>
            <w:r>
              <w:rPr>
                <w:rFonts w:hint="eastAsia" w:ascii="宋体" w:hAnsi="宋体" w:cs="宋体"/>
                <w:bCs/>
                <w:szCs w:val="21"/>
              </w:rPr>
              <w:t>较高</w:t>
            </w:r>
          </w:p>
        </w:tc>
      </w:tr>
      <w:tr w14:paraId="6C4E7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453" w:type="dxa"/>
            <w:tcBorders>
              <w:bottom w:val="single" w:color="auto" w:sz="4" w:space="0"/>
            </w:tcBorders>
          </w:tcPr>
          <w:p w14:paraId="646B3218">
            <w:pPr>
              <w:jc w:val="center"/>
              <w:rPr>
                <w:rFonts w:ascii="宋体" w:hAnsi="宋体" w:cs="宋体"/>
                <w:b/>
                <w:bCs/>
                <w:szCs w:val="21"/>
              </w:rPr>
            </w:pPr>
            <w:r>
              <w:rPr>
                <w:rFonts w:hint="eastAsia" w:ascii="宋体" w:hAnsi="宋体" w:cs="宋体"/>
                <w:bCs/>
                <w:szCs w:val="21"/>
              </w:rPr>
              <w:t>★★★★★</w:t>
            </w:r>
          </w:p>
        </w:tc>
        <w:tc>
          <w:tcPr>
            <w:tcW w:w="2759" w:type="dxa"/>
            <w:tcBorders>
              <w:bottom w:val="single" w:color="auto" w:sz="4" w:space="0"/>
            </w:tcBorders>
          </w:tcPr>
          <w:p w14:paraId="40300872">
            <w:pPr>
              <w:jc w:val="center"/>
              <w:rPr>
                <w:rFonts w:ascii="宋体" w:hAnsi="宋体" w:cs="宋体"/>
                <w:szCs w:val="21"/>
              </w:rPr>
            </w:pPr>
            <w:r>
              <w:rPr>
                <w:rFonts w:hint="eastAsia" w:ascii="宋体" w:hAnsi="宋体" w:cs="宋体"/>
                <w:bCs/>
                <w:szCs w:val="21"/>
              </w:rPr>
              <w:t>高</w:t>
            </w:r>
          </w:p>
        </w:tc>
      </w:tr>
    </w:tbl>
    <w:p w14:paraId="25413ECC">
      <w:pPr>
        <w:pStyle w:val="24"/>
        <w:spacing w:line="360" w:lineRule="auto"/>
        <w:ind w:firstLine="0" w:firstLineChars="0"/>
        <w:jc w:val="left"/>
        <w:rPr>
          <w:rFonts w:ascii="宋体" w:hAnsi="宋体" w:cs="宋体"/>
          <w:sz w:val="24"/>
          <w:szCs w:val="24"/>
        </w:rPr>
      </w:pPr>
    </w:p>
    <w:p w14:paraId="236DFC41">
      <w:pPr>
        <w:spacing w:line="360" w:lineRule="auto"/>
        <w:jc w:val="center"/>
        <w:outlineLvl w:val="0"/>
        <w:rPr>
          <w:rFonts w:ascii="宋体" w:hAnsi="宋体" w:cs="宋体"/>
          <w:b/>
          <w:bCs/>
          <w:color w:val="000000"/>
          <w:sz w:val="28"/>
          <w:szCs w:val="28"/>
        </w:rPr>
      </w:pPr>
      <w:r>
        <w:rPr>
          <w:rFonts w:hint="eastAsia" w:ascii="宋体" w:hAnsi="宋体" w:cs="宋体"/>
          <w:b/>
          <w:bCs/>
          <w:color w:val="000000"/>
          <w:sz w:val="28"/>
          <w:szCs w:val="28"/>
        </w:rPr>
        <w:t>三、名词释义</w:t>
      </w:r>
    </w:p>
    <w:p w14:paraId="4431B2DA">
      <w:pPr>
        <w:spacing w:line="360" w:lineRule="auto"/>
        <w:ind w:firstLine="422" w:firstLineChars="200"/>
        <w:rPr>
          <w:rFonts w:ascii="宋体" w:hAnsi="宋体" w:cs="宋体"/>
          <w:szCs w:val="21"/>
        </w:rPr>
      </w:pPr>
      <w:r>
        <w:rPr>
          <w:rFonts w:ascii="宋体" w:hAnsi="宋体" w:cs="宋体"/>
          <w:b/>
          <w:bCs/>
          <w:szCs w:val="21"/>
        </w:rPr>
        <w:t>1.光大理财/本公司</w:t>
      </w:r>
      <w:r>
        <w:rPr>
          <w:rFonts w:ascii="宋体" w:hAnsi="宋体" w:cs="宋体"/>
          <w:b/>
          <w:bCs/>
          <w:color w:val="000000"/>
          <w:szCs w:val="21"/>
        </w:rPr>
        <w:t>/</w:t>
      </w:r>
      <w:r>
        <w:rPr>
          <w:rFonts w:hint="eastAsia" w:ascii="宋体" w:hAnsi="宋体" w:cs="宋体"/>
          <w:b/>
          <w:bCs/>
          <w:szCs w:val="21"/>
        </w:rPr>
        <w:t>理财产品管理人</w:t>
      </w:r>
      <w:r>
        <w:rPr>
          <w:rFonts w:ascii="宋体" w:hAnsi="宋体" w:cs="宋体"/>
          <w:b/>
          <w:bCs/>
          <w:szCs w:val="21"/>
        </w:rPr>
        <w:t>/产品管理人/管理人：</w:t>
      </w:r>
      <w:r>
        <w:rPr>
          <w:rFonts w:hint="eastAsia" w:ascii="宋体" w:hAnsi="宋体" w:cs="宋体"/>
          <w:szCs w:val="21"/>
        </w:rPr>
        <w:t>指光大理财有限责任公司。</w:t>
      </w:r>
    </w:p>
    <w:p w14:paraId="3D46E294">
      <w:pPr>
        <w:spacing w:line="360" w:lineRule="auto"/>
        <w:ind w:firstLine="422" w:firstLineChars="200"/>
        <w:rPr>
          <w:rFonts w:ascii="宋体" w:hAnsi="宋体" w:cs="宋体"/>
          <w:szCs w:val="21"/>
        </w:rPr>
      </w:pPr>
      <w:r>
        <w:rPr>
          <w:rFonts w:ascii="宋体" w:hAnsi="宋体" w:cs="宋体"/>
          <w:b/>
          <w:bCs/>
          <w:szCs w:val="21"/>
        </w:rPr>
        <w:t>2.理财产品/产品：</w:t>
      </w:r>
      <w:r>
        <w:rPr>
          <w:rFonts w:hint="eastAsia" w:ascii="宋体" w:hAnsi="宋体" w:cs="宋体"/>
          <w:szCs w:val="21"/>
        </w:rPr>
        <w:t>指光大理财按照约定条件和实际投资收益情况向投资者支付收益、不保证本金支付和收益水平的非保本理财产品。</w:t>
      </w:r>
    </w:p>
    <w:p w14:paraId="5A4236FD">
      <w:pPr>
        <w:spacing w:line="360" w:lineRule="auto"/>
        <w:ind w:firstLine="422" w:firstLineChars="200"/>
        <w:rPr>
          <w:rFonts w:ascii="宋体" w:hAnsi="宋体" w:cs="宋体"/>
          <w:szCs w:val="21"/>
        </w:rPr>
      </w:pPr>
      <w:r>
        <w:rPr>
          <w:rFonts w:ascii="宋体" w:hAnsi="宋体" w:cs="宋体"/>
          <w:b/>
          <w:bCs/>
          <w:szCs w:val="21"/>
        </w:rPr>
        <w:t>3.本理财产品/本产品：</w:t>
      </w:r>
      <w:r>
        <w:rPr>
          <w:rFonts w:hint="eastAsia" w:ascii="宋体" w:hAnsi="宋体" w:cs="宋体"/>
          <w:szCs w:val="21"/>
        </w:rPr>
        <w:t>指光大理财“</w:t>
      </w:r>
      <w:r>
        <w:rPr>
          <w:rFonts w:hint="eastAsia" w:ascii="宋体" w:hAnsi="宋体" w:cs="宋体"/>
          <w:szCs w:val="21"/>
          <w:lang w:eastAsia="zh-CN"/>
        </w:rPr>
        <w:t>阳光金增利稳健天天购35号（30天最低持有）</w:t>
      </w:r>
      <w:r>
        <w:rPr>
          <w:rFonts w:hint="eastAsia" w:ascii="宋体" w:hAnsi="宋体" w:cs="宋体"/>
          <w:szCs w:val="21"/>
        </w:rPr>
        <w:t>”理财产品。</w:t>
      </w:r>
    </w:p>
    <w:p w14:paraId="76C444ED">
      <w:pPr>
        <w:spacing w:line="360" w:lineRule="auto"/>
        <w:ind w:firstLine="422" w:firstLineChars="200"/>
        <w:rPr>
          <w:rFonts w:ascii="宋体" w:hAnsi="宋体" w:cs="宋体"/>
          <w:szCs w:val="21"/>
        </w:rPr>
      </w:pPr>
      <w:r>
        <w:rPr>
          <w:rFonts w:ascii="宋体" w:hAnsi="宋体" w:cs="宋体"/>
          <w:b/>
          <w:bCs/>
          <w:szCs w:val="21"/>
        </w:rPr>
        <w:t>4.理财产品份额/产品份额：</w:t>
      </w:r>
      <w:r>
        <w:rPr>
          <w:rFonts w:hint="eastAsia" w:ascii="宋体" w:hAnsi="宋体" w:cs="宋体"/>
          <w:szCs w:val="21"/>
        </w:rPr>
        <w:t>指投资者持有本理财产品的单位份额。投资者基于其所持有的理财产品单位份额享有理财产品利益、承担理财产品风险。</w:t>
      </w:r>
    </w:p>
    <w:p w14:paraId="38041A84">
      <w:pPr>
        <w:spacing w:line="360" w:lineRule="auto"/>
        <w:ind w:firstLine="422" w:firstLineChars="200"/>
        <w:rPr>
          <w:rFonts w:ascii="宋体" w:hAnsi="宋体" w:cs="宋体"/>
          <w:szCs w:val="21"/>
        </w:rPr>
      </w:pPr>
      <w:r>
        <w:rPr>
          <w:rFonts w:ascii="宋体" w:hAnsi="宋体" w:cs="宋体"/>
          <w:b/>
          <w:bCs/>
          <w:szCs w:val="21"/>
        </w:rPr>
        <w:t>5.理财产品份额净值：</w:t>
      </w:r>
      <w:r>
        <w:rPr>
          <w:rFonts w:hint="eastAsia" w:ascii="宋体" w:hAnsi="宋体" w:cs="宋体"/>
          <w:szCs w:val="21"/>
        </w:rPr>
        <w:t>指理财产品份额的单位净值，即每</w:t>
      </w:r>
      <w:r>
        <w:rPr>
          <w:rFonts w:ascii="宋体" w:hAnsi="宋体" w:cs="宋体"/>
          <w:szCs w:val="21"/>
        </w:rPr>
        <w:t>1份理财产品份额以人民币计价的价格。</w:t>
      </w:r>
    </w:p>
    <w:p w14:paraId="77AA70A6">
      <w:pPr>
        <w:spacing w:line="360" w:lineRule="auto"/>
        <w:ind w:firstLine="422" w:firstLineChars="200"/>
        <w:rPr>
          <w:rFonts w:ascii="宋体" w:hAnsi="宋体" w:cs="宋体"/>
          <w:szCs w:val="21"/>
        </w:rPr>
      </w:pPr>
      <w:r>
        <w:rPr>
          <w:rFonts w:ascii="宋体" w:hAnsi="宋体" w:cs="宋体"/>
          <w:b/>
          <w:bCs/>
          <w:szCs w:val="21"/>
        </w:rPr>
        <w:t>6.理财产品份额累计净值：</w:t>
      </w:r>
      <w:r>
        <w:rPr>
          <w:rFonts w:hint="eastAsia" w:ascii="宋体" w:hAnsi="宋体" w:cs="宋体"/>
          <w:szCs w:val="21"/>
        </w:rPr>
        <w:t>指理财产品份额的单位净值与产品成立后历次累计单位收益分配的总和。</w:t>
      </w:r>
    </w:p>
    <w:p w14:paraId="1D99BAFB">
      <w:pPr>
        <w:spacing w:line="360" w:lineRule="auto"/>
        <w:ind w:firstLine="401" w:firstLineChars="190"/>
        <w:rPr>
          <w:rFonts w:ascii="宋体" w:hAnsi="宋体" w:cs="宋体"/>
          <w:szCs w:val="21"/>
        </w:rPr>
      </w:pPr>
      <w:r>
        <w:rPr>
          <w:rFonts w:ascii="宋体" w:hAnsi="宋体" w:cs="宋体"/>
          <w:b/>
          <w:szCs w:val="21"/>
        </w:rPr>
        <w:t>7.理财产品份额分类：</w:t>
      </w:r>
      <w:r>
        <w:rPr>
          <w:rFonts w:hint="eastAsia" w:ascii="宋体" w:hAnsi="宋体" w:cs="宋体"/>
          <w:szCs w:val="21"/>
        </w:rPr>
        <w:t>指根据销售服务机构对不同客群设置各类销售安排的情况，将本产品区分为不同的份额类别。各类产品份额分设不同的销售名称及销售代码，分别设置销售服务费率、认（申）购金额与赎回份额，并分别计算和公布产品份额净值和份额累计净值。各类份额的差异性约定将在理财产品说明书中进行明确列举，除明确列举所适用份额类别的条款外，其他条款均适用于全部份额。</w:t>
      </w:r>
    </w:p>
    <w:p w14:paraId="3B6F8606">
      <w:pPr>
        <w:spacing w:line="360" w:lineRule="auto"/>
        <w:ind w:firstLine="422" w:firstLineChars="200"/>
        <w:rPr>
          <w:rFonts w:ascii="宋体" w:hAnsi="宋体" w:cs="宋体"/>
          <w:szCs w:val="21"/>
        </w:rPr>
      </w:pPr>
      <w:r>
        <w:rPr>
          <w:rFonts w:ascii="宋体" w:hAnsi="宋体" w:cs="宋体"/>
          <w:b/>
          <w:bCs/>
          <w:szCs w:val="21"/>
        </w:rPr>
        <w:t>8.工作日：</w:t>
      </w:r>
      <w:r>
        <w:rPr>
          <w:rFonts w:hint="eastAsia" w:ascii="宋体" w:hAnsi="宋体" w:cs="宋体"/>
          <w:szCs w:val="21"/>
        </w:rPr>
        <w:t>指国内法定工作日。</w:t>
      </w:r>
    </w:p>
    <w:p w14:paraId="79D6AA09">
      <w:pPr>
        <w:spacing w:line="360" w:lineRule="auto"/>
        <w:ind w:firstLine="422" w:firstLineChars="200"/>
        <w:rPr>
          <w:rFonts w:ascii="宋体" w:hAnsi="宋体" w:cs="宋体"/>
          <w:szCs w:val="21"/>
        </w:rPr>
      </w:pPr>
      <w:r>
        <w:rPr>
          <w:rFonts w:ascii="宋体" w:hAnsi="宋体" w:cs="宋体"/>
          <w:b/>
          <w:bCs/>
          <w:szCs w:val="21"/>
        </w:rPr>
        <w:t>9.交易所工作日：</w:t>
      </w:r>
      <w:r>
        <w:rPr>
          <w:rFonts w:hint="eastAsia" w:ascii="宋体" w:hAnsi="宋体" w:cs="宋体"/>
          <w:szCs w:val="21"/>
        </w:rPr>
        <w:t>指中国证券市场的法定交易日。</w:t>
      </w:r>
    </w:p>
    <w:p w14:paraId="31B9F351">
      <w:pPr>
        <w:spacing w:line="360" w:lineRule="auto"/>
        <w:ind w:firstLine="422" w:firstLineChars="200"/>
        <w:rPr>
          <w:rFonts w:ascii="宋体" w:hAnsi="宋体" w:cs="宋体"/>
          <w:szCs w:val="21"/>
        </w:rPr>
      </w:pPr>
      <w:r>
        <w:rPr>
          <w:rFonts w:ascii="宋体" w:hAnsi="宋体" w:cs="宋体"/>
          <w:b/>
          <w:bCs/>
          <w:szCs w:val="21"/>
        </w:rPr>
        <w:t>10.成立日：</w:t>
      </w:r>
      <w:r>
        <w:rPr>
          <w:rFonts w:hint="eastAsia" w:ascii="宋体" w:hAnsi="宋体" w:cs="宋体"/>
          <w:szCs w:val="21"/>
        </w:rPr>
        <w:t>指本产品完成首次募集发行，正式成立运作日。</w:t>
      </w:r>
    </w:p>
    <w:p w14:paraId="12CD27B1">
      <w:pPr>
        <w:spacing w:line="360" w:lineRule="auto"/>
        <w:ind w:firstLine="422" w:firstLineChars="200"/>
        <w:rPr>
          <w:rFonts w:ascii="宋体" w:hAnsi="宋体" w:cs="宋体"/>
          <w:szCs w:val="21"/>
        </w:rPr>
      </w:pPr>
      <w:r>
        <w:rPr>
          <w:rFonts w:ascii="宋体" w:hAnsi="宋体" w:cs="宋体"/>
          <w:b/>
          <w:bCs/>
          <w:szCs w:val="21"/>
        </w:rPr>
        <w:t>11.不可抗力：</w:t>
      </w:r>
      <w:r>
        <w:rPr>
          <w:rFonts w:hint="eastAsia" w:ascii="宋体" w:hAnsi="宋体" w:cs="宋体"/>
          <w:szCs w:val="21"/>
        </w:rPr>
        <w:t>指理财产品各方不能预见、不能避免且不能克服的客观情况，该事件妨碍、影响或延误任何一方依理财产品销售文件履行其全部或部分义务。该事件包括但不限于：</w:t>
      </w:r>
    </w:p>
    <w:p w14:paraId="024E1742">
      <w:pPr>
        <w:spacing w:line="360" w:lineRule="auto"/>
        <w:ind w:firstLine="420" w:firstLineChars="200"/>
        <w:rPr>
          <w:rFonts w:ascii="宋体" w:hAnsi="宋体" w:cs="宋体"/>
          <w:szCs w:val="21"/>
        </w:rPr>
      </w:pPr>
      <w:r>
        <w:rPr>
          <w:rFonts w:hint="eastAsia" w:ascii="宋体" w:hAnsi="宋体" w:cs="宋体"/>
          <w:szCs w:val="21"/>
        </w:rPr>
        <w:t>（</w:t>
      </w:r>
      <w:r>
        <w:rPr>
          <w:rFonts w:ascii="宋体" w:hAnsi="宋体" w:cs="宋体"/>
          <w:szCs w:val="21"/>
        </w:rPr>
        <w:t>1）地震、台风、海啸、洪水、火灾、停电、瘟疫</w:t>
      </w:r>
      <w:r>
        <w:rPr>
          <w:rFonts w:hint="eastAsia" w:ascii="宋体" w:hAnsi="宋体" w:cs="宋体"/>
          <w:szCs w:val="21"/>
        </w:rPr>
        <w:t>等严重传染病；</w:t>
      </w:r>
    </w:p>
    <w:p w14:paraId="5DF6AABC">
      <w:pPr>
        <w:spacing w:line="360" w:lineRule="auto"/>
        <w:ind w:firstLine="420" w:firstLineChars="200"/>
        <w:rPr>
          <w:rFonts w:ascii="宋体" w:hAnsi="宋体" w:cs="宋体"/>
          <w:szCs w:val="21"/>
        </w:rPr>
      </w:pPr>
      <w:r>
        <w:rPr>
          <w:rFonts w:hint="eastAsia" w:ascii="宋体" w:hAnsi="宋体" w:cs="宋体"/>
          <w:szCs w:val="21"/>
        </w:rPr>
        <w:t>（</w:t>
      </w:r>
      <w:r>
        <w:rPr>
          <w:rFonts w:ascii="宋体" w:hAnsi="宋体" w:cs="宋体"/>
          <w:szCs w:val="21"/>
        </w:rPr>
        <w:t>2）战争、政变、恐怖主义行动、骚乱、罢工；</w:t>
      </w:r>
    </w:p>
    <w:p w14:paraId="29BA98BE">
      <w:pPr>
        <w:spacing w:line="360" w:lineRule="auto"/>
        <w:ind w:firstLine="420" w:firstLineChars="200"/>
        <w:rPr>
          <w:rFonts w:ascii="宋体" w:hAnsi="宋体" w:cs="宋体"/>
          <w:szCs w:val="21"/>
        </w:rPr>
      </w:pPr>
      <w:r>
        <w:rPr>
          <w:rFonts w:hint="eastAsia" w:ascii="宋体" w:hAnsi="宋体" w:cs="宋体"/>
          <w:szCs w:val="21"/>
        </w:rPr>
        <w:t>（</w:t>
      </w:r>
      <w:r>
        <w:rPr>
          <w:rFonts w:ascii="宋体" w:hAnsi="宋体" w:cs="宋体"/>
          <w:szCs w:val="21"/>
        </w:rPr>
        <w:t>3）新法律的适用或国家政策的颁布或实施、对原适用法律或国家政策的修改；</w:t>
      </w:r>
    </w:p>
    <w:p w14:paraId="56468115">
      <w:pPr>
        <w:spacing w:line="360" w:lineRule="auto"/>
        <w:ind w:firstLine="420" w:firstLineChars="200"/>
        <w:rPr>
          <w:rFonts w:ascii="宋体" w:hAnsi="宋体" w:cs="宋体"/>
          <w:szCs w:val="21"/>
        </w:rPr>
      </w:pPr>
      <w:r>
        <w:rPr>
          <w:rFonts w:hint="eastAsia" w:ascii="宋体" w:hAnsi="宋体" w:cs="宋体"/>
          <w:szCs w:val="21"/>
        </w:rPr>
        <w:t>（</w:t>
      </w:r>
      <w:r>
        <w:rPr>
          <w:rFonts w:ascii="宋体" w:hAnsi="宋体" w:cs="宋体"/>
          <w:szCs w:val="21"/>
        </w:rPr>
        <w:t>4</w:t>
      </w:r>
      <w:r>
        <w:rPr>
          <w:rFonts w:hint="eastAsia" w:ascii="宋体" w:hAnsi="宋体" w:cs="宋体"/>
          <w:szCs w:val="21"/>
        </w:rPr>
        <w:t>）</w:t>
      </w:r>
      <w:r>
        <w:rPr>
          <w:rFonts w:hint="eastAsia" w:ascii="宋体" w:hAnsi="宋体" w:cs="宋体"/>
          <w:color w:val="000000"/>
        </w:rPr>
        <w:t>监管机构</w:t>
      </w:r>
      <w:r>
        <w:rPr>
          <w:rFonts w:hint="eastAsia" w:ascii="宋体" w:hAnsi="宋体" w:cs="宋体"/>
          <w:szCs w:val="21"/>
        </w:rPr>
        <w:t>或其他有权机关强制要求终止理财产品（该等强制要求不可归咎于任何一方）；</w:t>
      </w:r>
    </w:p>
    <w:p w14:paraId="69239C62">
      <w:pPr>
        <w:spacing w:line="360" w:lineRule="auto"/>
        <w:ind w:firstLine="420" w:firstLineChars="200"/>
        <w:rPr>
          <w:rFonts w:ascii="宋体" w:hAnsi="宋体" w:cs="宋体"/>
          <w:szCs w:val="21"/>
        </w:rPr>
      </w:pPr>
      <w:r>
        <w:rPr>
          <w:rFonts w:hint="eastAsia" w:ascii="宋体" w:hAnsi="宋体" w:cs="宋体"/>
          <w:szCs w:val="21"/>
        </w:rPr>
        <w:t>（</w:t>
      </w:r>
      <w:r>
        <w:rPr>
          <w:rFonts w:ascii="宋体" w:hAnsi="宋体" w:cs="宋体"/>
          <w:szCs w:val="21"/>
        </w:rPr>
        <w:t>5）因电信部门技术调整或故障等原因而造成的理财产品各方和/或其关联方之服务、营业的中断或者延迟。</w:t>
      </w:r>
    </w:p>
    <w:p w14:paraId="5C9EE975">
      <w:pPr>
        <w:spacing w:line="360" w:lineRule="auto"/>
        <w:ind w:firstLine="422" w:firstLineChars="200"/>
        <w:rPr>
          <w:rFonts w:ascii="宋体" w:hAnsi="宋体" w:cs="宋体"/>
          <w:szCs w:val="21"/>
        </w:rPr>
      </w:pPr>
      <w:r>
        <w:rPr>
          <w:rFonts w:ascii="宋体" w:hAnsi="宋体" w:cs="宋体"/>
          <w:b/>
          <w:bCs/>
          <w:szCs w:val="21"/>
        </w:rPr>
        <w:t>1</w:t>
      </w:r>
      <w:r>
        <w:rPr>
          <w:rFonts w:hint="eastAsia" w:ascii="宋体" w:hAnsi="宋体" w:cs="宋体"/>
          <w:b/>
          <w:bCs/>
          <w:szCs w:val="21"/>
        </w:rPr>
        <w:t>2</w:t>
      </w:r>
      <w:r>
        <w:rPr>
          <w:rFonts w:ascii="宋体" w:hAnsi="宋体" w:cs="宋体"/>
          <w:b/>
          <w:bCs/>
          <w:szCs w:val="21"/>
        </w:rPr>
        <w:t>.</w:t>
      </w:r>
      <w:r>
        <w:rPr>
          <w:rFonts w:hint="eastAsia" w:ascii="宋体" w:hAnsi="宋体" w:cs="宋体"/>
          <w:b/>
          <w:bCs/>
          <w:szCs w:val="21"/>
        </w:rPr>
        <w:t>销售服务机构：</w:t>
      </w:r>
      <w:r>
        <w:rPr>
          <w:rFonts w:hint="eastAsia" w:ascii="宋体" w:hAnsi="宋体" w:cs="宋体"/>
          <w:szCs w:val="21"/>
        </w:rPr>
        <w:t>指符合《关于规范金融机构资产管理业务的指导意见》《商业银行理财业务监督管理办法》《商业银行理财子公司管理办法》《理财公司理财产品销售管理暂行办法》《商业银行代理销售业务管理办法和</w:t>
      </w:r>
      <w:r>
        <w:rPr>
          <w:rFonts w:hint="eastAsia" w:ascii="宋体" w:hAnsi="宋体" w:cs="宋体"/>
          <w:color w:val="000000"/>
        </w:rPr>
        <w:t>监管机构</w:t>
      </w:r>
      <w:r>
        <w:rPr>
          <w:rFonts w:hint="eastAsia" w:ascii="宋体" w:hAnsi="宋体" w:cs="宋体"/>
          <w:szCs w:val="21"/>
        </w:rPr>
        <w:t>规定的其他条件，取得理财产品销售资格并与管理人签订了理财产品销售代理协议，代为办理理财产品销售业务的机构。</w:t>
      </w:r>
    </w:p>
    <w:p w14:paraId="503A4681">
      <w:pPr>
        <w:spacing w:line="360" w:lineRule="auto"/>
        <w:ind w:firstLine="422" w:firstLineChars="200"/>
        <w:rPr>
          <w:rFonts w:ascii="宋体" w:hAnsi="宋体" w:cs="宋体"/>
          <w:szCs w:val="21"/>
        </w:rPr>
      </w:pPr>
      <w:r>
        <w:rPr>
          <w:rFonts w:hint="eastAsia" w:ascii="宋体" w:hAnsi="宋体" w:cs="宋体"/>
          <w:b/>
          <w:bCs/>
          <w:szCs w:val="21"/>
        </w:rPr>
        <w:t>13.流动性受限资产：</w:t>
      </w:r>
      <w:r>
        <w:rPr>
          <w:rFonts w:hint="eastAsia" w:ascii="宋体" w:hAnsi="宋体" w:cs="宋体"/>
          <w:szCs w:val="21"/>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7526563F">
      <w:pPr>
        <w:spacing w:line="360" w:lineRule="auto"/>
        <w:ind w:firstLine="422" w:firstLineChars="200"/>
        <w:rPr>
          <w:rFonts w:ascii="宋体" w:hAnsi="宋体" w:cs="宋体"/>
          <w:szCs w:val="21"/>
        </w:rPr>
      </w:pPr>
      <w:r>
        <w:rPr>
          <w:rFonts w:hint="eastAsia" w:ascii="宋体" w:hAnsi="宋体" w:cs="宋体"/>
          <w:b/>
          <w:bCs/>
          <w:szCs w:val="21"/>
        </w:rPr>
        <w:t>14.7个工作日可变现资产</w:t>
      </w:r>
      <w:r>
        <w:rPr>
          <w:rFonts w:hint="eastAsia" w:ascii="宋体" w:hAnsi="宋体" w:cs="宋体"/>
          <w:szCs w:val="21"/>
        </w:rPr>
        <w:t>：是指包括可在交易所、银行间市场正常交易的股票、债券、非金融企业债务融资工具、期货及期权合约以及同业存单，7个工作日内到期或可支取的买入返售、银行存款，7个工作日内能够确认收到的各类应收款项等。</w:t>
      </w:r>
    </w:p>
    <w:p w14:paraId="1BBFFF2F">
      <w:pPr>
        <w:spacing w:line="360" w:lineRule="auto"/>
        <w:ind w:firstLine="422" w:firstLineChars="200"/>
        <w:jc w:val="left"/>
        <w:rPr>
          <w:rFonts w:ascii="宋体" w:hAnsi="宋体" w:cs="宋体"/>
          <w:color w:val="000000"/>
          <w:sz w:val="22"/>
        </w:rPr>
      </w:pPr>
      <w:r>
        <w:rPr>
          <w:rFonts w:hint="eastAsia" w:ascii="宋体" w:hAnsi="宋体" w:cs="宋体"/>
          <w:b/>
          <w:bCs/>
          <w:szCs w:val="21"/>
        </w:rPr>
        <w:t>15.摆动定价</w:t>
      </w:r>
      <w:r>
        <w:rPr>
          <w:rFonts w:hint="eastAsia" w:ascii="宋体" w:hAnsi="宋体" w:cs="宋体"/>
          <w:b/>
          <w:bCs/>
          <w:szCs w:val="21"/>
          <w:lang w:eastAsia="zh-Hans"/>
        </w:rPr>
        <w:t>机制</w:t>
      </w:r>
      <w:r>
        <w:rPr>
          <w:rFonts w:hint="eastAsia" w:ascii="宋体" w:hAnsi="宋体" w:cs="宋体"/>
          <w:b/>
          <w:bCs/>
          <w:szCs w:val="21"/>
        </w:rPr>
        <w:t>：</w:t>
      </w:r>
      <w:r>
        <w:rPr>
          <w:rFonts w:hint="eastAsia" w:ascii="宋体" w:hAnsi="宋体" w:cs="宋体"/>
          <w:szCs w:val="21"/>
        </w:rPr>
        <w:t>是指当开放式公募理财产品遭遇大额</w:t>
      </w:r>
      <w:r>
        <w:rPr>
          <w:rFonts w:ascii="宋体" w:hAnsi="宋体" w:cs="宋体"/>
          <w:szCs w:val="21"/>
        </w:rPr>
        <w:t>申</w:t>
      </w:r>
      <w:r>
        <w:rPr>
          <w:rFonts w:hint="eastAsia" w:ascii="宋体" w:hAnsi="宋体" w:cs="宋体"/>
          <w:szCs w:val="21"/>
        </w:rPr>
        <w:t>购或赎回时，通过调整理财产品份额净值的方式，将理财产品调整投资组合的市场冲击成本分配给实际</w:t>
      </w:r>
      <w:r>
        <w:rPr>
          <w:rFonts w:ascii="宋体" w:hAnsi="宋体" w:cs="宋体"/>
          <w:szCs w:val="21"/>
        </w:rPr>
        <w:t>申</w:t>
      </w:r>
      <w:r>
        <w:rPr>
          <w:rFonts w:hint="eastAsia" w:ascii="宋体" w:hAnsi="宋体" w:cs="宋体"/>
          <w:szCs w:val="21"/>
        </w:rPr>
        <w:t>购、赎回的投资者，从而减少对存量理财产品份额持有人利益的不利影响</w:t>
      </w:r>
      <w:r>
        <w:rPr>
          <w:rFonts w:ascii="宋体" w:hAnsi="宋体" w:cs="宋体"/>
          <w:szCs w:val="21"/>
        </w:rPr>
        <w:t>，</w:t>
      </w:r>
      <w:r>
        <w:rPr>
          <w:rFonts w:hint="eastAsia" w:ascii="宋体" w:hAnsi="宋体" w:cs="宋体"/>
          <w:szCs w:val="21"/>
        </w:rPr>
        <w:t>以期</w:t>
      </w:r>
      <w:r>
        <w:rPr>
          <w:rFonts w:ascii="宋体" w:hAnsi="宋体" w:cs="宋体"/>
          <w:szCs w:val="21"/>
        </w:rPr>
        <w:t>投资者的合法权益得到公平对待</w:t>
      </w:r>
      <w:r>
        <w:rPr>
          <w:rFonts w:hint="eastAsia" w:ascii="宋体" w:hAnsi="宋体" w:cs="宋体"/>
          <w:szCs w:val="21"/>
        </w:rPr>
        <w:t>。</w:t>
      </w:r>
    </w:p>
    <w:p w14:paraId="26B0DEF0">
      <w:pPr>
        <w:spacing w:line="360" w:lineRule="auto"/>
        <w:jc w:val="center"/>
        <w:rPr>
          <w:rFonts w:ascii="宋体" w:hAnsi="宋体" w:cs="宋体"/>
          <w:b/>
          <w:bCs/>
          <w:sz w:val="28"/>
          <w:szCs w:val="28"/>
        </w:rPr>
      </w:pPr>
    </w:p>
    <w:p w14:paraId="269DD9DA">
      <w:pPr>
        <w:spacing w:line="360" w:lineRule="auto"/>
        <w:jc w:val="center"/>
        <w:outlineLvl w:val="0"/>
        <w:rPr>
          <w:rFonts w:ascii="宋体" w:hAnsi="宋体" w:cs="宋体"/>
          <w:b/>
          <w:bCs/>
          <w:sz w:val="28"/>
          <w:szCs w:val="28"/>
        </w:rPr>
      </w:pPr>
      <w:r>
        <w:rPr>
          <w:rFonts w:ascii="宋体" w:hAnsi="宋体" w:cs="宋体"/>
          <w:b/>
          <w:bCs/>
          <w:sz w:val="28"/>
          <w:szCs w:val="28"/>
        </w:rPr>
        <w:t>四、投资管理</w:t>
      </w:r>
    </w:p>
    <w:p w14:paraId="5353A057">
      <w:pPr>
        <w:spacing w:line="360" w:lineRule="auto"/>
        <w:ind w:firstLine="422" w:firstLineChars="200"/>
        <w:outlineLvl w:val="1"/>
        <w:rPr>
          <w:rFonts w:ascii="宋体" w:hAnsi="宋体" w:cs="宋体"/>
          <w:b/>
          <w:szCs w:val="21"/>
        </w:rPr>
      </w:pPr>
      <w:r>
        <w:rPr>
          <w:rFonts w:hint="eastAsia" w:ascii="宋体" w:hAnsi="宋体" w:cs="宋体"/>
          <w:b/>
          <w:szCs w:val="21"/>
        </w:rPr>
        <w:t>（一）投资范围</w:t>
      </w:r>
    </w:p>
    <w:p w14:paraId="42964F2E">
      <w:pPr>
        <w:spacing w:line="360" w:lineRule="auto"/>
        <w:ind w:firstLine="420" w:firstLineChars="200"/>
        <w:rPr>
          <w:rFonts w:ascii="宋体" w:hAnsi="宋体" w:cs="宋体"/>
          <w:bCs/>
          <w:szCs w:val="21"/>
        </w:rPr>
      </w:pPr>
      <w:r>
        <w:rPr>
          <w:rFonts w:hint="eastAsia" w:ascii="宋体" w:hAnsi="宋体" w:cs="宋体"/>
          <w:bCs/>
          <w:szCs w:val="21"/>
        </w:rPr>
        <w:t>本产品投资范围为投资于境内外市场的固定收益类、权益类、金融衍生品类资产。其中：</w:t>
      </w:r>
    </w:p>
    <w:p w14:paraId="56778C51">
      <w:pPr>
        <w:spacing w:line="360" w:lineRule="auto"/>
        <w:ind w:firstLine="420" w:firstLineChars="200"/>
        <w:rPr>
          <w:rFonts w:ascii="宋体" w:hAnsi="宋体" w:cs="宋体"/>
          <w:bCs/>
          <w:szCs w:val="21"/>
        </w:rPr>
      </w:pPr>
      <w:r>
        <w:rPr>
          <w:rFonts w:hint="eastAsia" w:ascii="宋体" w:hAnsi="宋体" w:cs="宋体"/>
          <w:bCs/>
          <w:szCs w:val="21"/>
        </w:rPr>
        <w:t>固定收益类资产包括：国债、地方政府债券、中央银行票据、政府机构债券、金融债券、银行存款、大额存单、同业存单、债券回购、公司信用类债券、资产支持证券、可转债、可交换债及</w:t>
      </w:r>
      <w:r>
        <w:rPr>
          <w:rFonts w:hint="eastAsia" w:ascii="宋体" w:hAnsi="宋体" w:cs="宋体"/>
          <w:bCs/>
          <w:szCs w:val="21"/>
          <w:lang w:val="en-US" w:eastAsia="zh-CN"/>
        </w:rPr>
        <w:t>监管机构</w:t>
      </w:r>
      <w:r>
        <w:rPr>
          <w:rFonts w:hint="eastAsia" w:ascii="宋体" w:hAnsi="宋体" w:cs="宋体"/>
          <w:bCs/>
          <w:szCs w:val="21"/>
        </w:rPr>
        <w:t>认可的其他资产。</w:t>
      </w:r>
    </w:p>
    <w:p w14:paraId="235BF1E5">
      <w:pPr>
        <w:spacing w:line="360" w:lineRule="auto"/>
        <w:ind w:firstLine="420" w:firstLineChars="200"/>
        <w:rPr>
          <w:rFonts w:ascii="宋体" w:hAnsi="宋体" w:cs="宋体"/>
          <w:bCs/>
          <w:szCs w:val="21"/>
        </w:rPr>
      </w:pPr>
      <w:r>
        <w:rPr>
          <w:rFonts w:hint="eastAsia" w:ascii="宋体" w:hAnsi="宋体" w:cs="宋体"/>
          <w:bCs/>
          <w:szCs w:val="21"/>
        </w:rPr>
        <w:t>权益类资产包括：优先股。</w:t>
      </w:r>
    </w:p>
    <w:p w14:paraId="6B0A9957">
      <w:pPr>
        <w:spacing w:line="360" w:lineRule="auto"/>
        <w:ind w:firstLine="420" w:firstLineChars="200"/>
        <w:rPr>
          <w:rFonts w:ascii="宋体" w:hAnsi="宋体" w:cs="宋体"/>
          <w:bCs/>
          <w:szCs w:val="21"/>
        </w:rPr>
      </w:pPr>
      <w:r>
        <w:rPr>
          <w:rFonts w:hint="eastAsia" w:ascii="宋体" w:hAnsi="宋体" w:cs="宋体"/>
          <w:bCs/>
          <w:szCs w:val="21"/>
        </w:rPr>
        <w:t>金融衍生品类资产以套期保值为目的，包括：利率互换、国债期货、信用风险缓释凭证、债券总收益互换等金融衍生品及</w:t>
      </w:r>
      <w:r>
        <w:rPr>
          <w:rFonts w:hint="eastAsia" w:ascii="宋体" w:hAnsi="宋体" w:cs="宋体"/>
          <w:bCs/>
          <w:szCs w:val="21"/>
          <w:lang w:val="en-US" w:eastAsia="zh-CN"/>
        </w:rPr>
        <w:t>监管机构</w:t>
      </w:r>
      <w:r>
        <w:rPr>
          <w:rFonts w:hint="eastAsia" w:ascii="宋体" w:hAnsi="宋体" w:cs="宋体"/>
          <w:bCs/>
          <w:szCs w:val="21"/>
        </w:rPr>
        <w:t>认可的其他资产。</w:t>
      </w:r>
    </w:p>
    <w:p w14:paraId="7C36FF2F">
      <w:pPr>
        <w:spacing w:line="360" w:lineRule="auto"/>
        <w:ind w:firstLine="420" w:firstLineChars="200"/>
        <w:rPr>
          <w:rFonts w:ascii="宋体" w:hAnsi="宋体" w:cs="宋体"/>
          <w:bCs/>
          <w:szCs w:val="21"/>
        </w:rPr>
      </w:pPr>
      <w:r>
        <w:rPr>
          <w:rFonts w:hint="eastAsia" w:ascii="宋体" w:hAnsi="宋体" w:cs="宋体"/>
          <w:bCs/>
          <w:szCs w:val="21"/>
        </w:rPr>
        <w:t>本产品可以投资于以上述资产为投资对象的公募证券投资基金及其他资产管理产品。其中，境外金融工具可通过资产管理产品、结构性存款、结构性票据等进行投资。</w:t>
      </w:r>
    </w:p>
    <w:p w14:paraId="0FDC8354">
      <w:pPr>
        <w:spacing w:line="360" w:lineRule="auto"/>
        <w:ind w:firstLine="422" w:firstLineChars="200"/>
        <w:outlineLvl w:val="1"/>
        <w:rPr>
          <w:rFonts w:ascii="宋体" w:hAnsi="宋体" w:cs="宋体"/>
          <w:b/>
          <w:szCs w:val="21"/>
        </w:rPr>
      </w:pPr>
      <w:r>
        <w:rPr>
          <w:rFonts w:hint="eastAsia" w:ascii="宋体" w:hAnsi="宋体" w:cs="宋体"/>
          <w:b/>
          <w:szCs w:val="21"/>
        </w:rPr>
        <w:t>（二）投资比例</w:t>
      </w:r>
    </w:p>
    <w:p w14:paraId="24C9D49E">
      <w:pPr>
        <w:spacing w:line="360" w:lineRule="auto"/>
        <w:ind w:firstLine="420" w:firstLineChars="200"/>
        <w:rPr>
          <w:rFonts w:ascii="宋体" w:hAnsi="宋体" w:cs="宋体"/>
          <w:bCs/>
          <w:szCs w:val="21"/>
        </w:rPr>
      </w:pPr>
      <w:r>
        <w:rPr>
          <w:rFonts w:hint="eastAsia" w:ascii="宋体" w:hAnsi="宋体" w:cs="宋体"/>
          <w:bCs/>
          <w:szCs w:val="21"/>
        </w:rPr>
        <w:t>1.固定收益类资产的投资比例不低于80%，权益类资产投资比例不高于20%，金融衍生品类资产（以合约价值计）的投资比例不高于20%,且金融衍生品类资产（以保证金计）的投资比例不高于5%。其中，可转债、可交换债的投资比例不超过5%。本产品将会在产品成立日之后的15个交易所工作日内使资产配置比例符合上述规定。非因管理人主观因素导致突破上述比例限制的，本产品管理人在流动性受限资产可出售、可转让或者恢复交易的15个交易日内调整至符合要求。</w:t>
      </w:r>
    </w:p>
    <w:p w14:paraId="7EB8DC10">
      <w:pPr>
        <w:spacing w:line="360" w:lineRule="auto"/>
        <w:ind w:firstLine="420" w:firstLineChars="200"/>
        <w:rPr>
          <w:rFonts w:ascii="宋体" w:hAnsi="宋体" w:cs="宋体"/>
          <w:bCs/>
          <w:szCs w:val="21"/>
        </w:rPr>
      </w:pPr>
      <w:r>
        <w:rPr>
          <w:rFonts w:ascii="宋体" w:hAnsi="宋体" w:cs="宋体"/>
          <w:bCs/>
          <w:szCs w:val="21"/>
        </w:rPr>
        <w:t>2.现金或者到期日在一年以内的国债、中央银行票据和政策性金融债券占产品资产净值的比例不低于5%。</w:t>
      </w:r>
    </w:p>
    <w:p w14:paraId="7D636BBD">
      <w:pPr>
        <w:spacing w:line="360" w:lineRule="auto"/>
        <w:ind w:firstLine="420" w:firstLineChars="200"/>
        <w:rPr>
          <w:rFonts w:ascii="宋体" w:hAnsi="宋体" w:cs="宋体"/>
          <w:bCs/>
          <w:szCs w:val="21"/>
        </w:rPr>
      </w:pPr>
      <w:r>
        <w:rPr>
          <w:rFonts w:ascii="宋体" w:hAnsi="宋体" w:cs="宋体"/>
          <w:bCs/>
          <w:szCs w:val="21"/>
        </w:rPr>
        <w:t>3.在开放日前一工作日内，</w:t>
      </w:r>
      <w:r>
        <w:rPr>
          <w:rFonts w:hint="eastAsia" w:ascii="宋体" w:hAnsi="宋体" w:cs="宋体"/>
          <w:bCs/>
          <w:szCs w:val="21"/>
        </w:rPr>
        <w:t>本</w:t>
      </w:r>
      <w:r>
        <w:rPr>
          <w:rFonts w:ascii="宋体" w:hAnsi="宋体" w:cs="宋体"/>
          <w:bCs/>
          <w:szCs w:val="21"/>
        </w:rPr>
        <w:t>理财产品7个工作日可变现资产的可变现价值应当不低于该产品资产净值的10%。</w:t>
      </w:r>
    </w:p>
    <w:p w14:paraId="199CDBC0">
      <w:pPr>
        <w:spacing w:line="360" w:lineRule="auto"/>
        <w:ind w:firstLine="420" w:firstLineChars="200"/>
      </w:pPr>
      <w:r>
        <w:rPr>
          <w:rFonts w:ascii="宋体" w:hAnsi="宋体" w:cs="宋体"/>
          <w:bCs/>
          <w:szCs w:val="21"/>
        </w:rPr>
        <w:t>4.直</w:t>
      </w:r>
      <w:r>
        <w:rPr>
          <w:rFonts w:hint="eastAsia"/>
        </w:rPr>
        <w:t>接投资于流动性受限资产的市值在开放日不超过该产品净资产的15%。因证券市场波动、上市公司股票停牌、理财产品规模变动等因素导致理财产品不符合本条规定比例限制的，本理财产品不得主动新增投资流动性受限资产。</w:t>
      </w:r>
    </w:p>
    <w:p w14:paraId="6C8C24AC">
      <w:pPr>
        <w:spacing w:line="360" w:lineRule="auto"/>
        <w:ind w:firstLine="422" w:firstLineChars="200"/>
        <w:jc w:val="left"/>
        <w:rPr>
          <w:rFonts w:ascii="宋体" w:hAnsi="宋体" w:cs="宋体"/>
          <w:szCs w:val="21"/>
        </w:rPr>
      </w:pPr>
      <w:r>
        <w:rPr>
          <w:rFonts w:hint="eastAsia" w:ascii="宋体" w:hAnsi="宋体" w:cs="宋体"/>
          <w:b/>
          <w:bCs/>
          <w:szCs w:val="21"/>
        </w:rPr>
        <w:t>5.</w:t>
      </w:r>
      <w:r>
        <w:rPr>
          <w:rFonts w:hint="eastAsia" w:ascii="宋体" w:hAnsi="宋体" w:cs="宋体"/>
          <w:b/>
          <w:szCs w:val="21"/>
        </w:rPr>
        <w:t>本产品若投资不存在活跃交易市场，并且需要采用估值技术确定公允价值的资产，其投资比例应低于该产品净资产50%。</w:t>
      </w:r>
      <w:r>
        <w:rPr>
          <w:rFonts w:hint="eastAsia"/>
          <w:b/>
          <w:bCs/>
        </w:rPr>
        <w:t>非因管理人主观因素导致突破前款规定比例限制的，本理财产品不得新增投资上述资产。</w:t>
      </w:r>
    </w:p>
    <w:p w14:paraId="4D63D2EA">
      <w:pPr>
        <w:spacing w:line="360" w:lineRule="auto"/>
        <w:ind w:firstLine="422" w:firstLineChars="200"/>
        <w:outlineLvl w:val="1"/>
        <w:rPr>
          <w:rFonts w:ascii="宋体" w:hAnsi="宋体" w:cs="宋体"/>
          <w:b/>
          <w:szCs w:val="21"/>
        </w:rPr>
      </w:pPr>
      <w:r>
        <w:rPr>
          <w:rFonts w:hint="eastAsia" w:ascii="宋体" w:hAnsi="宋体" w:cs="宋体"/>
          <w:b/>
          <w:szCs w:val="21"/>
        </w:rPr>
        <w:t>（三）投资策略</w:t>
      </w:r>
    </w:p>
    <w:p w14:paraId="050E00D5">
      <w:pPr>
        <w:spacing w:line="360" w:lineRule="auto"/>
        <w:ind w:firstLine="420" w:firstLineChars="200"/>
        <w:rPr>
          <w:rFonts w:ascii="宋体" w:hAnsi="宋体" w:cs="宋体"/>
          <w:bCs/>
          <w:szCs w:val="21"/>
        </w:rPr>
      </w:pPr>
      <w:r>
        <w:rPr>
          <w:rFonts w:hint="eastAsia" w:ascii="宋体" w:hAnsi="宋体" w:cs="宋体"/>
          <w:bCs/>
          <w:szCs w:val="21"/>
        </w:rPr>
        <w:t>本产品利用定性分析和定量分析方法，通过对金融工具的积极投资，在有效控制投资风险和保持流动性的基础上，力争获得高于业绩比较基准的投资回报，主要投资策略包括资产配置策略、利率策略、收益率曲线策略、信用策略、杠杆策略、权益投资策略等。</w:t>
      </w:r>
    </w:p>
    <w:p w14:paraId="4ADDDDD0">
      <w:pPr>
        <w:spacing w:line="360" w:lineRule="auto"/>
        <w:ind w:firstLine="420" w:firstLineChars="200"/>
        <w:outlineLvl w:val="2"/>
        <w:rPr>
          <w:rFonts w:ascii="宋体" w:hAnsi="宋体" w:cs="宋体"/>
          <w:bCs/>
          <w:szCs w:val="21"/>
        </w:rPr>
      </w:pPr>
      <w:r>
        <w:rPr>
          <w:rFonts w:hint="eastAsia" w:ascii="宋体" w:hAnsi="宋体" w:cs="宋体"/>
          <w:bCs/>
          <w:szCs w:val="21"/>
        </w:rPr>
        <w:t>1.资产配置策略</w:t>
      </w:r>
    </w:p>
    <w:p w14:paraId="7C385218">
      <w:pPr>
        <w:spacing w:line="360" w:lineRule="auto"/>
        <w:ind w:firstLine="420" w:firstLineChars="200"/>
        <w:rPr>
          <w:rFonts w:ascii="宋体" w:hAnsi="宋体" w:cs="宋体"/>
          <w:bCs/>
          <w:szCs w:val="21"/>
        </w:rPr>
      </w:pPr>
      <w:r>
        <w:rPr>
          <w:rFonts w:hint="eastAsia" w:ascii="宋体" w:hAnsi="宋体" w:cs="宋体"/>
          <w:bCs/>
          <w:szCs w:val="21"/>
        </w:rPr>
        <w:t>产品管理人根据市场情况和可投资品种的容量，在严谨深入的研究分析基础上，综合考量宏观经济情况，流动性情况，债券信用评级，各类资产的收益率水平，确定各类资产的配置比例。</w:t>
      </w:r>
    </w:p>
    <w:p w14:paraId="50D8F08D">
      <w:pPr>
        <w:spacing w:line="360" w:lineRule="auto"/>
        <w:ind w:firstLine="420" w:firstLineChars="200"/>
        <w:outlineLvl w:val="2"/>
        <w:rPr>
          <w:rFonts w:ascii="宋体" w:hAnsi="宋体" w:cs="宋体"/>
          <w:bCs/>
          <w:szCs w:val="21"/>
        </w:rPr>
      </w:pPr>
      <w:r>
        <w:rPr>
          <w:rFonts w:hint="eastAsia" w:ascii="宋体" w:hAnsi="宋体" w:cs="宋体"/>
          <w:bCs/>
          <w:szCs w:val="21"/>
        </w:rPr>
        <w:t>2.利率策略</w:t>
      </w:r>
    </w:p>
    <w:p w14:paraId="0F6F76BB">
      <w:pPr>
        <w:spacing w:line="360" w:lineRule="auto"/>
        <w:ind w:firstLine="420" w:firstLineChars="200"/>
        <w:rPr>
          <w:rFonts w:ascii="宋体" w:hAnsi="宋体" w:cs="宋体"/>
          <w:bCs/>
          <w:szCs w:val="21"/>
        </w:rPr>
      </w:pPr>
      <w:r>
        <w:rPr>
          <w:rFonts w:hint="eastAsia" w:ascii="宋体" w:hAnsi="宋体" w:cs="宋体"/>
          <w:bCs/>
          <w:szCs w:val="21"/>
        </w:rPr>
        <w:t>本产品管理人重点关注GDP、通货膨胀、固定资产投资、对外贸易情况、全球经济形势等宏观经济指标。通过对宏观经济形势的深度分析，对未来市场利率变动方向的预期，实现对债券投资组合久期的正确把握。</w:t>
      </w:r>
    </w:p>
    <w:p w14:paraId="454302D0">
      <w:pPr>
        <w:spacing w:line="360" w:lineRule="auto"/>
        <w:ind w:firstLine="420" w:firstLineChars="200"/>
        <w:outlineLvl w:val="2"/>
        <w:rPr>
          <w:rFonts w:ascii="宋体" w:hAnsi="宋体" w:cs="宋体"/>
          <w:bCs/>
          <w:szCs w:val="21"/>
        </w:rPr>
      </w:pPr>
      <w:r>
        <w:rPr>
          <w:rFonts w:hint="eastAsia" w:ascii="宋体" w:hAnsi="宋体" w:cs="宋体"/>
          <w:bCs/>
          <w:szCs w:val="21"/>
        </w:rPr>
        <w:t>3.收益率曲线策略</w:t>
      </w:r>
    </w:p>
    <w:p w14:paraId="29169FAB">
      <w:pPr>
        <w:spacing w:line="360" w:lineRule="auto"/>
        <w:ind w:firstLine="420" w:firstLineChars="200"/>
        <w:rPr>
          <w:rFonts w:ascii="宋体" w:hAnsi="宋体" w:cs="宋体"/>
          <w:bCs/>
          <w:szCs w:val="21"/>
        </w:rPr>
      </w:pPr>
      <w:r>
        <w:rPr>
          <w:rFonts w:hint="eastAsia" w:ascii="宋体" w:hAnsi="宋体" w:cs="宋体"/>
          <w:bCs/>
          <w:szCs w:val="21"/>
        </w:rPr>
        <w:t>收益率曲线策略是以对收益率曲线形状变动的预期为依据建立或改变组合期限结构。要运用收益率曲线策略，必须先预测收益率曲线变动的方向，然后根据收益率曲线形状变动的情景分析，构建组合的期限结构。</w:t>
      </w:r>
    </w:p>
    <w:p w14:paraId="60B6DF09">
      <w:pPr>
        <w:spacing w:line="360" w:lineRule="auto"/>
        <w:ind w:firstLine="420" w:firstLineChars="200"/>
        <w:outlineLvl w:val="2"/>
        <w:rPr>
          <w:rFonts w:ascii="宋体" w:hAnsi="宋体" w:cs="宋体"/>
          <w:bCs/>
          <w:szCs w:val="21"/>
        </w:rPr>
      </w:pPr>
      <w:r>
        <w:rPr>
          <w:rFonts w:hint="eastAsia" w:ascii="宋体" w:hAnsi="宋体" w:cs="宋体"/>
          <w:bCs/>
          <w:szCs w:val="21"/>
        </w:rPr>
        <w:t>4.信用策略</w:t>
      </w:r>
    </w:p>
    <w:p w14:paraId="6E2A26B2">
      <w:pPr>
        <w:spacing w:line="360" w:lineRule="auto"/>
        <w:ind w:firstLine="420" w:firstLineChars="200"/>
        <w:rPr>
          <w:rFonts w:ascii="宋体" w:hAnsi="宋体" w:cs="宋体"/>
          <w:bCs/>
          <w:szCs w:val="21"/>
        </w:rPr>
      </w:pPr>
      <w:r>
        <w:rPr>
          <w:rFonts w:hint="eastAsia" w:ascii="宋体" w:hAnsi="宋体" w:cs="宋体"/>
          <w:bCs/>
          <w:szCs w:val="21"/>
        </w:rPr>
        <w:t>产品管理人通过建立完善的内部信用评级体系，通过宏观、中观、微观等自上而下对发行人进行研究，并从经营风险、财务风险、外部支持等多方面对个券进行全面研究，积极主动挖掘到风险收益匹配度较好的投资品种，为实时交易提供参考。并重点研究信用市场环境的变化，掌握并预测信用利差波动的规律，以此作为信用品种配置时机的重要依据。</w:t>
      </w:r>
    </w:p>
    <w:p w14:paraId="5B144FF3">
      <w:pPr>
        <w:spacing w:line="360" w:lineRule="auto"/>
        <w:ind w:firstLine="420" w:firstLineChars="200"/>
        <w:outlineLvl w:val="2"/>
        <w:rPr>
          <w:rFonts w:ascii="宋体" w:hAnsi="宋体" w:cs="宋体"/>
          <w:bCs/>
          <w:szCs w:val="21"/>
        </w:rPr>
      </w:pPr>
      <w:r>
        <w:rPr>
          <w:rFonts w:hint="eastAsia" w:ascii="宋体" w:hAnsi="宋体" w:cs="宋体"/>
          <w:bCs/>
          <w:szCs w:val="21"/>
        </w:rPr>
        <w:t>5.杠杆策略</w:t>
      </w:r>
    </w:p>
    <w:p w14:paraId="398DB9CD">
      <w:pPr>
        <w:spacing w:line="360" w:lineRule="auto"/>
        <w:ind w:firstLine="420" w:firstLineChars="200"/>
        <w:rPr>
          <w:rFonts w:ascii="宋体" w:hAnsi="宋体" w:cs="宋体"/>
          <w:bCs/>
          <w:szCs w:val="21"/>
        </w:rPr>
      </w:pPr>
      <w:r>
        <w:rPr>
          <w:rFonts w:hint="eastAsia" w:ascii="宋体" w:hAnsi="宋体" w:cs="宋体"/>
          <w:bCs/>
          <w:szCs w:val="21"/>
        </w:rPr>
        <w:t>本产品杠杆策略为利用债券质押式回购进行融资，根据需要和配置情况合理选择银行间市场和交易所市场的债券质押式回购品种，保持组合的收益大于融资成本，追求稳定的收益增厚。</w:t>
      </w:r>
    </w:p>
    <w:p w14:paraId="28EE57A7">
      <w:pPr>
        <w:spacing w:line="360" w:lineRule="auto"/>
        <w:ind w:firstLine="420" w:firstLineChars="200"/>
        <w:outlineLvl w:val="2"/>
        <w:rPr>
          <w:rFonts w:ascii="宋体" w:hAnsi="宋体" w:cs="宋体"/>
          <w:bCs/>
          <w:szCs w:val="21"/>
        </w:rPr>
      </w:pPr>
      <w:r>
        <w:rPr>
          <w:rFonts w:hint="eastAsia" w:ascii="宋体" w:hAnsi="宋体" w:cs="宋体"/>
          <w:bCs/>
          <w:szCs w:val="21"/>
        </w:rPr>
        <w:t>6.权益投资策略</w:t>
      </w:r>
    </w:p>
    <w:p w14:paraId="2F77C419">
      <w:pPr>
        <w:spacing w:line="360" w:lineRule="auto"/>
        <w:ind w:firstLine="420" w:firstLineChars="200"/>
        <w:rPr>
          <w:rFonts w:ascii="宋体" w:hAnsi="宋体" w:cs="宋体"/>
          <w:b/>
          <w:szCs w:val="21"/>
        </w:rPr>
      </w:pPr>
      <w:r>
        <w:rPr>
          <w:rFonts w:hint="eastAsia" w:ascii="宋体" w:hAnsi="宋体" w:cs="宋体"/>
          <w:bCs/>
          <w:szCs w:val="21"/>
        </w:rPr>
        <w:t>本产品通过自上而下的研究，选择景气度较高的行业进行投资，并在行业中选取优秀的个股或者重点配置该行业的基金进行配置。品种选择上，本产品选择相对波动率低、具有稳健收益的品种。</w:t>
      </w:r>
    </w:p>
    <w:p w14:paraId="63B4BD57">
      <w:pPr>
        <w:spacing w:line="360" w:lineRule="auto"/>
        <w:ind w:firstLine="422" w:firstLineChars="200"/>
        <w:outlineLvl w:val="1"/>
        <w:rPr>
          <w:rFonts w:ascii="宋体" w:hAnsi="宋体" w:cs="宋体"/>
          <w:b/>
          <w:szCs w:val="21"/>
        </w:rPr>
      </w:pPr>
      <w:r>
        <w:rPr>
          <w:rFonts w:hint="eastAsia" w:ascii="宋体" w:hAnsi="宋体" w:cs="宋体"/>
          <w:b/>
          <w:szCs w:val="21"/>
        </w:rPr>
        <w:t>（四）业绩比较基准</w:t>
      </w:r>
    </w:p>
    <w:p w14:paraId="3E13A064">
      <w:pPr>
        <w:spacing w:line="360" w:lineRule="auto"/>
        <w:ind w:firstLine="422" w:firstLineChars="200"/>
        <w:rPr>
          <w:rFonts w:ascii="宋体" w:hAnsi="宋体" w:cs="宋体"/>
          <w:b/>
          <w:bCs w:val="0"/>
          <w:szCs w:val="21"/>
        </w:rPr>
      </w:pPr>
      <w:r>
        <w:rPr>
          <w:rFonts w:ascii="宋体" w:hAnsi="宋体" w:cs="宋体"/>
          <w:b/>
          <w:bCs w:val="0"/>
          <w:szCs w:val="21"/>
        </w:rPr>
        <w:t>1.</w:t>
      </w:r>
      <w:r>
        <w:rPr>
          <w:rFonts w:hint="eastAsia" w:ascii="宋体" w:hAnsi="宋体" w:cs="宋体"/>
          <w:b/>
          <w:bCs w:val="0"/>
          <w:szCs w:val="21"/>
        </w:rPr>
        <w:t>本产品的业绩比较基准（年化）</w:t>
      </w:r>
      <w:r>
        <w:rPr>
          <w:rFonts w:hint="eastAsia" w:ascii="宋体" w:hAnsi="宋体" w:cs="宋体"/>
          <w:b/>
          <w:bCs w:val="0"/>
          <w:szCs w:val="21"/>
          <w:lang w:eastAsia="zh-CN"/>
        </w:rPr>
        <w:t>：</w:t>
      </w:r>
      <w:r>
        <w:rPr>
          <w:rFonts w:hint="eastAsia" w:ascii="宋体" w:hAnsi="宋体" w:cs="宋体"/>
          <w:b/>
          <w:bCs w:val="0"/>
          <w:szCs w:val="21"/>
        </w:rPr>
        <w:t>D类份额：</w:t>
      </w:r>
      <w:r>
        <w:rPr>
          <w:rFonts w:hint="eastAsia" w:ascii="宋体" w:hAnsi="宋体" w:cs="宋体"/>
          <w:b/>
          <w:bCs w:val="0"/>
          <w:szCs w:val="21"/>
          <w:lang w:eastAsia="zh-CN"/>
        </w:rPr>
        <w:t>1.20%-2.00%；I类</w:t>
      </w:r>
      <w:r>
        <w:rPr>
          <w:rFonts w:hint="eastAsia" w:ascii="宋体" w:hAnsi="宋体" w:cs="宋体"/>
          <w:b/>
          <w:bCs w:val="0"/>
          <w:szCs w:val="21"/>
        </w:rPr>
        <w:t>份额：</w:t>
      </w:r>
      <w:r>
        <w:rPr>
          <w:rFonts w:hint="eastAsia" w:ascii="宋体" w:hAnsi="宋体" w:cs="宋体"/>
          <w:b/>
          <w:bCs w:val="0"/>
          <w:szCs w:val="21"/>
          <w:lang w:eastAsia="zh-CN"/>
        </w:rPr>
        <w:t>1.25%-2.05%。</w:t>
      </w:r>
    </w:p>
    <w:p w14:paraId="181DC3D2">
      <w:pPr>
        <w:spacing w:line="360" w:lineRule="auto"/>
        <w:ind w:firstLine="422" w:firstLineChars="200"/>
        <w:rPr>
          <w:rFonts w:ascii="宋体" w:hAnsi="宋体" w:cs="宋体"/>
          <w:b/>
          <w:bCs w:val="0"/>
          <w:szCs w:val="21"/>
        </w:rPr>
      </w:pPr>
      <w:r>
        <w:rPr>
          <w:rFonts w:ascii="宋体" w:hAnsi="宋体" w:cs="宋体"/>
          <w:b/>
          <w:bCs w:val="0"/>
          <w:szCs w:val="21"/>
        </w:rPr>
        <w:t>2.</w:t>
      </w:r>
      <w:r>
        <w:rPr>
          <w:rFonts w:hint="eastAsia" w:ascii="宋体" w:hAnsi="宋体" w:cs="宋体"/>
          <w:b/>
          <w:bCs w:val="0"/>
          <w:szCs w:val="21"/>
        </w:rPr>
        <w:t>业绩比较基准的测算依据</w:t>
      </w:r>
    </w:p>
    <w:p w14:paraId="303929D4">
      <w:pPr>
        <w:spacing w:line="360" w:lineRule="auto"/>
        <w:ind w:firstLine="422" w:firstLineChars="200"/>
        <w:rPr>
          <w:rFonts w:ascii="宋体" w:hAnsi="宋体" w:cs="宋体"/>
          <w:b/>
          <w:bCs w:val="0"/>
          <w:szCs w:val="21"/>
        </w:rPr>
      </w:pPr>
      <w:r>
        <w:rPr>
          <w:rFonts w:hint="eastAsia" w:ascii="宋体" w:hAnsi="宋体" w:cs="宋体"/>
          <w:b/>
          <w:bCs w:val="0"/>
          <w:szCs w:val="21"/>
        </w:rPr>
        <w:t>本产品主要投资于债券等，适度投资于优先股，业绩比较基准根据策略目标基准中债综合财富指数等历史数据进行测算。业绩比较基准是管理人基于产品性质、投资策略、过往经验等因素对产品设定的投资目标，业绩比较基准不是预期收益率，不代表产品的未来表现和实际收益，不构成对产品收益的承诺。</w:t>
      </w:r>
      <w:r>
        <w:rPr>
          <w:rFonts w:ascii="宋体" w:hAnsi="宋体" w:cs="宋体"/>
          <w:b/>
          <w:bCs w:val="0"/>
          <w:szCs w:val="21"/>
        </w:rPr>
        <w:t>如</w:t>
      </w:r>
      <w:r>
        <w:rPr>
          <w:rFonts w:hint="eastAsia" w:ascii="宋体" w:hAnsi="宋体" w:cs="宋体"/>
          <w:b/>
          <w:bCs w:val="0"/>
          <w:szCs w:val="21"/>
        </w:rPr>
        <w:t>遇调整业绩比较基准的情况，管理人应至少提前2</w:t>
      </w:r>
      <w:r>
        <w:rPr>
          <w:rFonts w:ascii="宋体" w:hAnsi="宋体" w:cs="宋体"/>
          <w:b/>
          <w:bCs w:val="0"/>
          <w:szCs w:val="21"/>
        </w:rPr>
        <w:t>个工作日公布调整后的业绩比较基准；实际业绩比较基准以管理人公布的理财产品业绩比较基准为准</w:t>
      </w:r>
      <w:r>
        <w:rPr>
          <w:rFonts w:hint="eastAsia" w:ascii="宋体" w:hAnsi="宋体" w:cs="宋体"/>
          <w:b/>
          <w:bCs w:val="0"/>
          <w:szCs w:val="21"/>
        </w:rPr>
        <w:t>。</w:t>
      </w:r>
    </w:p>
    <w:p w14:paraId="5B038B29">
      <w:pPr>
        <w:spacing w:line="360" w:lineRule="auto"/>
        <w:ind w:firstLine="422" w:firstLineChars="200"/>
        <w:rPr>
          <w:rFonts w:ascii="宋体" w:hAnsi="宋体" w:cs="宋体"/>
          <w:b/>
          <w:bCs w:val="0"/>
          <w:szCs w:val="21"/>
        </w:rPr>
      </w:pPr>
      <w:r>
        <w:rPr>
          <w:rFonts w:hint="eastAsia" w:ascii="宋体" w:hAnsi="宋体" w:cs="宋体"/>
          <w:b/>
          <w:bCs w:val="0"/>
          <w:szCs w:val="21"/>
        </w:rPr>
        <w:t>各类产品份额业绩比较基准存在差异仅因销售服务机构对各类份额收取的销售服务费率不同所致。</w:t>
      </w:r>
    </w:p>
    <w:p w14:paraId="25F8AA34">
      <w:pPr>
        <w:spacing w:line="360" w:lineRule="auto"/>
        <w:ind w:firstLine="422" w:firstLineChars="200"/>
        <w:outlineLvl w:val="1"/>
        <w:rPr>
          <w:rFonts w:ascii="宋体" w:hAnsi="宋体" w:cs="宋体"/>
          <w:b/>
          <w:szCs w:val="21"/>
        </w:rPr>
      </w:pPr>
      <w:r>
        <w:rPr>
          <w:rFonts w:hint="eastAsia" w:ascii="宋体" w:hAnsi="宋体" w:cs="宋体"/>
          <w:b/>
          <w:szCs w:val="21"/>
        </w:rPr>
        <w:t>（五）投资限制</w:t>
      </w:r>
    </w:p>
    <w:p w14:paraId="641912B9">
      <w:pPr>
        <w:spacing w:line="360" w:lineRule="auto"/>
        <w:ind w:firstLine="420" w:firstLineChars="200"/>
        <w:outlineLvl w:val="2"/>
        <w:rPr>
          <w:rFonts w:ascii="宋体" w:hAnsi="宋体" w:cs="宋体"/>
          <w:bCs/>
          <w:szCs w:val="21"/>
        </w:rPr>
      </w:pPr>
      <w:r>
        <w:rPr>
          <w:rFonts w:hint="eastAsia" w:ascii="宋体" w:hAnsi="宋体" w:cs="宋体"/>
          <w:bCs/>
          <w:szCs w:val="21"/>
        </w:rPr>
        <w:t>1.投资集中度限制</w:t>
      </w:r>
    </w:p>
    <w:p w14:paraId="0A4F8A1B">
      <w:pPr>
        <w:spacing w:line="360" w:lineRule="auto"/>
        <w:ind w:firstLine="420" w:firstLineChars="200"/>
        <w:rPr>
          <w:rFonts w:ascii="宋体" w:hAnsi="宋体" w:cs="宋体"/>
          <w:bCs/>
          <w:szCs w:val="21"/>
        </w:rPr>
      </w:pPr>
      <w:r>
        <w:rPr>
          <w:rFonts w:hint="eastAsia" w:ascii="宋体" w:hAnsi="宋体" w:cs="宋体"/>
          <w:bCs/>
          <w:szCs w:val="21"/>
        </w:rPr>
        <w:t>（1）本产品投资单只证券或者单只证券投资基金的市值不得超过产品净资产的10%。</w:t>
      </w:r>
    </w:p>
    <w:p w14:paraId="776FEE43">
      <w:pPr>
        <w:spacing w:line="360" w:lineRule="auto"/>
        <w:ind w:firstLine="420" w:firstLineChars="200"/>
        <w:rPr>
          <w:rFonts w:ascii="宋体" w:hAnsi="宋体" w:cs="宋体"/>
          <w:bCs/>
          <w:szCs w:val="21"/>
        </w:rPr>
      </w:pPr>
      <w:r>
        <w:rPr>
          <w:rFonts w:hint="eastAsia" w:ascii="宋体" w:hAnsi="宋体" w:cs="宋体"/>
          <w:bCs/>
          <w:szCs w:val="21"/>
        </w:rPr>
        <w:t>（2）管理人发行的全部公募资产管理产品投资单只证券或者单只证券投资基金的市值不得超过该证券市值或者该证券投资基金市值的30%。其中，管理人全部开放式公募资产管理产品投资单一上市公司发行的股票不得超过该上市公司可流通股票的15%。</w:t>
      </w:r>
    </w:p>
    <w:p w14:paraId="5B1AA3E7">
      <w:pPr>
        <w:spacing w:line="360" w:lineRule="auto"/>
        <w:ind w:firstLine="420" w:firstLineChars="200"/>
        <w:rPr>
          <w:rFonts w:ascii="宋体" w:hAnsi="宋体" w:cs="宋体"/>
          <w:bCs/>
          <w:szCs w:val="21"/>
        </w:rPr>
      </w:pPr>
      <w:r>
        <w:rPr>
          <w:rFonts w:hint="eastAsia" w:ascii="宋体" w:hAnsi="宋体" w:cs="宋体"/>
          <w:bCs/>
          <w:szCs w:val="21"/>
        </w:rPr>
        <w:t>（3）管理人全部资产管理产品投资单一上市公司发行的股票不得超过该上市公司可流通股票的30%。</w:t>
      </w:r>
    </w:p>
    <w:p w14:paraId="0BD56765">
      <w:pPr>
        <w:spacing w:line="360" w:lineRule="auto"/>
        <w:ind w:firstLine="420" w:firstLineChars="200"/>
        <w:rPr>
          <w:rFonts w:ascii="宋体" w:hAnsi="宋体" w:cs="宋体"/>
          <w:bCs/>
          <w:szCs w:val="21"/>
        </w:rPr>
      </w:pPr>
      <w:r>
        <w:rPr>
          <w:rFonts w:hint="eastAsia" w:ascii="宋体" w:hAnsi="宋体" w:cs="宋体"/>
          <w:bCs/>
          <w:szCs w:val="21"/>
        </w:rPr>
        <w:t>金融监督管理部门另有规定的除外。</w:t>
      </w:r>
    </w:p>
    <w:p w14:paraId="2861ED6C">
      <w:pPr>
        <w:spacing w:line="360" w:lineRule="auto"/>
        <w:ind w:firstLine="420" w:firstLineChars="200"/>
        <w:rPr>
          <w:rFonts w:ascii="宋体" w:hAnsi="宋体" w:cs="宋体"/>
          <w:bCs/>
          <w:szCs w:val="21"/>
        </w:rPr>
      </w:pPr>
      <w:r>
        <w:rPr>
          <w:rFonts w:hint="eastAsia" w:ascii="宋体" w:hAnsi="宋体" w:cs="宋体"/>
          <w:bCs/>
          <w:szCs w:val="21"/>
        </w:rPr>
        <w:t>对于非因管理人主观因素导致突破上述比例限制的，管理人应当在流动性受限资产可出售、可转让或者恢复交易的10个交易日内调整至符合要求。</w:t>
      </w:r>
    </w:p>
    <w:p w14:paraId="1132AEC8">
      <w:pPr>
        <w:spacing w:line="360" w:lineRule="auto"/>
        <w:ind w:firstLine="420" w:firstLineChars="200"/>
        <w:outlineLvl w:val="2"/>
        <w:rPr>
          <w:rFonts w:ascii="宋体" w:hAnsi="宋体" w:cs="宋体"/>
          <w:bCs/>
          <w:szCs w:val="21"/>
        </w:rPr>
      </w:pPr>
      <w:r>
        <w:rPr>
          <w:rFonts w:hint="eastAsia" w:ascii="宋体" w:hAnsi="宋体" w:cs="宋体"/>
          <w:bCs/>
          <w:szCs w:val="21"/>
        </w:rPr>
        <w:t>2.评级限制</w:t>
      </w:r>
    </w:p>
    <w:p w14:paraId="64E4F847">
      <w:pPr>
        <w:spacing w:line="360" w:lineRule="auto"/>
        <w:ind w:firstLine="420" w:firstLineChars="200"/>
        <w:rPr>
          <w:rFonts w:ascii="宋体" w:hAnsi="宋体" w:cs="宋体"/>
          <w:bCs/>
          <w:szCs w:val="21"/>
        </w:rPr>
      </w:pPr>
      <w:r>
        <w:rPr>
          <w:rFonts w:hint="eastAsia" w:ascii="宋体" w:hAnsi="宋体" w:cs="宋体"/>
          <w:bCs/>
          <w:szCs w:val="21"/>
        </w:rPr>
        <w:t>（1）本产品投资的各类债券主体（发行人或增信人）或债项评级达到AA 级（含）以上（投资存续期间评级调整的除外）。若无主体和债项评级的，则按照产品管理人内部投资决策进行投资。</w:t>
      </w:r>
    </w:p>
    <w:p w14:paraId="3EA601E8">
      <w:pPr>
        <w:spacing w:line="360" w:lineRule="auto"/>
        <w:ind w:firstLine="420" w:firstLineChars="200"/>
        <w:rPr>
          <w:rFonts w:ascii="宋体" w:hAnsi="宋体" w:cs="宋体"/>
          <w:bCs/>
          <w:szCs w:val="21"/>
        </w:rPr>
      </w:pPr>
      <w:r>
        <w:rPr>
          <w:rFonts w:hint="eastAsia" w:ascii="宋体" w:hAnsi="宋体" w:cs="宋体"/>
          <w:bCs/>
          <w:szCs w:val="21"/>
        </w:rPr>
        <w:t>（2）投资资产支持证券的债项评级须在AA（含）以上，不投资资产支持证券的次级档债券。</w:t>
      </w:r>
    </w:p>
    <w:p w14:paraId="763C5A0D">
      <w:pPr>
        <w:spacing w:line="360" w:lineRule="auto"/>
        <w:ind w:firstLine="420" w:firstLineChars="200"/>
        <w:rPr>
          <w:rFonts w:ascii="宋体" w:hAnsi="宋体" w:cs="宋体"/>
          <w:bCs/>
          <w:szCs w:val="21"/>
        </w:rPr>
      </w:pPr>
      <w:r>
        <w:rPr>
          <w:rFonts w:hint="eastAsia" w:ascii="宋体" w:hAnsi="宋体" w:cs="宋体"/>
          <w:bCs/>
          <w:szCs w:val="21"/>
        </w:rPr>
        <w:t>（3）本产品与交易对手开展买入返售交易的，可接受押品的资质要求应当满足本理财产品说明书约定的评级要求。</w:t>
      </w:r>
    </w:p>
    <w:p w14:paraId="6248A4D1">
      <w:pPr>
        <w:spacing w:line="360" w:lineRule="auto"/>
        <w:ind w:firstLine="420" w:firstLineChars="200"/>
        <w:outlineLvl w:val="2"/>
        <w:rPr>
          <w:rFonts w:ascii="宋体" w:hAnsi="宋体" w:cs="宋体"/>
          <w:bCs/>
          <w:szCs w:val="21"/>
        </w:rPr>
      </w:pPr>
      <w:r>
        <w:rPr>
          <w:rFonts w:hint="eastAsia" w:ascii="宋体" w:hAnsi="宋体" w:cs="宋体"/>
          <w:bCs/>
          <w:szCs w:val="21"/>
        </w:rPr>
        <w:t>3.本产品的总资产不得超过产品净资产的140%。</w:t>
      </w:r>
    </w:p>
    <w:p w14:paraId="613207C7">
      <w:pPr>
        <w:tabs>
          <w:tab w:val="left" w:pos="420"/>
          <w:tab w:val="left" w:pos="720"/>
        </w:tabs>
        <w:spacing w:line="360" w:lineRule="auto"/>
        <w:ind w:firstLine="422" w:firstLineChars="200"/>
        <w:outlineLvl w:val="1"/>
        <w:rPr>
          <w:rFonts w:ascii="宋体" w:hAnsi="宋体" w:cs="宋体"/>
          <w:b/>
          <w:szCs w:val="21"/>
        </w:rPr>
      </w:pPr>
      <w:r>
        <w:rPr>
          <w:rFonts w:hint="eastAsia" w:ascii="宋体" w:hAnsi="宋体" w:cs="宋体"/>
          <w:b/>
          <w:szCs w:val="21"/>
        </w:rPr>
        <w:t>（六）投资范围调整</w:t>
      </w:r>
    </w:p>
    <w:p w14:paraId="706A98DE">
      <w:pPr>
        <w:spacing w:line="360" w:lineRule="auto"/>
        <w:ind w:firstLine="422" w:firstLineChars="200"/>
        <w:rPr>
          <w:rFonts w:ascii="宋体" w:hAnsi="宋体" w:cs="宋体"/>
          <w:b/>
          <w:bCs w:val="0"/>
          <w:szCs w:val="21"/>
        </w:rPr>
      </w:pPr>
      <w:r>
        <w:rPr>
          <w:rFonts w:hint="eastAsia" w:ascii="宋体" w:hAnsi="宋体" w:cs="宋体"/>
          <w:b/>
          <w:bCs w:val="0"/>
          <w:szCs w:val="21"/>
        </w:rPr>
        <w:t>若法律法规、国家监管政策或市场情况发生变化，光大理财在不改变产品类型的情况下，可对本说明书中已约定的投资范围、投资品种、投资比例进行调整。该调整事项将于生效前</w:t>
      </w:r>
      <w:r>
        <w:rPr>
          <w:rFonts w:ascii="宋体" w:hAnsi="宋体" w:cs="宋体"/>
          <w:b/>
          <w:bCs w:val="0"/>
          <w:szCs w:val="21"/>
        </w:rPr>
        <w:t>2个工作日通过产品管理人官方网站或</w:t>
      </w:r>
      <w:r>
        <w:rPr>
          <w:rFonts w:hint="eastAsia" w:ascii="宋体" w:hAnsi="宋体" w:cs="宋体"/>
          <w:b/>
          <w:bCs w:val="0"/>
          <w:szCs w:val="21"/>
        </w:rPr>
        <w:t>销售服务机构网上销售平台进行书面公告以征求投资者意见。若本理财产品的投资者不接受上述调整，则应及时通过销售服务机构营业网点或网上销售平台赎回本产品（高风险类型的理财产品超出比例范围投资较低风险资产的情况除外）；若本理财产品投资者未赎回本产品，则视为本理财产品投资者对相关调整无异议并同意继续持有本理财产品。</w:t>
      </w:r>
    </w:p>
    <w:p w14:paraId="224BA410">
      <w:pPr>
        <w:tabs>
          <w:tab w:val="left" w:pos="420"/>
          <w:tab w:val="left" w:pos="720"/>
        </w:tabs>
        <w:spacing w:line="360" w:lineRule="auto"/>
        <w:ind w:firstLine="422" w:firstLineChars="200"/>
        <w:outlineLvl w:val="1"/>
        <w:rPr>
          <w:rFonts w:ascii="宋体" w:hAnsi="宋体" w:cs="宋体"/>
          <w:b/>
          <w:szCs w:val="21"/>
        </w:rPr>
      </w:pPr>
      <w:r>
        <w:rPr>
          <w:rFonts w:hint="eastAsia" w:ascii="宋体" w:hAnsi="宋体" w:cs="宋体"/>
          <w:b/>
          <w:szCs w:val="21"/>
        </w:rPr>
        <w:t>（七）投资合作机构</w:t>
      </w:r>
    </w:p>
    <w:p w14:paraId="65B12585">
      <w:pPr>
        <w:spacing w:line="360" w:lineRule="auto"/>
        <w:ind w:firstLine="420" w:firstLineChars="200"/>
        <w:rPr>
          <w:rFonts w:ascii="宋体" w:hAnsi="宋体" w:cs="宋体"/>
          <w:bCs/>
          <w:szCs w:val="21"/>
        </w:rPr>
      </w:pPr>
      <w:r>
        <w:rPr>
          <w:rFonts w:hint="eastAsia" w:ascii="宋体" w:hAnsi="宋体" w:cs="宋体"/>
          <w:bCs/>
          <w:szCs w:val="21"/>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14:paraId="77AC238C">
      <w:pPr>
        <w:tabs>
          <w:tab w:val="left" w:pos="420"/>
          <w:tab w:val="left" w:pos="720"/>
        </w:tabs>
        <w:spacing w:line="360" w:lineRule="auto"/>
        <w:ind w:firstLine="602" w:firstLineChars="250"/>
        <w:jc w:val="left"/>
        <w:rPr>
          <w:rFonts w:ascii="宋体" w:hAnsi="宋体" w:cs="宋体"/>
          <w:b/>
          <w:bCs/>
          <w:sz w:val="24"/>
          <w:szCs w:val="24"/>
        </w:rPr>
      </w:pPr>
    </w:p>
    <w:p w14:paraId="21201434">
      <w:pPr>
        <w:spacing w:line="360" w:lineRule="auto"/>
        <w:jc w:val="center"/>
        <w:outlineLvl w:val="0"/>
        <w:rPr>
          <w:rFonts w:ascii="宋体" w:hAnsi="宋体" w:cs="宋体"/>
          <w:b/>
          <w:bCs/>
          <w:sz w:val="28"/>
          <w:szCs w:val="28"/>
        </w:rPr>
      </w:pPr>
      <w:r>
        <w:rPr>
          <w:rFonts w:hint="eastAsia" w:ascii="宋体" w:hAnsi="宋体" w:cs="宋体"/>
          <w:b/>
          <w:bCs/>
          <w:sz w:val="28"/>
          <w:szCs w:val="28"/>
        </w:rPr>
        <w:t>五、产品估值</w:t>
      </w:r>
    </w:p>
    <w:p w14:paraId="1E48FA38">
      <w:pPr>
        <w:spacing w:line="360" w:lineRule="auto"/>
        <w:ind w:firstLine="422" w:firstLineChars="200"/>
        <w:outlineLvl w:val="1"/>
        <w:rPr>
          <w:rFonts w:ascii="宋体" w:hAnsi="宋体" w:cs="宋体"/>
          <w:b/>
          <w:bCs/>
          <w:snapToGrid w:val="0"/>
          <w:szCs w:val="21"/>
        </w:rPr>
      </w:pPr>
      <w:r>
        <w:rPr>
          <w:rFonts w:hint="eastAsia" w:ascii="宋体" w:hAnsi="宋体" w:cs="宋体"/>
          <w:b/>
          <w:bCs/>
          <w:snapToGrid w:val="0"/>
          <w:szCs w:val="21"/>
        </w:rPr>
        <w:t>（一）估值对象</w:t>
      </w:r>
    </w:p>
    <w:p w14:paraId="72CE89B8">
      <w:pPr>
        <w:spacing w:line="360" w:lineRule="auto"/>
        <w:ind w:firstLine="420" w:firstLineChars="200"/>
        <w:rPr>
          <w:rFonts w:ascii="宋体" w:hAnsi="宋体" w:cs="宋体"/>
          <w:bCs/>
          <w:szCs w:val="21"/>
        </w:rPr>
      </w:pPr>
      <w:r>
        <w:rPr>
          <w:rFonts w:hint="eastAsia" w:ascii="宋体" w:hAnsi="宋体" w:cs="宋体"/>
          <w:bCs/>
          <w:szCs w:val="21"/>
        </w:rPr>
        <w:t>本产品持有的各类证券、银行存款本息、应收款项及其他投资等资产和负债。</w:t>
      </w:r>
    </w:p>
    <w:p w14:paraId="23BBC134">
      <w:pPr>
        <w:spacing w:line="360" w:lineRule="auto"/>
        <w:ind w:firstLine="422" w:firstLineChars="200"/>
        <w:outlineLvl w:val="1"/>
        <w:rPr>
          <w:rFonts w:ascii="宋体" w:hAnsi="宋体" w:cs="宋体"/>
          <w:b/>
          <w:bCs/>
          <w:snapToGrid w:val="0"/>
          <w:szCs w:val="21"/>
        </w:rPr>
      </w:pPr>
      <w:r>
        <w:rPr>
          <w:rFonts w:hint="eastAsia" w:ascii="宋体" w:hAnsi="宋体" w:cs="宋体"/>
          <w:b/>
          <w:bCs/>
          <w:snapToGrid w:val="0"/>
          <w:szCs w:val="21"/>
        </w:rPr>
        <w:t>（二）估值要求</w:t>
      </w:r>
    </w:p>
    <w:p w14:paraId="283DB8F6">
      <w:pPr>
        <w:spacing w:line="360" w:lineRule="auto"/>
        <w:ind w:firstLine="422" w:firstLineChars="200"/>
        <w:rPr>
          <w:rFonts w:ascii="宋体" w:hAnsi="宋体" w:cs="宋体"/>
          <w:b/>
          <w:szCs w:val="21"/>
        </w:rPr>
      </w:pPr>
      <w:r>
        <w:rPr>
          <w:rFonts w:ascii="宋体" w:hAnsi="宋体" w:cs="宋体"/>
          <w:b/>
          <w:szCs w:val="21"/>
        </w:rPr>
        <w:t>1.本产品资产估值的目的是客观、准确的反映资产净值，确定理财产品资产净值，并为理财产品的申购、赎回和兑付提供计价依据。</w:t>
      </w:r>
    </w:p>
    <w:p w14:paraId="755E23FF">
      <w:pPr>
        <w:spacing w:line="360" w:lineRule="auto"/>
        <w:ind w:firstLine="420" w:firstLineChars="200"/>
        <w:jc w:val="left"/>
        <w:rPr>
          <w:rFonts w:ascii="宋体" w:hAnsi="宋体" w:cs="宋体"/>
          <w:bCs/>
          <w:szCs w:val="21"/>
        </w:rPr>
      </w:pPr>
      <w:r>
        <w:rPr>
          <w:rFonts w:ascii="宋体" w:hAnsi="宋体" w:cs="宋体"/>
          <w:bCs/>
          <w:szCs w:val="21"/>
        </w:rPr>
        <w:t>2.本产品各类份额将分别计算份额净值。</w:t>
      </w:r>
    </w:p>
    <w:p w14:paraId="5A0F76E5">
      <w:pPr>
        <w:spacing w:line="360" w:lineRule="auto"/>
        <w:ind w:firstLine="420" w:firstLineChars="200"/>
        <w:rPr>
          <w:rFonts w:ascii="宋体" w:hAnsi="宋体" w:cs="宋体"/>
          <w:bCs/>
          <w:szCs w:val="21"/>
        </w:rPr>
      </w:pPr>
      <w:r>
        <w:rPr>
          <w:rFonts w:ascii="宋体" w:hAnsi="宋体" w:cs="宋体"/>
          <w:bCs/>
          <w:szCs w:val="21"/>
        </w:rPr>
        <w:t>3.本</w:t>
      </w:r>
      <w:r>
        <w:rPr>
          <w:rFonts w:hint="eastAsia" w:ascii="宋体" w:hAnsi="宋体" w:cs="宋体"/>
          <w:bCs/>
          <w:szCs w:val="21"/>
        </w:rPr>
        <w:t>产品</w:t>
      </w:r>
      <w:r>
        <w:rPr>
          <w:rFonts w:ascii="宋体" w:hAnsi="宋体" w:cs="宋体"/>
          <w:bCs/>
          <w:szCs w:val="21"/>
        </w:rPr>
        <w:t>各类</w:t>
      </w:r>
      <w:r>
        <w:rPr>
          <w:rFonts w:hint="eastAsia" w:ascii="宋体" w:hAnsi="宋体" w:cs="宋体"/>
          <w:bCs/>
          <w:szCs w:val="21"/>
        </w:rPr>
        <w:t>份额净值是按照交易日闭市后，</w:t>
      </w:r>
      <w:r>
        <w:rPr>
          <w:rFonts w:ascii="宋体" w:hAnsi="宋体" w:cs="宋体"/>
          <w:bCs/>
          <w:szCs w:val="21"/>
        </w:rPr>
        <w:t>各类</w:t>
      </w:r>
      <w:r>
        <w:rPr>
          <w:rFonts w:hint="eastAsia" w:ascii="宋体" w:hAnsi="宋体" w:cs="宋体"/>
          <w:bCs/>
          <w:szCs w:val="21"/>
        </w:rPr>
        <w:t>产品</w:t>
      </w:r>
      <w:r>
        <w:rPr>
          <w:rFonts w:ascii="宋体" w:hAnsi="宋体" w:cs="宋体"/>
          <w:bCs/>
          <w:szCs w:val="21"/>
        </w:rPr>
        <w:t>份额</w:t>
      </w:r>
      <w:r>
        <w:rPr>
          <w:rFonts w:hint="eastAsia" w:ascii="宋体" w:hAnsi="宋体" w:cs="宋体"/>
          <w:bCs/>
          <w:szCs w:val="21"/>
        </w:rPr>
        <w:t>资产净值除以当日</w:t>
      </w:r>
      <w:r>
        <w:rPr>
          <w:rFonts w:ascii="宋体" w:hAnsi="宋体" w:cs="宋体"/>
          <w:bCs/>
          <w:szCs w:val="21"/>
        </w:rPr>
        <w:t>该类</w:t>
      </w:r>
      <w:r>
        <w:rPr>
          <w:rFonts w:hint="eastAsia" w:ascii="宋体" w:hAnsi="宋体" w:cs="宋体"/>
          <w:bCs/>
          <w:szCs w:val="21"/>
        </w:rPr>
        <w:t>产品份额的余额数量计算，精确到</w:t>
      </w:r>
      <w:r>
        <w:rPr>
          <w:rFonts w:ascii="宋体" w:hAnsi="宋体" w:cs="宋体"/>
          <w:bCs/>
          <w:szCs w:val="21"/>
        </w:rPr>
        <w:t>0.0001元，小数点后第</w:t>
      </w:r>
      <w:r>
        <w:rPr>
          <w:rFonts w:hint="eastAsia" w:ascii="宋体" w:hAnsi="宋体" w:cs="宋体"/>
          <w:bCs/>
          <w:szCs w:val="21"/>
        </w:rPr>
        <w:t>五</w:t>
      </w:r>
      <w:r>
        <w:rPr>
          <w:rFonts w:ascii="宋体" w:hAnsi="宋体" w:cs="宋体"/>
          <w:bCs/>
          <w:szCs w:val="21"/>
        </w:rPr>
        <w:t>位四舍五入。国家另有规定的，从其规定。</w:t>
      </w:r>
    </w:p>
    <w:p w14:paraId="16ECA75D">
      <w:pPr>
        <w:spacing w:line="360" w:lineRule="auto"/>
        <w:ind w:firstLine="420" w:firstLineChars="200"/>
        <w:rPr>
          <w:bCs/>
          <w:szCs w:val="21"/>
        </w:rPr>
      </w:pPr>
      <w:r>
        <w:rPr>
          <w:rFonts w:ascii="宋体" w:hAnsi="宋体" w:cs="宋体"/>
          <w:bCs/>
          <w:szCs w:val="21"/>
        </w:rPr>
        <w:t>4.本产品每个交易所工作日为估值日。</w:t>
      </w:r>
    </w:p>
    <w:p w14:paraId="56DA2555">
      <w:pPr>
        <w:spacing w:line="360" w:lineRule="auto"/>
        <w:ind w:firstLine="422" w:firstLineChars="200"/>
        <w:outlineLvl w:val="1"/>
        <w:rPr>
          <w:rFonts w:ascii="宋体" w:hAnsi="宋体" w:cs="宋体"/>
          <w:b/>
          <w:bCs/>
          <w:snapToGrid w:val="0"/>
          <w:szCs w:val="21"/>
        </w:rPr>
      </w:pPr>
      <w:r>
        <w:rPr>
          <w:rFonts w:hint="eastAsia" w:ascii="宋体" w:hAnsi="宋体" w:cs="宋体"/>
          <w:b/>
          <w:bCs/>
          <w:snapToGrid w:val="0"/>
          <w:szCs w:val="21"/>
        </w:rPr>
        <w:t>（三）估值方法</w:t>
      </w:r>
    </w:p>
    <w:p w14:paraId="4A02226D">
      <w:pPr>
        <w:spacing w:line="360" w:lineRule="auto"/>
        <w:ind w:firstLine="420" w:firstLineChars="200"/>
        <w:rPr>
          <w:rFonts w:ascii="宋体" w:hAnsi="宋体" w:cs="宋体"/>
          <w:bCs/>
          <w:szCs w:val="21"/>
        </w:rPr>
      </w:pPr>
      <w:r>
        <w:rPr>
          <w:rFonts w:hint="eastAsia" w:ascii="宋体" w:hAnsi="宋体" w:cs="宋体"/>
          <w:bCs/>
          <w:szCs w:val="21"/>
        </w:rPr>
        <w:t>1．债券、货币市场工具等标准化固定收益类资产</w:t>
      </w:r>
    </w:p>
    <w:p w14:paraId="35A71008">
      <w:pPr>
        <w:spacing w:line="360" w:lineRule="auto"/>
        <w:ind w:firstLine="420" w:firstLineChars="200"/>
        <w:rPr>
          <w:rFonts w:ascii="宋体" w:hAnsi="宋体" w:cs="宋体"/>
          <w:bCs/>
          <w:szCs w:val="21"/>
        </w:rPr>
      </w:pPr>
      <w:r>
        <w:rPr>
          <w:rFonts w:hint="eastAsia" w:ascii="宋体" w:hAnsi="宋体" w:cs="宋体"/>
          <w:bCs/>
          <w:szCs w:val="21"/>
        </w:rPr>
        <w:t>（1）交易所市场交易的固定收益品种的估值</w:t>
      </w:r>
    </w:p>
    <w:p w14:paraId="05529FBA">
      <w:pPr>
        <w:spacing w:line="360" w:lineRule="auto"/>
        <w:ind w:firstLine="420" w:firstLineChars="200"/>
        <w:rPr>
          <w:rFonts w:ascii="宋体" w:hAnsi="宋体" w:cs="宋体"/>
          <w:bCs/>
          <w:szCs w:val="21"/>
        </w:rPr>
      </w:pPr>
      <w:r>
        <w:rPr>
          <w:rFonts w:hint="eastAsia" w:ascii="宋体" w:hAnsi="宋体" w:cs="宋体"/>
          <w:bCs/>
          <w:szCs w:val="21"/>
        </w:rPr>
        <w:t>① 对在交易所市场上市交易或挂牌转让的固定收益品种（另有规定的除外），选取第三方估值机构提供的相应品种当日的估值净价进行估值。</w:t>
      </w:r>
    </w:p>
    <w:p w14:paraId="2A07C91A">
      <w:pPr>
        <w:spacing w:line="360" w:lineRule="auto"/>
        <w:ind w:firstLine="420" w:firstLineChars="200"/>
        <w:rPr>
          <w:rFonts w:ascii="宋体" w:hAnsi="宋体" w:cs="宋体"/>
          <w:bCs/>
          <w:szCs w:val="21"/>
        </w:rPr>
      </w:pPr>
      <w:r>
        <w:rPr>
          <w:rFonts w:hint="eastAsia" w:ascii="宋体" w:hAnsi="宋体" w:cs="宋体"/>
          <w:bCs/>
          <w:szCs w:val="21"/>
        </w:rPr>
        <w:t>② 对于公开发行的可转债和可交债，实行全价交易的，按照估值日收盘价减去收盘价中所含债券应收利息后得到的净价进行估值；实行净价交易的，采用估值日收盘价估值。对于非公开发行的可转债、可交债，可采用第三方估值机构提供的价格数据确定公允价值。若第三方估值机构未提供价格数据，应采用估值技术确定其公允价值。</w:t>
      </w:r>
    </w:p>
    <w:p w14:paraId="25BFFE24">
      <w:pPr>
        <w:spacing w:line="360" w:lineRule="auto"/>
        <w:ind w:firstLine="420" w:firstLineChars="200"/>
        <w:rPr>
          <w:rFonts w:ascii="宋体" w:hAnsi="宋体" w:cs="宋体"/>
          <w:bCs/>
          <w:szCs w:val="21"/>
        </w:rPr>
      </w:pPr>
      <w:r>
        <w:rPr>
          <w:rFonts w:hint="eastAsia" w:ascii="宋体" w:hAnsi="宋体" w:cs="宋体"/>
          <w:bCs/>
          <w:szCs w:val="21"/>
        </w:rPr>
        <w:t>③ 对在交易所市场发行未上市或未挂牌转让的债券，对存在活跃市场的情况下，以活跃市场上未经调整的报价作为计量日的公允价值；对于活跃市场报价未能代表计量日公允价值的情况下，对市场报价进行调整以确认计量日的公允价值；对于不存在市场活动或市场活动很少的情况下，采用估值技术确定其公允价值。</w:t>
      </w:r>
    </w:p>
    <w:p w14:paraId="78D3EE95">
      <w:pPr>
        <w:spacing w:line="360" w:lineRule="auto"/>
        <w:ind w:firstLine="420" w:firstLineChars="200"/>
        <w:rPr>
          <w:rFonts w:ascii="宋体" w:hAnsi="宋体" w:cs="宋体"/>
          <w:bCs/>
          <w:szCs w:val="21"/>
        </w:rPr>
      </w:pPr>
      <w:r>
        <w:rPr>
          <w:rFonts w:hint="eastAsia" w:ascii="宋体" w:hAnsi="宋体" w:cs="宋体"/>
          <w:bCs/>
          <w:szCs w:val="21"/>
        </w:rPr>
        <w:t>（2）银行间市场交易的固定收益品种的估值</w:t>
      </w:r>
    </w:p>
    <w:p w14:paraId="21AACA45">
      <w:pPr>
        <w:spacing w:line="360" w:lineRule="auto"/>
        <w:ind w:firstLine="420" w:firstLineChars="200"/>
        <w:rPr>
          <w:rFonts w:ascii="宋体" w:hAnsi="宋体" w:cs="宋体"/>
          <w:bCs/>
          <w:szCs w:val="21"/>
        </w:rPr>
      </w:pPr>
      <w:r>
        <w:rPr>
          <w:rFonts w:hint="eastAsia" w:ascii="宋体" w:hAnsi="宋体" w:cs="宋体"/>
          <w:bCs/>
          <w:szCs w:val="21"/>
        </w:rPr>
        <w:t>对银行间市场上的固定收益品种，选取第三方估值机构提供的相应品种当日的估值净价进行估值；</w:t>
      </w:r>
    </w:p>
    <w:p w14:paraId="5B0934F8">
      <w:pPr>
        <w:spacing w:line="360" w:lineRule="auto"/>
        <w:ind w:firstLine="420" w:firstLineChars="200"/>
        <w:rPr>
          <w:rFonts w:ascii="宋体" w:hAnsi="宋体" w:cs="宋体"/>
          <w:bCs/>
          <w:szCs w:val="21"/>
        </w:rPr>
      </w:pPr>
      <w:r>
        <w:rPr>
          <w:rFonts w:hint="eastAsia" w:ascii="宋体" w:hAnsi="宋体" w:cs="宋体"/>
          <w:bCs/>
          <w:szCs w:val="21"/>
        </w:rPr>
        <w:t>（3）同一证券同时在两个或两个以上市场交易的，按证券所处的市场分别估值。</w:t>
      </w:r>
    </w:p>
    <w:p w14:paraId="2F02338D">
      <w:pPr>
        <w:spacing w:line="360" w:lineRule="auto"/>
        <w:ind w:firstLine="420" w:firstLineChars="200"/>
        <w:rPr>
          <w:rFonts w:ascii="宋体" w:hAnsi="宋体" w:cs="宋体"/>
          <w:bCs/>
          <w:szCs w:val="21"/>
        </w:rPr>
      </w:pPr>
      <w:r>
        <w:rPr>
          <w:rFonts w:hint="eastAsia" w:ascii="宋体" w:hAnsi="宋体" w:cs="宋体"/>
          <w:bCs/>
          <w:szCs w:val="21"/>
        </w:rPr>
        <w:t>（4）如监管</w:t>
      </w:r>
      <w:r>
        <w:rPr>
          <w:rFonts w:hint="eastAsia" w:ascii="宋体" w:hAnsi="宋体" w:cs="宋体"/>
          <w:bCs/>
          <w:szCs w:val="21"/>
          <w:lang w:val="en-US" w:eastAsia="zh-CN"/>
        </w:rPr>
        <w:t>机构</w:t>
      </w:r>
      <w:r>
        <w:rPr>
          <w:rFonts w:hint="eastAsia" w:ascii="宋体" w:hAnsi="宋体" w:cs="宋体"/>
          <w:bCs/>
          <w:szCs w:val="21"/>
        </w:rPr>
        <w:t>另有规定的，按照监管</w:t>
      </w:r>
      <w:r>
        <w:rPr>
          <w:rFonts w:hint="eastAsia" w:ascii="宋体" w:hAnsi="宋体" w:cs="宋体"/>
          <w:bCs/>
          <w:szCs w:val="21"/>
          <w:lang w:val="en-US" w:eastAsia="zh-CN"/>
        </w:rPr>
        <w:t>机构</w:t>
      </w:r>
      <w:r>
        <w:rPr>
          <w:rFonts w:hint="eastAsia" w:ascii="宋体" w:hAnsi="宋体" w:cs="宋体"/>
          <w:bCs/>
          <w:szCs w:val="21"/>
        </w:rPr>
        <w:t>的最新规定进行调整。</w:t>
      </w:r>
    </w:p>
    <w:p w14:paraId="4C8AD293">
      <w:pPr>
        <w:spacing w:line="360" w:lineRule="auto"/>
        <w:ind w:firstLine="420" w:firstLineChars="200"/>
        <w:rPr>
          <w:rFonts w:ascii="宋体" w:hAnsi="宋体" w:cs="宋体"/>
          <w:bCs/>
          <w:szCs w:val="21"/>
        </w:rPr>
      </w:pPr>
      <w:r>
        <w:rPr>
          <w:rFonts w:hint="eastAsia" w:ascii="宋体" w:hAnsi="宋体" w:cs="宋体"/>
          <w:bCs/>
          <w:szCs w:val="21"/>
        </w:rPr>
        <w:t>2.权益类资产</w:t>
      </w:r>
    </w:p>
    <w:p w14:paraId="77346A34">
      <w:pPr>
        <w:spacing w:line="360" w:lineRule="auto"/>
        <w:ind w:firstLine="420" w:firstLineChars="200"/>
        <w:rPr>
          <w:rFonts w:ascii="宋体" w:hAnsi="宋体" w:cs="宋体"/>
          <w:bCs/>
          <w:szCs w:val="21"/>
        </w:rPr>
      </w:pPr>
      <w:r>
        <w:rPr>
          <w:rFonts w:hint="eastAsia" w:ascii="宋体" w:hAnsi="宋体" w:cs="宋体"/>
          <w:bCs/>
          <w:szCs w:val="21"/>
        </w:rPr>
        <w:t>优先股</w:t>
      </w:r>
    </w:p>
    <w:p w14:paraId="4505AFD3">
      <w:pPr>
        <w:spacing w:line="360" w:lineRule="auto"/>
        <w:ind w:firstLine="420" w:firstLineChars="200"/>
        <w:rPr>
          <w:rFonts w:ascii="宋体" w:hAnsi="宋体" w:cs="宋体"/>
          <w:bCs/>
          <w:szCs w:val="21"/>
        </w:rPr>
      </w:pPr>
      <w:r>
        <w:rPr>
          <w:rFonts w:hint="eastAsia" w:ascii="宋体" w:hAnsi="宋体" w:cs="宋体"/>
          <w:bCs/>
          <w:szCs w:val="21"/>
        </w:rPr>
        <w:t>证券交易所及全国中小企业股份转让系统等市场交易的优先股，依据第三方估值机构提供的价格数据估值，若有确凿证据表明按上述规定不能客观反映理财产品财产公允价值的，可与托管人协商一致后采用估值技术进行估值。</w:t>
      </w:r>
    </w:p>
    <w:p w14:paraId="450008C2">
      <w:pPr>
        <w:spacing w:line="360" w:lineRule="auto"/>
        <w:ind w:firstLine="420" w:firstLineChars="200"/>
        <w:rPr>
          <w:rFonts w:ascii="宋体" w:hAnsi="宋体" w:cs="宋体"/>
          <w:bCs/>
          <w:szCs w:val="21"/>
        </w:rPr>
      </w:pPr>
      <w:r>
        <w:rPr>
          <w:rFonts w:hint="eastAsia" w:ascii="宋体" w:hAnsi="宋体" w:cs="宋体"/>
          <w:bCs/>
          <w:szCs w:val="21"/>
        </w:rPr>
        <w:t>3. 证券投资基金</w:t>
      </w:r>
    </w:p>
    <w:p w14:paraId="7C148297">
      <w:pPr>
        <w:spacing w:line="360" w:lineRule="auto"/>
        <w:ind w:firstLine="420" w:firstLineChars="200"/>
        <w:rPr>
          <w:rFonts w:ascii="宋体" w:hAnsi="宋体" w:cs="宋体"/>
          <w:bCs/>
          <w:szCs w:val="21"/>
        </w:rPr>
      </w:pPr>
      <w:r>
        <w:rPr>
          <w:rFonts w:hint="eastAsia" w:ascii="宋体" w:hAnsi="宋体" w:cs="宋体"/>
          <w:bCs/>
          <w:szCs w:val="21"/>
        </w:rPr>
        <w:t>（1）非上市基金估值</w:t>
      </w:r>
    </w:p>
    <w:p w14:paraId="460BDF2F">
      <w:pPr>
        <w:spacing w:line="360" w:lineRule="auto"/>
        <w:ind w:firstLine="420" w:firstLineChars="200"/>
        <w:rPr>
          <w:rFonts w:ascii="宋体" w:hAnsi="宋体" w:cs="宋体"/>
          <w:bCs/>
          <w:szCs w:val="21"/>
        </w:rPr>
      </w:pPr>
      <w:r>
        <w:rPr>
          <w:rFonts w:hint="eastAsia" w:ascii="宋体" w:hAnsi="宋体" w:cs="宋体"/>
          <w:bCs/>
          <w:szCs w:val="21"/>
        </w:rPr>
        <w:t>境内非货币市场基金，按所投资基金估值日的份额净值估值；境内货币市场基金，按所投资基金前一估值日后至估值日期间（含节假日）的万份收益计提估值日基金收益。</w:t>
      </w:r>
    </w:p>
    <w:p w14:paraId="4EADF28B">
      <w:pPr>
        <w:spacing w:line="360" w:lineRule="auto"/>
        <w:ind w:firstLine="420" w:firstLineChars="200"/>
        <w:rPr>
          <w:rFonts w:ascii="宋体" w:hAnsi="宋体" w:cs="宋体"/>
          <w:bCs/>
          <w:szCs w:val="21"/>
        </w:rPr>
      </w:pPr>
      <w:r>
        <w:rPr>
          <w:rFonts w:hint="eastAsia" w:ascii="宋体" w:hAnsi="宋体" w:cs="宋体"/>
          <w:bCs/>
          <w:szCs w:val="21"/>
        </w:rPr>
        <w:t>（2）上市基金估值</w:t>
      </w:r>
    </w:p>
    <w:p w14:paraId="0EA82EEB">
      <w:pPr>
        <w:spacing w:line="360" w:lineRule="auto"/>
        <w:ind w:firstLine="420" w:firstLineChars="200"/>
        <w:rPr>
          <w:rFonts w:ascii="宋体" w:hAnsi="宋体" w:cs="宋体"/>
          <w:bCs/>
          <w:szCs w:val="21"/>
        </w:rPr>
      </w:pPr>
      <w:r>
        <w:rPr>
          <w:rFonts w:hint="eastAsia" w:ascii="宋体" w:hAnsi="宋体" w:cs="宋体"/>
          <w:bCs/>
          <w:szCs w:val="21"/>
        </w:rPr>
        <w:t>交易所上市流通的基金，按估值日其所在证券交易所的收盘价估值,公募REITs，按估值日其所在证券交易所的收盘价估值或者按照第三方机构提供的估值数据进行估值。</w:t>
      </w:r>
    </w:p>
    <w:p w14:paraId="2D48CCC5">
      <w:pPr>
        <w:spacing w:line="360" w:lineRule="auto"/>
        <w:ind w:firstLine="420" w:firstLineChars="200"/>
        <w:rPr>
          <w:rFonts w:ascii="宋体" w:hAnsi="宋体" w:cs="宋体"/>
          <w:bCs/>
          <w:szCs w:val="21"/>
        </w:rPr>
      </w:pPr>
      <w:r>
        <w:rPr>
          <w:rFonts w:hint="eastAsia" w:ascii="宋体" w:hAnsi="宋体" w:cs="宋体"/>
          <w:bCs/>
          <w:szCs w:val="21"/>
        </w:rPr>
        <w:t>（3）如遇所投资基金不公布基金份额净值、进行折算或拆分、估值日无交易等特殊情况，按照以下原则进行估值：</w:t>
      </w:r>
    </w:p>
    <w:p w14:paraId="6B0FF599">
      <w:pPr>
        <w:spacing w:line="360" w:lineRule="auto"/>
        <w:ind w:firstLine="420" w:firstLineChars="200"/>
        <w:rPr>
          <w:rFonts w:ascii="宋体" w:hAnsi="宋体" w:cs="宋体"/>
          <w:bCs/>
          <w:szCs w:val="21"/>
        </w:rPr>
      </w:pPr>
      <w:r>
        <w:rPr>
          <w:rFonts w:hint="eastAsia" w:ascii="宋体" w:hAnsi="宋体" w:cs="宋体"/>
          <w:bCs/>
          <w:szCs w:val="21"/>
        </w:rPr>
        <w:t>①以所投基金的基金份额净值估值的，若所投资基金与基金中基金估值频率一致但未公布估值日基金份额净值，按其最近公布的基金份额净值为基础估值；</w:t>
      </w:r>
    </w:p>
    <w:p w14:paraId="2584F1FC">
      <w:pPr>
        <w:spacing w:line="360" w:lineRule="auto"/>
        <w:ind w:firstLine="420" w:firstLineChars="200"/>
        <w:rPr>
          <w:rFonts w:ascii="宋体" w:hAnsi="宋体" w:cs="宋体"/>
          <w:bCs/>
          <w:szCs w:val="21"/>
        </w:rPr>
      </w:pPr>
      <w:r>
        <w:rPr>
          <w:rFonts w:hint="eastAsia" w:ascii="宋体" w:hAnsi="宋体" w:cs="宋体"/>
          <w:bCs/>
          <w:szCs w:val="21"/>
        </w:rPr>
        <w:t>②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14:paraId="768BF945">
      <w:pPr>
        <w:spacing w:line="360" w:lineRule="auto"/>
        <w:ind w:firstLine="420" w:firstLineChars="200"/>
        <w:rPr>
          <w:rFonts w:ascii="宋体" w:hAnsi="宋体" w:cs="宋体"/>
          <w:bCs/>
          <w:szCs w:val="21"/>
        </w:rPr>
      </w:pPr>
      <w:r>
        <w:rPr>
          <w:rFonts w:hint="eastAsia" w:ascii="宋体" w:hAnsi="宋体" w:cs="宋体"/>
          <w:bCs/>
          <w:szCs w:val="21"/>
        </w:rPr>
        <w:t>③如果所投资基金前一估值日至估值日期间发生分红除权、折算或拆分，基金管理人应根据基金份额净值或收盘价、单位基金份额分红金额、折算拆分比例、持仓份额等因素合理确定公允价值。</w:t>
      </w:r>
    </w:p>
    <w:p w14:paraId="1A928E5F">
      <w:pPr>
        <w:spacing w:line="360" w:lineRule="auto"/>
        <w:ind w:firstLine="420" w:firstLineChars="200"/>
        <w:rPr>
          <w:rFonts w:ascii="宋体" w:hAnsi="宋体" w:cs="宋体"/>
          <w:bCs/>
          <w:szCs w:val="21"/>
        </w:rPr>
      </w:pPr>
      <w:r>
        <w:rPr>
          <w:rFonts w:hint="eastAsia" w:ascii="宋体" w:hAnsi="宋体" w:cs="宋体"/>
          <w:bCs/>
          <w:szCs w:val="21"/>
        </w:rPr>
        <w:t>4. 资管产品</w:t>
      </w:r>
    </w:p>
    <w:p w14:paraId="08C27613">
      <w:pPr>
        <w:spacing w:line="360" w:lineRule="auto"/>
        <w:ind w:firstLine="420" w:firstLineChars="200"/>
        <w:rPr>
          <w:rFonts w:ascii="宋体" w:hAnsi="宋体" w:cs="宋体"/>
          <w:bCs/>
          <w:szCs w:val="21"/>
        </w:rPr>
      </w:pPr>
      <w:r>
        <w:rPr>
          <w:rFonts w:hint="eastAsia" w:ascii="宋体" w:hAnsi="宋体" w:cs="宋体"/>
          <w:bCs/>
          <w:szCs w:val="21"/>
        </w:rPr>
        <w:t>本产品投资资管产品，以能获取资管产品的净值或投资收益情况进行估值；如无法获取净值或投资收益情况，可采用估值技术确定公允价值。有确定的预期收益，则根据预期收益每天计提利息。</w:t>
      </w:r>
    </w:p>
    <w:p w14:paraId="3E4115AF">
      <w:pPr>
        <w:spacing w:line="360" w:lineRule="auto"/>
        <w:ind w:firstLine="420" w:firstLineChars="200"/>
        <w:rPr>
          <w:rFonts w:ascii="宋体" w:hAnsi="宋体" w:cs="宋体"/>
          <w:bCs/>
          <w:szCs w:val="21"/>
        </w:rPr>
      </w:pPr>
      <w:r>
        <w:rPr>
          <w:rFonts w:hint="eastAsia" w:ascii="宋体" w:hAnsi="宋体" w:cs="宋体"/>
          <w:bCs/>
          <w:szCs w:val="21"/>
        </w:rPr>
        <w:t>5.结构性存款、结构性票据</w:t>
      </w:r>
    </w:p>
    <w:p w14:paraId="6688C166">
      <w:pPr>
        <w:spacing w:line="360" w:lineRule="auto"/>
        <w:ind w:firstLine="420" w:firstLineChars="200"/>
        <w:rPr>
          <w:rFonts w:ascii="宋体" w:hAnsi="宋体" w:cs="宋体"/>
          <w:bCs/>
          <w:szCs w:val="21"/>
        </w:rPr>
      </w:pPr>
      <w:r>
        <w:rPr>
          <w:rFonts w:hint="eastAsia" w:ascii="宋体" w:hAnsi="宋体" w:cs="宋体"/>
          <w:bCs/>
          <w:szCs w:val="21"/>
        </w:rPr>
        <w:t>以能获取结构性存款、结构性票据的价格或投资收益情况进行估值；如无法获取价格或投资收益情况，可采用估值技术确定公允价值。有确定的预期收益，则根据预期收益每天计提利息。</w:t>
      </w:r>
    </w:p>
    <w:p w14:paraId="27371DD9">
      <w:pPr>
        <w:spacing w:line="360" w:lineRule="auto"/>
        <w:ind w:firstLine="420" w:firstLineChars="200"/>
        <w:rPr>
          <w:rFonts w:ascii="宋体" w:hAnsi="宋体" w:cs="宋体"/>
          <w:bCs/>
          <w:szCs w:val="21"/>
        </w:rPr>
      </w:pPr>
      <w:r>
        <w:rPr>
          <w:rFonts w:hint="eastAsia" w:ascii="宋体" w:hAnsi="宋体" w:cs="宋体"/>
          <w:bCs/>
          <w:szCs w:val="21"/>
        </w:rPr>
        <w:t>6.金融衍生品类资产</w:t>
      </w:r>
    </w:p>
    <w:p w14:paraId="700DBCC7">
      <w:pPr>
        <w:spacing w:line="360" w:lineRule="auto"/>
        <w:ind w:firstLine="420" w:firstLineChars="200"/>
        <w:rPr>
          <w:rFonts w:ascii="宋体" w:hAnsi="宋体" w:cs="宋体"/>
          <w:bCs/>
          <w:szCs w:val="21"/>
        </w:rPr>
      </w:pPr>
      <w:r>
        <w:rPr>
          <w:rFonts w:hint="eastAsia" w:ascii="宋体" w:hAnsi="宋体" w:cs="宋体"/>
          <w:bCs/>
          <w:szCs w:val="21"/>
        </w:rPr>
        <w:t>期货、互换、期权等金融衍生品，场内交易一般以估值当日结算价进行估值，估值当日无结算价的，且最近交易日后经济环境未发生重大变化的，采用最近交易日结算价估值；场外交易按照第三方机构提供的估值数据进行估值，如果第三方估值机构未提供估值价格的，采用估值技术确定其公允价值。</w:t>
      </w:r>
    </w:p>
    <w:p w14:paraId="355608C8">
      <w:pPr>
        <w:spacing w:line="360" w:lineRule="auto"/>
        <w:ind w:firstLine="420" w:firstLineChars="200"/>
        <w:rPr>
          <w:rFonts w:ascii="宋体" w:hAnsi="宋体" w:cs="宋体"/>
          <w:bCs/>
          <w:szCs w:val="21"/>
        </w:rPr>
      </w:pPr>
      <w:r>
        <w:rPr>
          <w:rFonts w:hint="eastAsia" w:ascii="宋体" w:hAnsi="宋体" w:cs="宋体"/>
          <w:bCs/>
          <w:szCs w:val="21"/>
        </w:rPr>
        <w:t>7.银行存款、定期存款、回购、同业拆借等投资品种的利息收入按照权责发生制原则逐日计提；</w:t>
      </w:r>
    </w:p>
    <w:p w14:paraId="0AF6DC57">
      <w:pPr>
        <w:spacing w:line="360" w:lineRule="auto"/>
        <w:ind w:firstLine="420" w:firstLineChars="200"/>
        <w:rPr>
          <w:rFonts w:ascii="宋体" w:hAnsi="宋体" w:cs="宋体"/>
          <w:bCs/>
          <w:szCs w:val="21"/>
        </w:rPr>
      </w:pPr>
      <w:r>
        <w:rPr>
          <w:rFonts w:hint="eastAsia" w:ascii="宋体" w:hAnsi="宋体" w:cs="宋体"/>
          <w:bCs/>
          <w:szCs w:val="21"/>
        </w:rPr>
        <w:t>8.投资于其他资产存在并可以确定公允价值的，以公允价值计算；若公允价值不能确定可采用估值技术确定其公允价值；有确定的预期收益，则每天计提利息。</w:t>
      </w:r>
    </w:p>
    <w:p w14:paraId="0E1BA403">
      <w:pPr>
        <w:spacing w:line="360" w:lineRule="auto"/>
        <w:ind w:firstLine="420" w:firstLineChars="200"/>
        <w:rPr>
          <w:rFonts w:ascii="宋体" w:hAnsi="宋体" w:cs="宋体"/>
          <w:bCs/>
          <w:szCs w:val="21"/>
        </w:rPr>
      </w:pPr>
      <w:r>
        <w:rPr>
          <w:rFonts w:hint="eastAsia" w:ascii="宋体" w:hAnsi="宋体" w:cs="宋体"/>
          <w:bCs/>
          <w:szCs w:val="21"/>
        </w:rPr>
        <w:t>9.相关法律法规以及</w:t>
      </w:r>
      <w:r>
        <w:rPr>
          <w:rFonts w:hint="eastAsia" w:ascii="宋体" w:hAnsi="宋体" w:cs="宋体"/>
          <w:bCs/>
          <w:szCs w:val="21"/>
          <w:lang w:eastAsia="zh-CN"/>
        </w:rPr>
        <w:t>监管机构</w:t>
      </w:r>
      <w:r>
        <w:rPr>
          <w:rFonts w:hint="eastAsia" w:ascii="宋体" w:hAnsi="宋体" w:cs="宋体"/>
          <w:bCs/>
          <w:szCs w:val="21"/>
        </w:rPr>
        <w:t>有强制规定的，从其规定。如有新增事项或变更事项，依法按最新规定计算。没有相关规定的，由产品管理人与托管人协商确定计算方法。</w:t>
      </w:r>
    </w:p>
    <w:p w14:paraId="4BEFC6C8">
      <w:pPr>
        <w:spacing w:line="360" w:lineRule="auto"/>
        <w:ind w:firstLine="420" w:firstLineChars="200"/>
        <w:rPr>
          <w:rFonts w:ascii="宋体" w:hAnsi="宋体" w:cs="宋体"/>
          <w:b/>
          <w:bCs/>
          <w:snapToGrid w:val="0"/>
          <w:szCs w:val="21"/>
        </w:rPr>
      </w:pPr>
      <w:r>
        <w:rPr>
          <w:rFonts w:hint="eastAsia" w:ascii="宋体" w:hAnsi="宋体" w:cs="宋体"/>
          <w:bCs/>
          <w:szCs w:val="21"/>
        </w:rPr>
        <w:t>10.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14:paraId="549D0C43">
      <w:pPr>
        <w:spacing w:line="360" w:lineRule="auto"/>
        <w:ind w:firstLine="422" w:firstLineChars="200"/>
        <w:outlineLvl w:val="1"/>
        <w:rPr>
          <w:rFonts w:ascii="宋体" w:hAnsi="宋体" w:cs="宋体"/>
          <w:b/>
          <w:bCs/>
          <w:snapToGrid w:val="0"/>
          <w:szCs w:val="21"/>
        </w:rPr>
      </w:pPr>
      <w:r>
        <w:rPr>
          <w:rFonts w:hint="eastAsia" w:ascii="宋体" w:hAnsi="宋体" w:cs="宋体"/>
          <w:b/>
          <w:bCs/>
          <w:snapToGrid w:val="0"/>
          <w:szCs w:val="21"/>
        </w:rPr>
        <w:t>（四）估值错误的处理</w:t>
      </w:r>
    </w:p>
    <w:p w14:paraId="0C6D1348">
      <w:pPr>
        <w:tabs>
          <w:tab w:val="left" w:pos="0"/>
        </w:tabs>
        <w:spacing w:line="360" w:lineRule="auto"/>
        <w:ind w:firstLine="420" w:firstLineChars="200"/>
        <w:rPr>
          <w:rFonts w:ascii="宋体" w:hAnsi="宋体" w:cs="宋体"/>
          <w:szCs w:val="21"/>
        </w:rPr>
      </w:pPr>
      <w:r>
        <w:rPr>
          <w:rFonts w:hint="eastAsia" w:ascii="宋体" w:hAnsi="宋体" w:cs="宋体"/>
          <w:szCs w:val="21"/>
        </w:rPr>
        <w:t>产品管理人和产品托管人将采取必要、适当合理的措施确保产品资产估值的准确性、及时性。当产品单位净值出现错误时，产品管理人应当立即予以纠正，并采取合理的措施防止损失进一步扩大。由于本理财产品估值所用的数据来源中出现错误，或由于其他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p>
    <w:p w14:paraId="6EE87E3B">
      <w:pPr>
        <w:spacing w:line="360" w:lineRule="auto"/>
        <w:ind w:firstLine="422" w:firstLineChars="200"/>
        <w:outlineLvl w:val="1"/>
        <w:rPr>
          <w:rFonts w:ascii="宋体" w:hAnsi="宋体" w:cs="宋体"/>
          <w:b/>
          <w:bCs/>
          <w:snapToGrid w:val="0"/>
          <w:szCs w:val="21"/>
        </w:rPr>
      </w:pPr>
      <w:r>
        <w:rPr>
          <w:rFonts w:hint="eastAsia" w:ascii="宋体" w:hAnsi="宋体" w:cs="宋体"/>
          <w:b/>
          <w:bCs/>
          <w:snapToGrid w:val="0"/>
          <w:szCs w:val="21"/>
        </w:rPr>
        <w:t>（五）暂停估值</w:t>
      </w:r>
    </w:p>
    <w:p w14:paraId="3361ADA5">
      <w:pPr>
        <w:tabs>
          <w:tab w:val="left" w:pos="0"/>
        </w:tabs>
        <w:spacing w:line="360" w:lineRule="auto"/>
        <w:ind w:firstLine="420" w:firstLineChars="200"/>
        <w:rPr>
          <w:rFonts w:ascii="宋体" w:hAnsi="宋体" w:cs="宋体"/>
          <w:szCs w:val="21"/>
        </w:rPr>
      </w:pPr>
      <w:r>
        <w:rPr>
          <w:rFonts w:hint="eastAsia" w:ascii="宋体" w:hAnsi="宋体" w:cs="宋体"/>
          <w:szCs w:val="21"/>
        </w:rPr>
        <w:t>1.在前一估值日内，产品资产净值50%以上的资产不具备活跃交易市场或者在活跃市场中无报价，且不能采用估值技术可靠计量公允价值的，管理人将暂停本产品估值</w:t>
      </w:r>
      <w:r>
        <w:rPr>
          <w:rFonts w:ascii="宋体" w:hAnsi="宋体" w:cs="宋体"/>
          <w:szCs w:val="21"/>
        </w:rPr>
        <w:t>，</w:t>
      </w:r>
      <w:r>
        <w:rPr>
          <w:rFonts w:hint="eastAsia" w:ascii="宋体" w:hAnsi="宋体" w:cs="宋体"/>
          <w:szCs w:val="21"/>
        </w:rPr>
        <w:t>并可以采取延缓支付赎回款项或暂停接受理财产品认（申）购、赎回申请等措施。待估值条件恢复时，将按规定完成估值工作。</w:t>
      </w:r>
    </w:p>
    <w:p w14:paraId="0396643C">
      <w:pPr>
        <w:tabs>
          <w:tab w:val="left" w:pos="0"/>
        </w:tabs>
        <w:spacing w:line="360" w:lineRule="auto"/>
        <w:ind w:firstLine="420" w:firstLineChars="200"/>
        <w:rPr>
          <w:rFonts w:ascii="宋体" w:hAnsi="宋体" w:cs="宋体"/>
          <w:szCs w:val="21"/>
        </w:rPr>
      </w:pPr>
      <w:r>
        <w:rPr>
          <w:rFonts w:hint="eastAsia" w:ascii="宋体" w:hAnsi="宋体" w:cs="宋体"/>
          <w:szCs w:val="21"/>
        </w:rPr>
        <w:t>2.理财产品投资所涉及的证券交易所遇法定节假日或其他原因暂停营业时，或因任何不可抗力致使无法准确评估资产价值时，可暂停估值。但估值条件恢复时，将按规定完成估值工作。</w:t>
      </w:r>
    </w:p>
    <w:p w14:paraId="12D372D8">
      <w:pPr>
        <w:spacing w:line="360" w:lineRule="auto"/>
        <w:ind w:firstLine="422" w:firstLineChars="200"/>
        <w:outlineLvl w:val="1"/>
        <w:rPr>
          <w:rFonts w:ascii="宋体" w:hAnsi="宋体" w:cs="宋体"/>
          <w:b/>
          <w:bCs/>
          <w:snapToGrid w:val="0"/>
          <w:szCs w:val="21"/>
        </w:rPr>
      </w:pPr>
      <w:r>
        <w:rPr>
          <w:rFonts w:hint="eastAsia" w:ascii="宋体" w:hAnsi="宋体" w:cs="宋体"/>
          <w:b/>
          <w:bCs/>
          <w:snapToGrid w:val="0"/>
          <w:szCs w:val="21"/>
        </w:rPr>
        <w:t>（六）摆动定价</w:t>
      </w:r>
    </w:p>
    <w:p w14:paraId="2A8061D5">
      <w:pPr>
        <w:tabs>
          <w:tab w:val="left" w:pos="0"/>
        </w:tabs>
        <w:spacing w:line="360" w:lineRule="auto"/>
        <w:ind w:firstLine="420" w:firstLineChars="200"/>
        <w:rPr>
          <w:rFonts w:ascii="宋体" w:hAnsi="宋体" w:cs="宋体"/>
          <w:szCs w:val="21"/>
        </w:rPr>
      </w:pPr>
      <w:r>
        <w:rPr>
          <w:rFonts w:hint="eastAsia" w:ascii="宋体" w:hAnsi="宋体" w:cs="宋体"/>
          <w:szCs w:val="21"/>
        </w:rPr>
        <w:t>当本产品发生大额申购或赎回情形时，管理人有权对本产品采用摆动定价机制，通过调整理财产品份额净值方式，将理财产品调整投资组合的市场冲击成本分配给实际申购、赎回的投资者，以期实现理财产品估值的公平性以及投资者的合法权益得到公平对待，具体处理原则与操作规范遵循相关法律法规以及</w:t>
      </w:r>
      <w:r>
        <w:rPr>
          <w:rFonts w:hint="eastAsia" w:ascii="宋体" w:hAnsi="宋体" w:cs="宋体"/>
          <w:szCs w:val="21"/>
          <w:lang w:eastAsia="zh-CN"/>
        </w:rPr>
        <w:t>监管机构</w:t>
      </w:r>
      <w:r>
        <w:rPr>
          <w:rFonts w:hint="eastAsia" w:ascii="宋体" w:hAnsi="宋体" w:cs="宋体"/>
          <w:szCs w:val="21"/>
        </w:rPr>
        <w:t>、自律规则的相关规定。</w:t>
      </w:r>
    </w:p>
    <w:p w14:paraId="7B71DACE">
      <w:pPr>
        <w:tabs>
          <w:tab w:val="left" w:pos="420"/>
          <w:tab w:val="left" w:pos="720"/>
        </w:tabs>
        <w:spacing w:line="360" w:lineRule="auto"/>
        <w:ind w:firstLine="482" w:firstLineChars="200"/>
        <w:rPr>
          <w:rFonts w:ascii="宋体" w:hAnsi="宋体" w:cs="宋体"/>
          <w:b/>
          <w:bCs/>
          <w:snapToGrid w:val="0"/>
          <w:sz w:val="24"/>
          <w:szCs w:val="24"/>
        </w:rPr>
      </w:pPr>
    </w:p>
    <w:p w14:paraId="774D0713">
      <w:pPr>
        <w:spacing w:line="360" w:lineRule="auto"/>
        <w:jc w:val="center"/>
        <w:outlineLvl w:val="0"/>
        <w:rPr>
          <w:rFonts w:ascii="宋体" w:hAnsi="宋体" w:cs="宋体"/>
          <w:b/>
          <w:bCs/>
          <w:snapToGrid w:val="0"/>
          <w:sz w:val="28"/>
          <w:szCs w:val="28"/>
        </w:rPr>
      </w:pPr>
      <w:r>
        <w:rPr>
          <w:rFonts w:ascii="宋体" w:hAnsi="宋体" w:cs="宋体"/>
          <w:b/>
          <w:bCs/>
          <w:snapToGrid w:val="0"/>
          <w:sz w:val="28"/>
          <w:szCs w:val="28"/>
        </w:rPr>
        <w:t>六、产品运作</w:t>
      </w:r>
    </w:p>
    <w:p w14:paraId="3A734D90">
      <w:pPr>
        <w:tabs>
          <w:tab w:val="left" w:pos="420"/>
          <w:tab w:val="left" w:pos="720"/>
        </w:tabs>
        <w:spacing w:line="360" w:lineRule="auto"/>
        <w:ind w:firstLine="422" w:firstLineChars="200"/>
        <w:rPr>
          <w:rFonts w:ascii="宋体" w:hAnsi="宋体" w:cs="宋体"/>
          <w:b/>
          <w:bCs/>
          <w:snapToGrid w:val="0"/>
          <w:szCs w:val="21"/>
        </w:rPr>
      </w:pPr>
      <w:r>
        <w:rPr>
          <w:rFonts w:hint="eastAsia" w:ascii="宋体" w:hAnsi="宋体" w:cs="宋体"/>
          <w:b/>
          <w:bCs/>
          <w:snapToGrid w:val="0"/>
          <w:szCs w:val="21"/>
        </w:rPr>
        <w:t>特别提示：投资者认（申）购本理财产品必须全额交付认（申）购款项，</w:t>
      </w:r>
      <w:r>
        <w:rPr>
          <w:rFonts w:hint="eastAsia" w:ascii="宋体" w:hAnsi="宋体" w:cs="宋体"/>
          <w:b/>
          <w:bCs/>
          <w:color w:val="000000"/>
        </w:rPr>
        <w:t>监管机构</w:t>
      </w:r>
      <w:r>
        <w:rPr>
          <w:rFonts w:hint="eastAsia" w:ascii="宋体" w:hAnsi="宋体" w:cs="宋体"/>
          <w:b/>
          <w:bCs/>
          <w:snapToGrid w:val="0"/>
          <w:szCs w:val="21"/>
        </w:rPr>
        <w:t>另有规定的除外；投资者按规定提交认（申）购申请并全额交付款项的，认（申）购申请成立；认（申）购申请是否生效以产品管理人发出的确认信息为准</w:t>
      </w:r>
      <w:r>
        <w:rPr>
          <w:rFonts w:ascii="宋体" w:hAnsi="宋体" w:cs="宋体"/>
          <w:b/>
          <w:bCs/>
          <w:snapToGrid w:val="0"/>
          <w:szCs w:val="21"/>
        </w:rPr>
        <w:t>，</w:t>
      </w:r>
      <w:r>
        <w:rPr>
          <w:rFonts w:hint="eastAsia" w:ascii="宋体" w:hAnsi="宋体" w:cs="宋体"/>
          <w:b/>
          <w:bCs/>
          <w:snapToGrid w:val="0"/>
          <w:szCs w:val="21"/>
        </w:rPr>
        <w:t>产品管理人</w:t>
      </w:r>
      <w:r>
        <w:rPr>
          <w:rFonts w:ascii="宋体" w:hAnsi="宋体" w:cs="宋体"/>
          <w:b/>
          <w:bCs/>
          <w:snapToGrid w:val="0"/>
          <w:szCs w:val="21"/>
        </w:rPr>
        <w:t>委托销售服务机构向投资者展示</w:t>
      </w:r>
      <w:r>
        <w:rPr>
          <w:rFonts w:hint="eastAsia" w:ascii="宋体" w:hAnsi="宋体" w:cs="宋体"/>
          <w:b/>
          <w:bCs/>
          <w:snapToGrid w:val="0"/>
          <w:szCs w:val="21"/>
        </w:rPr>
        <w:t>。</w:t>
      </w:r>
    </w:p>
    <w:p w14:paraId="21B3D8DF">
      <w:pPr>
        <w:tabs>
          <w:tab w:val="left" w:pos="420"/>
          <w:tab w:val="left" w:pos="720"/>
        </w:tabs>
        <w:spacing w:line="360" w:lineRule="auto"/>
        <w:ind w:firstLine="422" w:firstLineChars="200"/>
        <w:outlineLvl w:val="1"/>
        <w:rPr>
          <w:rFonts w:ascii="宋体" w:hAnsi="宋体" w:cs="宋体"/>
          <w:b/>
          <w:bCs/>
          <w:snapToGrid w:val="0"/>
          <w:szCs w:val="21"/>
        </w:rPr>
      </w:pPr>
      <w:r>
        <w:rPr>
          <w:rFonts w:hint="eastAsia" w:ascii="宋体" w:hAnsi="宋体" w:cs="宋体"/>
          <w:b/>
          <w:bCs/>
          <w:snapToGrid w:val="0"/>
          <w:szCs w:val="21"/>
        </w:rPr>
        <w:t>（一）销售渠道与销售服务机构</w:t>
      </w:r>
    </w:p>
    <w:p w14:paraId="18306A26">
      <w:pPr>
        <w:tabs>
          <w:tab w:val="left" w:pos="0"/>
        </w:tabs>
        <w:spacing w:line="360" w:lineRule="auto"/>
        <w:ind w:firstLine="420" w:firstLineChars="200"/>
        <w:outlineLvl w:val="9"/>
        <w:rPr>
          <w:rFonts w:ascii="宋体" w:hAnsi="宋体" w:cs="宋体"/>
          <w:szCs w:val="21"/>
        </w:rPr>
      </w:pPr>
      <w:r>
        <w:rPr>
          <w:rFonts w:hint="eastAsia" w:ascii="宋体" w:hAnsi="宋体" w:cs="宋体"/>
          <w:szCs w:val="21"/>
        </w:rPr>
        <w:t>本产品的认购、申购与赎回将通过销售服务机构营业网点或网上销售平台</w:t>
      </w:r>
      <w:r>
        <w:rPr>
          <w:rFonts w:ascii="宋体" w:hAnsi="宋体" w:cs="宋体"/>
          <w:szCs w:val="21"/>
        </w:rPr>
        <w:t>（</w:t>
      </w:r>
      <w:r>
        <w:rPr>
          <w:rFonts w:hint="eastAsia" w:ascii="宋体" w:hAnsi="宋体" w:cs="宋体"/>
          <w:szCs w:val="21"/>
        </w:rPr>
        <w:t>含网上银行、手机银行，具体以销售服务机构提供的方式为准）进行。本产品销售服务机构包括但不限于</w:t>
      </w:r>
      <w:r>
        <w:rPr>
          <w:rFonts w:hint="eastAsia" w:ascii="宋体" w:hAnsi="宋体" w:cs="宋体"/>
          <w:szCs w:val="21"/>
          <w:lang w:val="en-US" w:eastAsia="zh-CN"/>
        </w:rPr>
        <w:t>华夏</w:t>
      </w:r>
      <w:r>
        <w:rPr>
          <w:rFonts w:hint="eastAsia" w:ascii="宋体" w:hAnsi="宋体" w:eastAsia="宋体" w:cs="宋体"/>
          <w:b w:val="0"/>
          <w:bCs w:val="0"/>
          <w:snapToGrid w:val="0"/>
          <w:szCs w:val="21"/>
          <w:highlight w:val="none"/>
          <w:lang w:val="en-US" w:eastAsia="zh-CN"/>
        </w:rPr>
        <w:t>银行股份有限公司</w:t>
      </w:r>
      <w:r>
        <w:rPr>
          <w:rFonts w:hint="eastAsia" w:ascii="宋体" w:hAnsi="宋体" w:cs="宋体"/>
          <w:szCs w:val="21"/>
        </w:rPr>
        <w:t>等，其他销售服务机构由产品管理人在官方网站或相关公告中列明。产品管理人可根据情况变更或增减销售服务机构，并在产品管理人官方网站予以公布，具体以官网公布为准。</w:t>
      </w:r>
    </w:p>
    <w:p w14:paraId="6CDCCF14">
      <w:pPr>
        <w:tabs>
          <w:tab w:val="left" w:pos="0"/>
        </w:tabs>
        <w:spacing w:line="360" w:lineRule="auto"/>
        <w:ind w:firstLine="420" w:firstLineChars="200"/>
        <w:rPr>
          <w:rFonts w:ascii="宋体" w:hAnsi="宋体" w:cs="宋体"/>
          <w:szCs w:val="21"/>
        </w:rPr>
      </w:pPr>
      <w:r>
        <w:rPr>
          <w:rFonts w:hint="eastAsia" w:ascii="宋体" w:hAnsi="宋体" w:cs="宋体"/>
          <w:szCs w:val="21"/>
        </w:rPr>
        <w:t>本产品销售服务机构主要信息如下：</w:t>
      </w:r>
    </w:p>
    <w:p w14:paraId="53B47375">
      <w:pPr>
        <w:tabs>
          <w:tab w:val="left" w:pos="0"/>
        </w:tabs>
        <w:spacing w:line="360" w:lineRule="auto"/>
        <w:ind w:firstLine="420" w:firstLineChars="200"/>
        <w:rPr>
          <w:rFonts w:hint="eastAsia" w:ascii="宋体" w:hAnsi="宋体" w:eastAsia="宋体" w:cs="宋体"/>
          <w:b w:val="0"/>
          <w:bCs w:val="0"/>
          <w:snapToGrid w:val="0"/>
          <w:szCs w:val="21"/>
          <w:highlight w:val="none"/>
          <w:lang w:val="en-US" w:eastAsia="zh-CN"/>
        </w:rPr>
      </w:pPr>
      <w:bookmarkStart w:id="10" w:name="销售商"/>
      <w:r>
        <w:rPr>
          <w:rFonts w:hint="eastAsia" w:ascii="宋体" w:hAnsi="宋体" w:eastAsia="宋体" w:cs="宋体"/>
          <w:b w:val="0"/>
          <w:bCs w:val="0"/>
          <w:snapToGrid w:val="0"/>
          <w:szCs w:val="21"/>
          <w:highlight w:val="none"/>
          <w:lang w:val="en-US" w:eastAsia="zh-CN"/>
        </w:rPr>
        <w:t>1</w:t>
      </w:r>
      <w:r>
        <w:rPr>
          <w:rFonts w:hint="eastAsia" w:ascii="宋体" w:hAnsi="宋体" w:cs="宋体"/>
          <w:b w:val="0"/>
          <w:bCs w:val="0"/>
          <w:snapToGrid w:val="0"/>
          <w:szCs w:val="21"/>
          <w:highlight w:val="none"/>
          <w:lang w:val="en-US" w:eastAsia="zh-CN"/>
        </w:rPr>
        <w:t>.</w:t>
      </w:r>
      <w:r>
        <w:rPr>
          <w:rFonts w:hint="eastAsia" w:ascii="宋体" w:hAnsi="宋体" w:cs="宋体"/>
          <w:szCs w:val="21"/>
          <w:lang w:val="en-US" w:eastAsia="zh-CN"/>
        </w:rPr>
        <w:t>华夏</w:t>
      </w:r>
      <w:r>
        <w:rPr>
          <w:rFonts w:hint="eastAsia" w:ascii="宋体" w:hAnsi="宋体" w:eastAsia="宋体" w:cs="宋体"/>
          <w:b w:val="0"/>
          <w:bCs w:val="0"/>
          <w:snapToGrid w:val="0"/>
          <w:szCs w:val="21"/>
          <w:highlight w:val="none"/>
          <w:lang w:val="en-US" w:eastAsia="zh-CN"/>
        </w:rPr>
        <w:t>银行股份有限公司</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6"/>
        <w:gridCol w:w="6726"/>
      </w:tblGrid>
      <w:tr w14:paraId="37919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62" w:type="pct"/>
            <w:vAlign w:val="center"/>
          </w:tcPr>
          <w:p w14:paraId="659F1E55">
            <w:pPr>
              <w:jc w:val="center"/>
              <w:rPr>
                <w:highlight w:val="none"/>
              </w:rPr>
            </w:pPr>
            <w:r>
              <w:rPr>
                <w:rFonts w:ascii="宋体" w:hAnsi="宋体" w:eastAsia="宋体" w:cs="宋体"/>
                <w:b/>
                <w:highlight w:val="none"/>
              </w:rPr>
              <w:t>销售服务机构</w:t>
            </w:r>
          </w:p>
        </w:tc>
        <w:tc>
          <w:tcPr>
            <w:tcW w:w="6725" w:type="dxa"/>
            <w:vAlign w:val="center"/>
          </w:tcPr>
          <w:p w14:paraId="666D2896">
            <w:pPr>
              <w:jc w:val="center"/>
              <w:rPr>
                <w:highlight w:val="none"/>
              </w:rPr>
            </w:pPr>
            <w:r>
              <w:rPr>
                <w:rFonts w:hint="eastAsia" w:ascii="宋体" w:hAnsi="宋体" w:cs="宋体"/>
                <w:b w:val="0"/>
                <w:lang w:val="en-US" w:eastAsia="zh-CN"/>
              </w:rPr>
              <w:t>华夏</w:t>
            </w:r>
            <w:r>
              <w:rPr>
                <w:rFonts w:hint="eastAsia" w:ascii="宋体" w:hAnsi="宋体" w:eastAsia="宋体" w:cs="宋体"/>
                <w:b w:val="0"/>
              </w:rPr>
              <w:t>银行股份有限公司</w:t>
            </w:r>
          </w:p>
        </w:tc>
      </w:tr>
      <w:tr w14:paraId="60511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162" w:type="pct"/>
            <w:vAlign w:val="center"/>
          </w:tcPr>
          <w:p w14:paraId="2819F237">
            <w:pPr>
              <w:jc w:val="center"/>
              <w:rPr>
                <w:highlight w:val="none"/>
              </w:rPr>
            </w:pPr>
            <w:r>
              <w:rPr>
                <w:rFonts w:ascii="宋体" w:hAnsi="宋体" w:eastAsia="宋体" w:cs="宋体"/>
                <w:b/>
                <w:highlight w:val="none"/>
              </w:rPr>
              <w:t>住所</w:t>
            </w:r>
          </w:p>
        </w:tc>
        <w:tc>
          <w:tcPr>
            <w:tcW w:w="6725" w:type="dxa"/>
            <w:vAlign w:val="center"/>
          </w:tcPr>
          <w:p w14:paraId="1ED36A27">
            <w:pPr>
              <w:jc w:val="center"/>
              <w:rPr>
                <w:highlight w:val="none"/>
              </w:rPr>
            </w:pPr>
            <w:r>
              <w:rPr>
                <w:rFonts w:hint="eastAsia" w:ascii="宋体" w:hAnsi="宋体" w:cs="宋体"/>
                <w:b w:val="0"/>
                <w:lang w:val="en-US" w:eastAsia="zh-CN"/>
              </w:rPr>
              <w:t>北京市东城区建国门内大街 22 号</w:t>
            </w:r>
          </w:p>
        </w:tc>
      </w:tr>
      <w:tr w14:paraId="5A5DE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62" w:type="pct"/>
            <w:vAlign w:val="center"/>
          </w:tcPr>
          <w:p w14:paraId="5BF85DC7">
            <w:pPr>
              <w:jc w:val="center"/>
              <w:rPr>
                <w:highlight w:val="none"/>
              </w:rPr>
            </w:pPr>
            <w:r>
              <w:rPr>
                <w:rFonts w:ascii="宋体" w:hAnsi="宋体" w:eastAsia="宋体" w:cs="宋体"/>
                <w:b/>
                <w:highlight w:val="none"/>
              </w:rPr>
              <w:t>客户服务热线</w:t>
            </w:r>
          </w:p>
        </w:tc>
        <w:tc>
          <w:tcPr>
            <w:tcW w:w="6725" w:type="dxa"/>
            <w:vAlign w:val="center"/>
          </w:tcPr>
          <w:p w14:paraId="6DC20497">
            <w:pPr>
              <w:jc w:val="center"/>
              <w:rPr>
                <w:rFonts w:hint="eastAsia" w:ascii="宋体" w:hAnsi="宋体" w:eastAsia="宋体" w:cs="宋体"/>
                <w:highlight w:val="none"/>
                <w:lang w:val="en-US" w:eastAsia="zh-CN"/>
              </w:rPr>
            </w:pPr>
            <w:r>
              <w:rPr>
                <w:rFonts w:hint="default" w:ascii="宋体" w:hAnsi="宋体" w:cs="宋体"/>
                <w:b w:val="0"/>
                <w:lang w:val="en-US" w:eastAsia="zh-CN"/>
              </w:rPr>
              <w:t>95</w:t>
            </w:r>
            <w:r>
              <w:rPr>
                <w:rFonts w:hint="eastAsia" w:ascii="宋体" w:hAnsi="宋体" w:cs="宋体"/>
                <w:b w:val="0"/>
                <w:lang w:val="en-US" w:eastAsia="zh-CN"/>
              </w:rPr>
              <w:t>577</w:t>
            </w:r>
          </w:p>
        </w:tc>
      </w:tr>
      <w:tr w14:paraId="2BD3C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62" w:type="pct"/>
            <w:vAlign w:val="center"/>
          </w:tcPr>
          <w:p w14:paraId="25B67FC3">
            <w:pPr>
              <w:jc w:val="center"/>
              <w:rPr>
                <w:highlight w:val="none"/>
              </w:rPr>
            </w:pPr>
            <w:r>
              <w:rPr>
                <w:rFonts w:ascii="宋体" w:hAnsi="宋体" w:eastAsia="宋体" w:cs="宋体"/>
                <w:b/>
                <w:highlight w:val="none"/>
              </w:rPr>
              <w:t>官方网站</w:t>
            </w:r>
          </w:p>
        </w:tc>
        <w:tc>
          <w:tcPr>
            <w:tcW w:w="6725" w:type="dxa"/>
            <w:vAlign w:val="center"/>
          </w:tcPr>
          <w:p w14:paraId="188924A3">
            <w:pPr>
              <w:jc w:val="center"/>
              <w:rPr>
                <w:rFonts w:hint="eastAsia" w:ascii="宋体" w:hAnsi="宋体" w:cs="宋体"/>
                <w:highlight w:val="none"/>
              </w:rPr>
            </w:pPr>
            <w:r>
              <w:rPr>
                <w:rFonts w:hint="eastAsia" w:ascii="宋体" w:hAnsi="宋体" w:eastAsia="宋体" w:cs="宋体"/>
                <w:color w:val="333333"/>
                <w:sz w:val="24"/>
              </w:rPr>
              <w:t>https://</w:t>
            </w:r>
            <w:r>
              <w:rPr>
                <w:rFonts w:ascii="宋体" w:hAnsi="宋体" w:eastAsia="宋体" w:cs="宋体"/>
                <w:sz w:val="24"/>
                <w:szCs w:val="24"/>
              </w:rPr>
              <w:t xml:space="preserve">www.hxb.com.cn </w:t>
            </w:r>
          </w:p>
        </w:tc>
      </w:tr>
      <w:tr w14:paraId="0BDE1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62" w:type="pct"/>
            <w:vAlign w:val="center"/>
          </w:tcPr>
          <w:p w14:paraId="1E08AD6D">
            <w:pPr>
              <w:jc w:val="center"/>
              <w:rPr>
                <w:highlight w:val="none"/>
              </w:rPr>
            </w:pPr>
            <w:r>
              <w:rPr>
                <w:rFonts w:ascii="宋体" w:hAnsi="宋体" w:eastAsia="宋体" w:cs="宋体"/>
                <w:b/>
                <w:highlight w:val="none"/>
              </w:rPr>
              <w:t>主要职责</w:t>
            </w:r>
          </w:p>
        </w:tc>
        <w:tc>
          <w:tcPr>
            <w:tcW w:w="6725" w:type="dxa"/>
            <w:vAlign w:val="center"/>
          </w:tcPr>
          <w:p w14:paraId="7ED6B6E3">
            <w:pPr>
              <w:jc w:val="left"/>
              <w:rPr>
                <w:highlight w:val="none"/>
              </w:rPr>
            </w:pPr>
            <w:r>
              <w:rPr>
                <w:rFonts w:ascii="宋体" w:hAnsi="宋体" w:eastAsia="宋体" w:cs="宋体"/>
                <w:b w:val="0"/>
              </w:rPr>
              <w:t>理财产品宣传推广、投资者风险承受能力评估和投资者适当性管理、理财产品份额认购/申购/赎回、配合管理人进行理财产品客户身份识别及反洗钱、反恐怖融资及非居民金融账户涉税信息调查、协助管理人与投资者订立理财产品销售文件、协助管理人与投资者沟通及进行信息披露、接受投资者咨询和客户维护等销售服务。</w:t>
            </w:r>
          </w:p>
        </w:tc>
      </w:tr>
      <w:bookmarkEnd w:id="10"/>
    </w:tbl>
    <w:p w14:paraId="07BF52A4">
      <w:pPr>
        <w:tabs>
          <w:tab w:val="left" w:pos="0"/>
        </w:tabs>
        <w:spacing w:line="360" w:lineRule="auto"/>
        <w:ind w:firstLine="422" w:firstLineChars="200"/>
        <w:outlineLvl w:val="1"/>
        <w:rPr>
          <w:rFonts w:ascii="宋体" w:hAnsi="宋体" w:cs="宋体"/>
          <w:b/>
          <w:bCs/>
          <w:snapToGrid w:val="0"/>
          <w:szCs w:val="21"/>
        </w:rPr>
      </w:pPr>
      <w:r>
        <w:rPr>
          <w:rFonts w:hint="eastAsia" w:ascii="宋体" w:hAnsi="宋体" w:cs="宋体"/>
          <w:b/>
          <w:bCs/>
          <w:snapToGrid w:val="0"/>
          <w:szCs w:val="21"/>
        </w:rPr>
        <w:t>（二）认购</w:t>
      </w:r>
    </w:p>
    <w:p w14:paraId="7384EBB9">
      <w:pPr>
        <w:tabs>
          <w:tab w:val="left" w:pos="0"/>
        </w:tabs>
        <w:spacing w:line="360" w:lineRule="auto"/>
        <w:ind w:firstLine="420" w:firstLineChars="200"/>
        <w:rPr>
          <w:rFonts w:ascii="宋体" w:hAnsi="宋体" w:cs="宋体"/>
          <w:szCs w:val="21"/>
        </w:rPr>
      </w:pPr>
      <w:r>
        <w:rPr>
          <w:rFonts w:ascii="宋体" w:hAnsi="宋体" w:cs="宋体"/>
          <w:szCs w:val="21"/>
        </w:rPr>
        <w:t>1.认购指投资者在募集期</w:t>
      </w:r>
      <w:r>
        <w:rPr>
          <w:rFonts w:hint="eastAsia" w:ascii="宋体" w:hAnsi="宋体" w:cs="宋体"/>
          <w:szCs w:val="21"/>
        </w:rPr>
        <w:t>交易时间内进行</w:t>
      </w:r>
      <w:r>
        <w:rPr>
          <w:rFonts w:ascii="宋体" w:hAnsi="宋体" w:cs="宋体"/>
          <w:szCs w:val="21"/>
        </w:rPr>
        <w:t>的购买行为。产品募集期为</w:t>
      </w:r>
      <w:r>
        <w:rPr>
          <w:rFonts w:hint="eastAsia" w:ascii="宋体" w:hAnsi="宋体" w:cs="宋体"/>
          <w:szCs w:val="21"/>
          <w:lang w:eastAsia="zh-CN"/>
        </w:rPr>
        <w:t>2026年1月30日至2026年2月2日</w:t>
      </w:r>
      <w:r>
        <w:rPr>
          <w:rFonts w:hint="eastAsia" w:ascii="宋体" w:hAnsi="宋体" w:cs="宋体"/>
          <w:szCs w:val="21"/>
        </w:rPr>
        <w:t>，管理人有权根据募集情况缩短或延长产品募集期，本产品最长募集期不超过</w:t>
      </w:r>
      <w:r>
        <w:rPr>
          <w:rFonts w:ascii="宋体" w:hAnsi="宋体" w:cs="宋体"/>
          <w:szCs w:val="21"/>
        </w:rPr>
        <w:t>1个月。管理人有权根据实际募集期提前或延后产品成立日期，并将通过</w:t>
      </w:r>
      <w:r>
        <w:rPr>
          <w:rFonts w:hint="eastAsia" w:ascii="宋体" w:hAnsi="宋体" w:cs="宋体"/>
          <w:bCs/>
          <w:szCs w:val="21"/>
        </w:rPr>
        <w:t>产品管理人官方网站或销售服务机构网上销售平台</w:t>
      </w:r>
      <w:r>
        <w:rPr>
          <w:rFonts w:hint="eastAsia" w:ascii="宋体" w:hAnsi="宋体" w:cs="宋体"/>
          <w:szCs w:val="21"/>
        </w:rPr>
        <w:t>进行公布。具体销售服务机构实际受理时间，以销售服务机构规则为准。</w:t>
      </w:r>
    </w:p>
    <w:p w14:paraId="5EC140C0">
      <w:pPr>
        <w:tabs>
          <w:tab w:val="left" w:pos="420"/>
          <w:tab w:val="left" w:pos="720"/>
        </w:tabs>
        <w:spacing w:line="360" w:lineRule="auto"/>
        <w:ind w:firstLine="422" w:firstLineChars="200"/>
        <w:rPr>
          <w:rFonts w:ascii="宋体" w:hAnsi="宋体" w:cs="宋体"/>
          <w:szCs w:val="21"/>
        </w:rPr>
      </w:pPr>
      <w:r>
        <w:rPr>
          <w:rFonts w:ascii="宋体" w:hAnsi="宋体" w:cs="宋体"/>
          <w:b/>
          <w:bCs/>
          <w:snapToGrid w:val="0"/>
          <w:szCs w:val="21"/>
        </w:rPr>
        <w:t>2.认购费用：</w:t>
      </w:r>
      <w:r>
        <w:rPr>
          <w:rFonts w:hint="eastAsia" w:ascii="宋体" w:hAnsi="宋体" w:cs="宋体"/>
          <w:b/>
          <w:bCs/>
          <w:szCs w:val="21"/>
        </w:rPr>
        <w:t>本产品免认购费，产品认购时以单位份额净值</w:t>
      </w:r>
      <w:r>
        <w:rPr>
          <w:rFonts w:ascii="宋体" w:hAnsi="宋体" w:cs="宋体"/>
          <w:b/>
          <w:bCs/>
          <w:szCs w:val="21"/>
        </w:rPr>
        <w:t>1.0000元/份为基准进行认购。</w:t>
      </w:r>
    </w:p>
    <w:p w14:paraId="32D156BB">
      <w:pPr>
        <w:tabs>
          <w:tab w:val="left" w:pos="0"/>
        </w:tabs>
        <w:spacing w:line="360" w:lineRule="auto"/>
        <w:ind w:firstLine="422" w:firstLineChars="200"/>
        <w:rPr>
          <w:rFonts w:ascii="宋体" w:hAnsi="宋体" w:cs="宋体"/>
          <w:szCs w:val="21"/>
        </w:rPr>
      </w:pPr>
      <w:r>
        <w:rPr>
          <w:rFonts w:ascii="宋体" w:hAnsi="宋体" w:cs="宋体"/>
          <w:b/>
          <w:bCs/>
          <w:snapToGrid w:val="0"/>
          <w:szCs w:val="21"/>
        </w:rPr>
        <w:t>3.认购份额：</w:t>
      </w:r>
      <w:r>
        <w:rPr>
          <w:rFonts w:hint="eastAsia" w:ascii="宋体" w:hAnsi="宋体" w:cs="宋体"/>
          <w:szCs w:val="21"/>
        </w:rPr>
        <w:t>本产品采用金额认购方法，认购时计算方法如下：</w:t>
      </w:r>
    </w:p>
    <w:p w14:paraId="2C5B4A75">
      <w:pPr>
        <w:tabs>
          <w:tab w:val="left" w:pos="0"/>
        </w:tabs>
        <w:spacing w:line="360" w:lineRule="auto"/>
        <w:ind w:firstLine="420" w:firstLineChars="200"/>
        <w:rPr>
          <w:rFonts w:ascii="宋体" w:hAnsi="宋体" w:cs="宋体"/>
          <w:szCs w:val="21"/>
        </w:rPr>
      </w:pPr>
      <w:r>
        <w:rPr>
          <w:rFonts w:hint="eastAsia" w:ascii="宋体" w:hAnsi="宋体" w:cs="宋体"/>
          <w:szCs w:val="21"/>
        </w:rPr>
        <w:t>净认购金额</w:t>
      </w:r>
      <w:r>
        <w:rPr>
          <w:rFonts w:ascii="宋体" w:hAnsi="宋体" w:cs="宋体"/>
          <w:szCs w:val="21"/>
        </w:rPr>
        <w:t>=认购金额/</w:t>
      </w:r>
      <w:r>
        <w:rPr>
          <w:rFonts w:hint="eastAsia" w:ascii="宋体" w:hAnsi="宋体" w:cs="宋体"/>
          <w:szCs w:val="21"/>
        </w:rPr>
        <w:t>（</w:t>
      </w:r>
      <w:r>
        <w:rPr>
          <w:rFonts w:ascii="宋体" w:hAnsi="宋体" w:cs="宋体"/>
          <w:szCs w:val="21"/>
        </w:rPr>
        <w:t>1+认购费率</w:t>
      </w:r>
      <w:r>
        <w:rPr>
          <w:rFonts w:hint="eastAsia" w:ascii="宋体" w:hAnsi="宋体" w:cs="宋体"/>
          <w:szCs w:val="21"/>
        </w:rPr>
        <w:t>）</w:t>
      </w:r>
    </w:p>
    <w:p w14:paraId="77C54449">
      <w:pPr>
        <w:tabs>
          <w:tab w:val="left" w:pos="0"/>
        </w:tabs>
        <w:spacing w:line="360" w:lineRule="auto"/>
        <w:ind w:firstLine="420" w:firstLineChars="200"/>
        <w:rPr>
          <w:rFonts w:ascii="宋体" w:hAnsi="宋体" w:cs="宋体"/>
          <w:szCs w:val="21"/>
        </w:rPr>
      </w:pPr>
      <w:r>
        <w:rPr>
          <w:rFonts w:hint="eastAsia" w:ascii="宋体" w:hAnsi="宋体" w:cs="宋体"/>
          <w:szCs w:val="21"/>
        </w:rPr>
        <w:t>认购费用＝净认购金额×认购费率</w:t>
      </w:r>
    </w:p>
    <w:p w14:paraId="0024C075">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认购份额＝净认购金额</w:t>
      </w:r>
      <w:r>
        <w:rPr>
          <w:rFonts w:ascii="宋体" w:hAnsi="宋体" w:cs="宋体"/>
          <w:snapToGrid w:val="0"/>
          <w:szCs w:val="21"/>
        </w:rPr>
        <w:t>/产品单位份额面值</w:t>
      </w:r>
    </w:p>
    <w:p w14:paraId="12987DAF">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认购份额、净认购金额、认购费用以四舍五入的方法保留到小数点后两位。</w:t>
      </w:r>
    </w:p>
    <w:p w14:paraId="152126E3">
      <w:pPr>
        <w:tabs>
          <w:tab w:val="left" w:pos="420"/>
          <w:tab w:val="left" w:pos="720"/>
        </w:tabs>
        <w:spacing w:line="360" w:lineRule="auto"/>
        <w:ind w:firstLine="422" w:firstLineChars="200"/>
        <w:rPr>
          <w:rFonts w:ascii="宋体" w:hAnsi="宋体" w:cs="宋体"/>
          <w:snapToGrid w:val="0"/>
          <w:szCs w:val="21"/>
        </w:rPr>
      </w:pPr>
      <w:r>
        <w:rPr>
          <w:rFonts w:ascii="宋体" w:hAnsi="宋体" w:cs="宋体"/>
          <w:b/>
          <w:bCs/>
          <w:snapToGrid w:val="0"/>
          <w:szCs w:val="21"/>
        </w:rPr>
        <w:t>4.认购金额：</w:t>
      </w:r>
      <w:r>
        <w:rPr>
          <w:rFonts w:hint="eastAsia" w:ascii="宋体" w:hAnsi="宋体" w:cs="宋体"/>
          <w:snapToGrid w:val="0"/>
          <w:szCs w:val="21"/>
        </w:rPr>
        <w:t>投资者在募集期内可以多次认购，其中：</w:t>
      </w:r>
    </w:p>
    <w:p w14:paraId="633E705B">
      <w:pPr>
        <w:tabs>
          <w:tab w:val="left" w:pos="420"/>
          <w:tab w:val="left" w:pos="720"/>
        </w:tabs>
        <w:spacing w:line="360" w:lineRule="auto"/>
        <w:ind w:firstLine="420" w:firstLineChars="200"/>
        <w:rPr>
          <w:rFonts w:hint="eastAsia" w:ascii="宋体" w:hAnsi="宋体" w:cs="宋体"/>
          <w:bCs/>
          <w:kern w:val="0"/>
          <w:szCs w:val="21"/>
          <w:lang w:eastAsia="zh-CN" w:bidi="bn-IN"/>
        </w:rPr>
      </w:pPr>
      <w:r>
        <w:rPr>
          <w:rFonts w:hint="eastAsia" w:ascii="宋体" w:hAnsi="宋体" w:cs="宋体"/>
          <w:bCs/>
          <w:kern w:val="0"/>
          <w:szCs w:val="21"/>
          <w:lang w:val="en-US" w:eastAsia="zh-CN" w:bidi="bn-IN"/>
        </w:rPr>
        <w:t>D</w:t>
      </w:r>
      <w:r>
        <w:rPr>
          <w:rFonts w:hint="eastAsia" w:ascii="宋体" w:hAnsi="宋体" w:cs="宋体"/>
          <w:bCs/>
          <w:kern w:val="0"/>
          <w:szCs w:val="21"/>
          <w:lang w:bidi="bn-IN"/>
        </w:rPr>
        <w:t>类份额的初次认购金额不低于人民币1元，后续单笔认购金额须高于人民币1元，且为1元的整数倍</w:t>
      </w:r>
      <w:r>
        <w:rPr>
          <w:rFonts w:hint="eastAsia" w:ascii="宋体" w:hAnsi="宋体" w:cs="宋体"/>
          <w:bCs/>
          <w:kern w:val="0"/>
          <w:szCs w:val="21"/>
          <w:lang w:eastAsia="zh-CN" w:bidi="bn-IN"/>
        </w:rPr>
        <w:t>；</w:t>
      </w:r>
    </w:p>
    <w:p w14:paraId="4B3E46F1">
      <w:pPr>
        <w:tabs>
          <w:tab w:val="left" w:pos="420"/>
          <w:tab w:val="left" w:pos="720"/>
        </w:tabs>
        <w:spacing w:line="360" w:lineRule="auto"/>
        <w:ind w:firstLine="420" w:firstLineChars="200"/>
        <w:rPr>
          <w:rFonts w:hint="eastAsia" w:ascii="宋体" w:hAnsi="宋体" w:cs="宋体"/>
          <w:snapToGrid w:val="0"/>
          <w:szCs w:val="21"/>
        </w:rPr>
      </w:pPr>
      <w:r>
        <w:rPr>
          <w:rFonts w:hint="eastAsia" w:ascii="宋体" w:hAnsi="宋体" w:cs="宋体"/>
          <w:bCs/>
          <w:kern w:val="0"/>
          <w:szCs w:val="21"/>
          <w:lang w:val="en-US" w:eastAsia="zh-CN" w:bidi="bn-IN"/>
        </w:rPr>
        <w:t>I类</w:t>
      </w:r>
      <w:r>
        <w:rPr>
          <w:rFonts w:hint="eastAsia" w:ascii="宋体" w:hAnsi="宋体" w:cs="宋体"/>
          <w:bCs/>
          <w:kern w:val="0"/>
          <w:szCs w:val="21"/>
          <w:lang w:bidi="bn-IN"/>
        </w:rPr>
        <w:t>份额的初次认购金额不低于人民币</w:t>
      </w:r>
      <w:r>
        <w:rPr>
          <w:rFonts w:hint="eastAsia" w:ascii="宋体" w:hAnsi="宋体" w:cs="宋体"/>
          <w:bCs/>
          <w:kern w:val="0"/>
          <w:szCs w:val="21"/>
          <w:lang w:val="en-US" w:eastAsia="zh-CN" w:bidi="bn-IN"/>
        </w:rPr>
        <w:t>200万元</w:t>
      </w:r>
      <w:r>
        <w:rPr>
          <w:rFonts w:hint="eastAsia" w:ascii="宋体" w:hAnsi="宋体" w:cs="宋体"/>
          <w:bCs/>
          <w:kern w:val="0"/>
          <w:szCs w:val="21"/>
          <w:lang w:bidi="bn-IN"/>
        </w:rPr>
        <w:t>，后续单笔认购金额须高于人民币1元，且为1元的整数倍。</w:t>
      </w:r>
    </w:p>
    <w:p w14:paraId="75D14C55">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如投资者在认购期内多次认购，则认购费用按合并金额的费率分笔计算。</w:t>
      </w:r>
    </w:p>
    <w:p w14:paraId="4F17E29F">
      <w:pPr>
        <w:tabs>
          <w:tab w:val="left" w:pos="420"/>
          <w:tab w:val="left" w:pos="720"/>
        </w:tabs>
        <w:spacing w:line="360" w:lineRule="auto"/>
        <w:ind w:firstLine="422" w:firstLineChars="200"/>
        <w:rPr>
          <w:rFonts w:ascii="宋体" w:hAnsi="宋体" w:cs="宋体"/>
          <w:snapToGrid w:val="0"/>
          <w:szCs w:val="21"/>
        </w:rPr>
      </w:pPr>
      <w:r>
        <w:rPr>
          <w:rFonts w:ascii="宋体" w:hAnsi="宋体" w:cs="宋体"/>
          <w:b/>
          <w:bCs/>
          <w:snapToGrid w:val="0"/>
          <w:szCs w:val="21"/>
        </w:rPr>
        <w:t>5.认购确认：</w:t>
      </w:r>
      <w:r>
        <w:rPr>
          <w:rFonts w:hint="eastAsia" w:ascii="宋体" w:hAnsi="宋体" w:cs="宋体"/>
          <w:snapToGrid w:val="0"/>
          <w:szCs w:val="21"/>
        </w:rPr>
        <w:t>销售服务机构受理认购申请并不代表对该申请成功的确认，而仅代表其收到了认购申请，申请是否成功应以管理人的确认为准。本产品认购份额确认日为本产品成立日。</w:t>
      </w:r>
    </w:p>
    <w:p w14:paraId="7ECC0A1E">
      <w:pPr>
        <w:tabs>
          <w:tab w:val="left" w:pos="420"/>
          <w:tab w:val="left" w:pos="720"/>
        </w:tabs>
        <w:spacing w:line="360" w:lineRule="auto"/>
        <w:ind w:firstLine="422" w:firstLineChars="200"/>
        <w:rPr>
          <w:rFonts w:ascii="宋体" w:hAnsi="宋体" w:cs="宋体"/>
          <w:snapToGrid w:val="0"/>
          <w:szCs w:val="21"/>
        </w:rPr>
      </w:pPr>
      <w:r>
        <w:rPr>
          <w:rFonts w:ascii="宋体" w:hAnsi="宋体" w:cs="宋体"/>
          <w:b/>
          <w:bCs/>
          <w:snapToGrid w:val="0"/>
          <w:szCs w:val="21"/>
        </w:rPr>
        <w:t>6.认购撤销：</w:t>
      </w:r>
      <w:r>
        <w:rPr>
          <w:rFonts w:hint="eastAsia" w:ascii="宋体" w:hAnsi="宋体" w:cs="宋体"/>
          <w:snapToGrid w:val="0"/>
          <w:szCs w:val="21"/>
        </w:rPr>
        <w:t>认购期内，投资者可以撤销其已提交的认购申请，具体请以销售服务机构规定为准。已经由管理人处理并确认的认购申请不得撤销。</w:t>
      </w:r>
    </w:p>
    <w:p w14:paraId="0B2F0DC3">
      <w:pPr>
        <w:tabs>
          <w:tab w:val="left" w:pos="0"/>
        </w:tabs>
        <w:spacing w:line="360" w:lineRule="auto"/>
        <w:ind w:firstLine="422" w:firstLineChars="200"/>
        <w:rPr>
          <w:rFonts w:ascii="宋体" w:hAnsi="宋体" w:cs="宋体"/>
          <w:b/>
          <w:kern w:val="0"/>
          <w:szCs w:val="21"/>
        </w:rPr>
      </w:pPr>
      <w:r>
        <w:rPr>
          <w:rFonts w:ascii="宋体" w:hAnsi="宋体" w:cs="宋体"/>
          <w:b/>
          <w:kern w:val="0"/>
          <w:szCs w:val="21"/>
        </w:rPr>
        <w:t>7.拒绝或暂停接受认购的情形及处理</w:t>
      </w:r>
    </w:p>
    <w:p w14:paraId="1C02FC38">
      <w:pPr>
        <w:tabs>
          <w:tab w:val="left" w:pos="0"/>
        </w:tabs>
        <w:spacing w:line="360" w:lineRule="auto"/>
        <w:ind w:firstLine="422" w:firstLineChars="200"/>
        <w:rPr>
          <w:rFonts w:ascii="宋体" w:hAnsi="宋体" w:cs="宋体"/>
          <w:b/>
          <w:bCs/>
          <w:szCs w:val="21"/>
        </w:rPr>
      </w:pPr>
      <w:r>
        <w:rPr>
          <w:rFonts w:ascii="宋体" w:hAnsi="宋体" w:cs="宋体"/>
          <w:b/>
          <w:bCs/>
          <w:szCs w:val="21"/>
        </w:rPr>
        <w:t>除下列情形外，管理人不得拒绝接受或暂停接受投资者的认购申请：</w:t>
      </w:r>
    </w:p>
    <w:p w14:paraId="751F35BC">
      <w:pPr>
        <w:tabs>
          <w:tab w:val="left" w:pos="0"/>
        </w:tabs>
        <w:spacing w:line="360" w:lineRule="auto"/>
        <w:ind w:firstLine="422" w:firstLineChars="200"/>
        <w:rPr>
          <w:rFonts w:ascii="宋体" w:hAnsi="宋体" w:cs="宋体"/>
          <w:b/>
          <w:bCs/>
          <w:szCs w:val="21"/>
        </w:rPr>
      </w:pPr>
      <w:r>
        <w:rPr>
          <w:rFonts w:hint="eastAsia" w:ascii="宋体" w:hAnsi="宋体" w:cs="宋体"/>
          <w:b/>
          <w:bCs/>
          <w:szCs w:val="21"/>
        </w:rPr>
        <w:t>①不可抗力的原因导致产品无法正常成立；</w:t>
      </w:r>
    </w:p>
    <w:p w14:paraId="3FB0B65E">
      <w:pPr>
        <w:tabs>
          <w:tab w:val="left" w:pos="0"/>
        </w:tabs>
        <w:spacing w:line="360" w:lineRule="auto"/>
        <w:ind w:firstLine="422" w:firstLineChars="200"/>
        <w:rPr>
          <w:rFonts w:ascii="宋体" w:hAnsi="宋体" w:cs="宋体"/>
          <w:b/>
          <w:bCs/>
          <w:szCs w:val="21"/>
        </w:rPr>
      </w:pPr>
      <w:r>
        <w:rPr>
          <w:rFonts w:hint="eastAsia" w:ascii="宋体" w:hAnsi="宋体" w:cs="宋体"/>
          <w:b/>
          <w:bCs/>
          <w:szCs w:val="21"/>
        </w:rPr>
        <w:t>②超过产品募集规模上限；</w:t>
      </w:r>
    </w:p>
    <w:p w14:paraId="6C81E73E">
      <w:pPr>
        <w:tabs>
          <w:tab w:val="left" w:pos="0"/>
        </w:tabs>
        <w:spacing w:line="360" w:lineRule="auto"/>
        <w:ind w:firstLine="422" w:firstLineChars="200"/>
        <w:rPr>
          <w:rFonts w:ascii="宋体" w:hAnsi="宋体" w:cs="宋体"/>
          <w:b/>
          <w:bCs/>
          <w:szCs w:val="21"/>
        </w:rPr>
      </w:pPr>
      <w:r>
        <w:rPr>
          <w:rFonts w:hint="eastAsia" w:ascii="宋体" w:hAnsi="宋体" w:cs="宋体"/>
          <w:b/>
          <w:bCs/>
          <w:szCs w:val="21"/>
        </w:rPr>
        <w:t>③投资者认购超过个人</w:t>
      </w:r>
      <w:r>
        <w:rPr>
          <w:rFonts w:ascii="宋体" w:hAnsi="宋体" w:cs="宋体"/>
          <w:b/>
          <w:bCs/>
          <w:szCs w:val="21"/>
        </w:rPr>
        <w:t>/机构投资者持有上限；</w:t>
      </w:r>
    </w:p>
    <w:p w14:paraId="3BFCC0E2">
      <w:pPr>
        <w:tabs>
          <w:tab w:val="left" w:pos="0"/>
        </w:tabs>
        <w:spacing w:line="360" w:lineRule="auto"/>
        <w:ind w:firstLine="422" w:firstLineChars="200"/>
        <w:rPr>
          <w:rFonts w:ascii="宋体" w:hAnsi="宋体" w:cs="宋体"/>
          <w:b/>
          <w:bCs/>
          <w:szCs w:val="21"/>
        </w:rPr>
      </w:pPr>
      <w:r>
        <w:rPr>
          <w:rFonts w:hint="eastAsia" w:ascii="宋体" w:hAnsi="宋体" w:cs="宋体"/>
          <w:b/>
          <w:bCs/>
          <w:szCs w:val="21"/>
        </w:rPr>
        <w:t>④当产品管理人认为某笔认购申请会有损于其他产品份额持有人利益时，可拒绝该笔认购申请；</w:t>
      </w:r>
    </w:p>
    <w:p w14:paraId="20550C72">
      <w:pPr>
        <w:tabs>
          <w:tab w:val="left" w:pos="0"/>
        </w:tabs>
        <w:spacing w:line="360" w:lineRule="auto"/>
        <w:ind w:firstLine="422" w:firstLineChars="200"/>
        <w:rPr>
          <w:rFonts w:ascii="宋体" w:hAnsi="宋体" w:cs="宋体"/>
          <w:b/>
          <w:bCs/>
          <w:szCs w:val="21"/>
        </w:rPr>
      </w:pPr>
      <w:r>
        <w:rPr>
          <w:rFonts w:hint="eastAsia" w:ascii="宋体" w:hAnsi="宋体" w:cs="宋体"/>
          <w:b/>
          <w:bCs/>
          <w:szCs w:val="21"/>
        </w:rPr>
        <w:t>⑤法律、法规规定认定的其他情形。</w:t>
      </w:r>
    </w:p>
    <w:p w14:paraId="66E3849D">
      <w:pPr>
        <w:tabs>
          <w:tab w:val="left" w:pos="0"/>
        </w:tabs>
        <w:spacing w:line="360" w:lineRule="auto"/>
        <w:ind w:firstLine="422" w:firstLineChars="200"/>
        <w:rPr>
          <w:rFonts w:ascii="宋体" w:hAnsi="宋体" w:cs="宋体"/>
          <w:b/>
          <w:bCs/>
          <w:szCs w:val="21"/>
        </w:rPr>
      </w:pPr>
      <w:r>
        <w:rPr>
          <w:rFonts w:hint="eastAsia" w:ascii="宋体" w:hAnsi="宋体" w:cs="宋体"/>
          <w:b/>
          <w:bCs/>
          <w:szCs w:val="21"/>
        </w:rPr>
        <w:t>如果投资者的</w:t>
      </w:r>
      <w:r>
        <w:rPr>
          <w:rFonts w:ascii="宋体" w:hAnsi="宋体" w:cs="宋体"/>
          <w:b/>
          <w:bCs/>
          <w:szCs w:val="21"/>
        </w:rPr>
        <w:t>认</w:t>
      </w:r>
      <w:r>
        <w:rPr>
          <w:rFonts w:hint="eastAsia" w:ascii="宋体" w:hAnsi="宋体" w:cs="宋体"/>
          <w:b/>
          <w:bCs/>
          <w:szCs w:val="21"/>
        </w:rPr>
        <w:t>购申请被拒绝，被拒绝的</w:t>
      </w:r>
      <w:r>
        <w:rPr>
          <w:rFonts w:ascii="宋体" w:hAnsi="宋体" w:cs="宋体"/>
          <w:b/>
          <w:bCs/>
          <w:szCs w:val="21"/>
        </w:rPr>
        <w:t>认</w:t>
      </w:r>
      <w:r>
        <w:rPr>
          <w:rFonts w:hint="eastAsia" w:ascii="宋体" w:hAnsi="宋体" w:cs="宋体"/>
          <w:b/>
          <w:bCs/>
          <w:szCs w:val="21"/>
        </w:rPr>
        <w:t>购款项本金将全额退还给投资者。投资者认购本金将在产品原定成立日后的3个工作日内退还至客户资金账户，原定产品成立日至资金到账日之间投资者资金不计利息。具体退还到账时间以销售服务机构实际清算时间为准。</w:t>
      </w:r>
    </w:p>
    <w:p w14:paraId="2610D91A">
      <w:pPr>
        <w:tabs>
          <w:tab w:val="left" w:pos="420"/>
          <w:tab w:val="left" w:pos="720"/>
        </w:tabs>
        <w:spacing w:line="360" w:lineRule="auto"/>
        <w:ind w:firstLine="422" w:firstLineChars="200"/>
        <w:outlineLvl w:val="1"/>
        <w:rPr>
          <w:rFonts w:ascii="宋体" w:hAnsi="宋体" w:cs="宋体"/>
          <w:b/>
          <w:bCs/>
          <w:snapToGrid w:val="0"/>
          <w:szCs w:val="21"/>
        </w:rPr>
      </w:pPr>
      <w:r>
        <w:rPr>
          <w:rFonts w:hint="eastAsia" w:ascii="宋体" w:hAnsi="宋体" w:cs="宋体"/>
          <w:b/>
          <w:bCs/>
          <w:snapToGrid w:val="0"/>
          <w:szCs w:val="21"/>
        </w:rPr>
        <w:t>（三）申购与赎回</w:t>
      </w:r>
    </w:p>
    <w:p w14:paraId="6685375E">
      <w:pPr>
        <w:tabs>
          <w:tab w:val="left" w:pos="0"/>
        </w:tabs>
        <w:spacing w:line="360" w:lineRule="auto"/>
        <w:ind w:firstLine="420" w:firstLineChars="200"/>
        <w:rPr>
          <w:rFonts w:ascii="宋体" w:hAnsi="宋体" w:cs="宋体"/>
          <w:szCs w:val="21"/>
        </w:rPr>
      </w:pPr>
      <w:r>
        <w:rPr>
          <w:rFonts w:hint="eastAsia" w:ascii="宋体" w:hAnsi="宋体" w:cs="宋体"/>
          <w:szCs w:val="21"/>
        </w:rPr>
        <w:t>本产品开放申购、赎回等交易。</w:t>
      </w:r>
    </w:p>
    <w:p w14:paraId="7145E908">
      <w:pPr>
        <w:tabs>
          <w:tab w:val="left" w:pos="210"/>
          <w:tab w:val="left" w:pos="1050"/>
        </w:tabs>
        <w:autoSpaceDE w:val="0"/>
        <w:autoSpaceDN w:val="0"/>
        <w:adjustRightInd w:val="0"/>
        <w:spacing w:line="360" w:lineRule="auto"/>
        <w:ind w:left="420" w:leftChars="200"/>
        <w:outlineLvl w:val="2"/>
        <w:rPr>
          <w:rFonts w:ascii="宋体" w:hAnsi="宋体" w:cs="宋体"/>
          <w:b/>
          <w:bCs/>
          <w:kern w:val="0"/>
          <w:szCs w:val="21"/>
          <w:lang w:bidi="bn-IN"/>
        </w:rPr>
      </w:pPr>
      <w:r>
        <w:rPr>
          <w:rFonts w:ascii="宋体" w:hAnsi="宋体" w:cs="宋体"/>
          <w:b/>
          <w:bCs/>
          <w:kern w:val="0"/>
          <w:szCs w:val="21"/>
          <w:lang w:bidi="bn-IN"/>
        </w:rPr>
        <w:t>1.</w:t>
      </w:r>
      <w:r>
        <w:rPr>
          <w:rFonts w:hint="eastAsia" w:ascii="宋体" w:hAnsi="宋体" w:cs="宋体"/>
          <w:b/>
          <w:bCs/>
          <w:kern w:val="0"/>
          <w:szCs w:val="21"/>
          <w:lang w:bidi="bn-IN"/>
        </w:rPr>
        <w:t>申购与赎回的操作</w:t>
      </w:r>
    </w:p>
    <w:p w14:paraId="4EDB30B2">
      <w:pPr>
        <w:tabs>
          <w:tab w:val="left" w:pos="0"/>
        </w:tabs>
        <w:spacing w:line="360" w:lineRule="auto"/>
        <w:ind w:firstLine="422" w:firstLineChars="200"/>
        <w:rPr>
          <w:rFonts w:ascii="宋体" w:hAnsi="宋体" w:cs="宋体"/>
          <w:b/>
          <w:bCs/>
          <w:szCs w:val="21"/>
        </w:rPr>
      </w:pPr>
      <w:r>
        <w:rPr>
          <w:rFonts w:hint="eastAsia" w:ascii="宋体" w:hAnsi="宋体" w:cs="宋体"/>
          <w:b/>
          <w:bCs/>
          <w:szCs w:val="21"/>
        </w:rPr>
        <w:t>（</w:t>
      </w:r>
      <w:r>
        <w:rPr>
          <w:rFonts w:ascii="宋体" w:hAnsi="宋体" w:cs="宋体"/>
          <w:b/>
          <w:bCs/>
          <w:szCs w:val="21"/>
        </w:rPr>
        <w:t>1）产品</w:t>
      </w:r>
      <w:r>
        <w:rPr>
          <w:rFonts w:hint="eastAsia" w:ascii="宋体" w:hAnsi="宋体" w:cs="宋体"/>
          <w:b/>
          <w:bCs/>
          <w:szCs w:val="21"/>
        </w:rPr>
        <w:t>首个开放日为202</w:t>
      </w:r>
      <w:r>
        <w:rPr>
          <w:rFonts w:hint="eastAsia" w:ascii="宋体" w:hAnsi="宋体" w:cs="宋体"/>
          <w:b/>
          <w:bCs/>
          <w:szCs w:val="21"/>
          <w:lang w:val="en-US" w:eastAsia="zh-CN"/>
        </w:rPr>
        <w:t>6</w:t>
      </w:r>
      <w:r>
        <w:rPr>
          <w:rFonts w:hint="eastAsia" w:ascii="宋体" w:hAnsi="宋体" w:cs="宋体"/>
          <w:b/>
          <w:bCs/>
          <w:szCs w:val="21"/>
        </w:rPr>
        <w:t>年</w:t>
      </w:r>
      <w:r>
        <w:rPr>
          <w:rFonts w:hint="eastAsia" w:ascii="宋体" w:hAnsi="宋体" w:cs="宋体"/>
          <w:b/>
          <w:bCs/>
          <w:szCs w:val="21"/>
          <w:lang w:val="en-US" w:eastAsia="zh-CN"/>
        </w:rPr>
        <w:t>2</w:t>
      </w:r>
      <w:r>
        <w:rPr>
          <w:rFonts w:hint="eastAsia" w:ascii="宋体" w:hAnsi="宋体" w:cs="宋体"/>
          <w:b/>
          <w:bCs/>
          <w:szCs w:val="21"/>
        </w:rPr>
        <w:t>月</w:t>
      </w:r>
      <w:r>
        <w:rPr>
          <w:rFonts w:hint="eastAsia" w:ascii="宋体" w:hAnsi="宋体" w:cs="宋体"/>
          <w:b/>
          <w:bCs/>
          <w:szCs w:val="21"/>
          <w:lang w:val="en-US" w:eastAsia="zh-CN"/>
        </w:rPr>
        <w:t>4</w:t>
      </w:r>
      <w:r>
        <w:rPr>
          <w:rFonts w:hint="eastAsia" w:ascii="宋体" w:hAnsi="宋体" w:cs="宋体"/>
          <w:b/>
          <w:bCs/>
          <w:szCs w:val="21"/>
        </w:rPr>
        <w:t>日</w:t>
      </w:r>
      <w:r>
        <w:rPr>
          <w:rFonts w:ascii="宋体" w:hAnsi="宋体" w:cs="宋体"/>
          <w:b/>
          <w:bCs/>
          <w:szCs w:val="21"/>
        </w:rPr>
        <w:t>，</w:t>
      </w:r>
      <w:r>
        <w:rPr>
          <w:rFonts w:hint="eastAsia" w:ascii="宋体" w:hAnsi="宋体" w:cs="宋体"/>
          <w:b/>
          <w:bCs/>
          <w:szCs w:val="21"/>
        </w:rPr>
        <w:t>之后每个交易所工作日开放申购与赎回，但赎回交易的份额需满足最低持有期</w:t>
      </w:r>
      <w:r>
        <w:rPr>
          <w:rFonts w:hint="eastAsia" w:ascii="宋体" w:hAnsi="宋体" w:cs="宋体"/>
          <w:b/>
          <w:bCs/>
          <w:szCs w:val="21"/>
          <w:lang w:val="en-US" w:eastAsia="zh-CN"/>
        </w:rPr>
        <w:t>的</w:t>
      </w:r>
      <w:r>
        <w:rPr>
          <w:rFonts w:hint="eastAsia" w:ascii="宋体" w:hAnsi="宋体" w:cs="宋体"/>
          <w:b/>
          <w:bCs/>
          <w:szCs w:val="21"/>
        </w:rPr>
        <w:t>要求。投资者可在本产品开放日的交易时间内进行申购或赎回，同时可在开放日的交易时间内对提交的申请进行撤销，开放日是否可以撤单以及撤单规则，如销售服务机构另有规定的，以销售服务机构为准。非交易时间提交的申购或赎回申请将于下一个开放日正式受理，如销售服务机构有另行规定的，以销售服务机构的规定为准。</w:t>
      </w:r>
    </w:p>
    <w:p w14:paraId="0EFDC38A">
      <w:pPr>
        <w:tabs>
          <w:tab w:val="left" w:pos="0"/>
        </w:tabs>
        <w:spacing w:line="360" w:lineRule="auto"/>
        <w:ind w:firstLine="422" w:firstLineChars="200"/>
        <w:rPr>
          <w:rFonts w:ascii="宋体" w:hAnsi="宋体" w:cs="宋体"/>
          <w:b/>
          <w:bCs/>
          <w:szCs w:val="21"/>
        </w:rPr>
      </w:pPr>
      <w:r>
        <w:rPr>
          <w:rFonts w:hint="eastAsia" w:ascii="宋体" w:hAnsi="宋体" w:cs="宋体"/>
          <w:b/>
          <w:bCs/>
          <w:szCs w:val="21"/>
        </w:rPr>
        <w:t>（</w:t>
      </w:r>
      <w:r>
        <w:rPr>
          <w:rFonts w:ascii="宋体" w:hAnsi="宋体" w:cs="宋体"/>
          <w:b/>
          <w:bCs/>
          <w:szCs w:val="21"/>
        </w:rPr>
        <w:t>2）投资者在产品开放日当日办理申购时，采用全额缴款方式，投资者交付全额款项后，申购申请即转为正常受理。</w:t>
      </w:r>
    </w:p>
    <w:p w14:paraId="39478DF8">
      <w:pPr>
        <w:tabs>
          <w:tab w:val="left" w:pos="0"/>
        </w:tabs>
        <w:spacing w:line="360" w:lineRule="auto"/>
        <w:ind w:firstLine="422" w:firstLineChars="200"/>
        <w:rPr>
          <w:rFonts w:ascii="宋体" w:hAnsi="宋体" w:cs="宋体"/>
          <w:b/>
          <w:bCs/>
          <w:szCs w:val="21"/>
        </w:rPr>
      </w:pPr>
      <w:r>
        <w:rPr>
          <w:rFonts w:hint="eastAsia" w:ascii="宋体" w:hAnsi="宋体" w:cs="宋体"/>
          <w:b/>
          <w:bCs/>
          <w:szCs w:val="21"/>
        </w:rPr>
        <w:t>（3</w:t>
      </w:r>
      <w:r>
        <w:rPr>
          <w:rFonts w:ascii="宋体" w:hAnsi="宋体" w:cs="宋体"/>
          <w:b/>
          <w:bCs/>
          <w:szCs w:val="21"/>
        </w:rPr>
        <w:t>）投资者赎回资金</w:t>
      </w:r>
      <w:r>
        <w:rPr>
          <w:rFonts w:hint="eastAsia" w:ascii="宋体" w:hAnsi="宋体" w:cs="宋体"/>
          <w:b/>
          <w:bCs/>
          <w:szCs w:val="21"/>
        </w:rPr>
        <w:t>预计</w:t>
      </w:r>
      <w:r>
        <w:rPr>
          <w:rFonts w:ascii="宋体" w:hAnsi="宋体" w:cs="宋体"/>
          <w:b/>
          <w:bCs/>
          <w:szCs w:val="21"/>
        </w:rPr>
        <w:t>将在产品开放日后</w:t>
      </w:r>
      <w:r>
        <w:rPr>
          <w:rFonts w:hint="eastAsia" w:ascii="宋体" w:hAnsi="宋体" w:cs="宋体"/>
          <w:b/>
          <w:bCs/>
          <w:szCs w:val="21"/>
          <w:lang w:val="en-US" w:eastAsia="zh-CN"/>
        </w:rPr>
        <w:t>1</w:t>
      </w:r>
      <w:r>
        <w:rPr>
          <w:rFonts w:ascii="宋体" w:hAnsi="宋体" w:cs="宋体"/>
          <w:b/>
          <w:bCs/>
          <w:szCs w:val="21"/>
        </w:rPr>
        <w:t>个交易所工作日</w:t>
      </w:r>
      <w:r>
        <w:rPr>
          <w:rFonts w:hint="eastAsia" w:ascii="宋体" w:hAnsi="宋体" w:cs="宋体"/>
          <w:b/>
          <w:bCs/>
          <w:szCs w:val="21"/>
        </w:rPr>
        <w:t>内划到投资者指定账户，产品赎回</w:t>
      </w:r>
      <w:r>
        <w:rPr>
          <w:rFonts w:hint="eastAsia" w:ascii="宋体" w:hAnsi="宋体" w:cs="宋体"/>
          <w:b/>
          <w:bCs/>
          <w:szCs w:val="21"/>
          <w:lang w:val="en-US" w:eastAsia="zh-CN"/>
        </w:rPr>
        <w:t>日</w:t>
      </w:r>
      <w:r>
        <w:rPr>
          <w:rFonts w:hint="eastAsia" w:ascii="宋体" w:hAnsi="宋体" w:cs="宋体"/>
          <w:b/>
          <w:bCs/>
          <w:szCs w:val="21"/>
        </w:rPr>
        <w:t>后至投资者资金划到投资者指定账户之前不计息。</w:t>
      </w:r>
    </w:p>
    <w:p w14:paraId="2C3D12F5">
      <w:pPr>
        <w:tabs>
          <w:tab w:val="left" w:pos="0"/>
        </w:tabs>
        <w:spacing w:line="360" w:lineRule="auto"/>
        <w:ind w:firstLine="422" w:firstLineChars="200"/>
        <w:rPr>
          <w:b/>
          <w:bCs/>
        </w:rPr>
      </w:pPr>
      <w:r>
        <w:rPr>
          <w:rFonts w:hint="eastAsia" w:ascii="宋体" w:hAnsi="宋体" w:cs="宋体"/>
          <w:b/>
          <w:bCs/>
          <w:szCs w:val="21"/>
        </w:rPr>
        <w:t>具体销售服务机构实际受理时间，以销售服务机构规则为准。</w:t>
      </w:r>
    </w:p>
    <w:p w14:paraId="6AF16339">
      <w:pPr>
        <w:tabs>
          <w:tab w:val="left" w:pos="0"/>
        </w:tabs>
        <w:spacing w:line="360" w:lineRule="auto"/>
        <w:ind w:firstLine="422" w:firstLineChars="200"/>
        <w:outlineLvl w:val="2"/>
        <w:rPr>
          <w:rFonts w:ascii="宋体" w:hAnsi="宋体" w:cs="宋体"/>
          <w:b/>
          <w:bCs/>
          <w:kern w:val="0"/>
          <w:szCs w:val="21"/>
          <w:lang w:bidi="bn-IN"/>
        </w:rPr>
      </w:pPr>
      <w:r>
        <w:rPr>
          <w:rFonts w:ascii="宋体" w:hAnsi="宋体" w:cs="宋体"/>
          <w:b/>
          <w:bCs/>
          <w:kern w:val="0"/>
          <w:szCs w:val="21"/>
          <w:lang w:bidi="bn-IN"/>
        </w:rPr>
        <w:t>2.申购与赎回的原则</w:t>
      </w:r>
    </w:p>
    <w:p w14:paraId="677B1DF4">
      <w:pPr>
        <w:tabs>
          <w:tab w:val="left" w:pos="0"/>
        </w:tabs>
        <w:spacing w:line="360" w:lineRule="auto"/>
        <w:ind w:firstLine="420" w:firstLineChars="200"/>
        <w:rPr>
          <w:rFonts w:ascii="宋体" w:hAnsi="宋体" w:cs="宋体"/>
          <w:szCs w:val="21"/>
        </w:rPr>
      </w:pPr>
      <w:r>
        <w:rPr>
          <w:rFonts w:hint="eastAsia" w:ascii="宋体" w:hAnsi="宋体" w:cs="宋体"/>
          <w:szCs w:val="21"/>
        </w:rPr>
        <w:t>（</w:t>
      </w:r>
      <w:r>
        <w:rPr>
          <w:rFonts w:ascii="宋体" w:hAnsi="宋体" w:cs="宋体"/>
          <w:szCs w:val="21"/>
        </w:rPr>
        <w:t>1）未知价原则，即产品的申购价格以申购当日收市后计算的</w:t>
      </w:r>
      <w:r>
        <w:rPr>
          <w:rFonts w:hint="eastAsia" w:ascii="宋体" w:hAnsi="宋体" w:cs="宋体"/>
          <w:szCs w:val="21"/>
        </w:rPr>
        <w:t>相应类别产品</w:t>
      </w:r>
      <w:r>
        <w:rPr>
          <w:rFonts w:ascii="宋体" w:hAnsi="宋体" w:cs="宋体"/>
          <w:szCs w:val="21"/>
        </w:rPr>
        <w:t>份额的</w:t>
      </w:r>
      <w:r>
        <w:rPr>
          <w:rFonts w:hint="eastAsia" w:ascii="宋体" w:hAnsi="宋体" w:cs="宋体"/>
          <w:szCs w:val="21"/>
        </w:rPr>
        <w:t>份额净值为基准进行计算；赎回价格以赎回当日收益分配前的相应类别</w:t>
      </w:r>
      <w:r>
        <w:rPr>
          <w:rFonts w:ascii="宋体" w:hAnsi="宋体" w:cs="宋体"/>
          <w:szCs w:val="21"/>
        </w:rPr>
        <w:t>产品份额的</w:t>
      </w:r>
      <w:r>
        <w:rPr>
          <w:rFonts w:hint="eastAsia" w:ascii="宋体" w:hAnsi="宋体" w:cs="宋体"/>
          <w:szCs w:val="21"/>
        </w:rPr>
        <w:t>份额净值为基准进行计算。</w:t>
      </w:r>
    </w:p>
    <w:p w14:paraId="1929F3A4">
      <w:pPr>
        <w:tabs>
          <w:tab w:val="left" w:pos="0"/>
        </w:tabs>
        <w:spacing w:line="360" w:lineRule="auto"/>
        <w:ind w:firstLine="420" w:firstLineChars="200"/>
        <w:rPr>
          <w:rFonts w:ascii="宋体" w:hAnsi="宋体" w:cs="宋体"/>
          <w:szCs w:val="21"/>
        </w:rPr>
      </w:pPr>
      <w:r>
        <w:rPr>
          <w:rFonts w:hint="eastAsia" w:ascii="宋体" w:hAnsi="宋体" w:cs="宋体"/>
          <w:szCs w:val="21"/>
        </w:rPr>
        <w:t>（</w:t>
      </w:r>
      <w:r>
        <w:rPr>
          <w:rFonts w:ascii="宋体" w:hAnsi="宋体" w:cs="宋体"/>
          <w:szCs w:val="21"/>
        </w:rPr>
        <w:t>2）产品采用金额申购和份额赎回的方式，即申购以金额申请，赎回以份额申请</w:t>
      </w:r>
      <w:r>
        <w:rPr>
          <w:rFonts w:hint="eastAsia" w:ascii="宋体" w:hAnsi="宋体" w:cs="宋体"/>
          <w:szCs w:val="21"/>
        </w:rPr>
        <w:t>；赎回遵循先进先出原则，即按照投资人持有产品份额登记日期的先后次序进行顺序赎回</w:t>
      </w:r>
      <w:r>
        <w:rPr>
          <w:rFonts w:ascii="宋体" w:hAnsi="宋体" w:cs="宋体"/>
          <w:szCs w:val="21"/>
        </w:rPr>
        <w:t>。</w:t>
      </w:r>
    </w:p>
    <w:p w14:paraId="750FEE23">
      <w:pPr>
        <w:tabs>
          <w:tab w:val="left" w:pos="0"/>
        </w:tabs>
        <w:spacing w:line="360" w:lineRule="auto"/>
        <w:ind w:firstLine="420" w:firstLineChars="200"/>
        <w:rPr>
          <w:rFonts w:ascii="宋体" w:hAnsi="宋体" w:cs="宋体"/>
          <w:szCs w:val="21"/>
        </w:rPr>
      </w:pPr>
      <w:r>
        <w:rPr>
          <w:rFonts w:hint="eastAsia" w:ascii="宋体" w:hAnsi="宋体" w:cs="宋体"/>
          <w:szCs w:val="21"/>
        </w:rPr>
        <w:t>（</w:t>
      </w:r>
      <w:r>
        <w:rPr>
          <w:rFonts w:ascii="宋体" w:hAnsi="宋体" w:cs="宋体"/>
          <w:szCs w:val="21"/>
        </w:rPr>
        <w:t>3）</w:t>
      </w:r>
      <w:r>
        <w:rPr>
          <w:rFonts w:ascii="宋体" w:hAnsi="宋体" w:cs="宋体"/>
          <w:szCs w:val="21"/>
          <w:lang w:bidi="ar"/>
        </w:rPr>
        <w:t>当发生大额申购或赎回情形时，产品管理人</w:t>
      </w:r>
      <w:r>
        <w:rPr>
          <w:rFonts w:hint="eastAsia" w:ascii="宋体" w:hAnsi="宋体" w:cs="宋体"/>
          <w:szCs w:val="21"/>
          <w:lang w:bidi="ar"/>
        </w:rPr>
        <w:t>有权</w:t>
      </w:r>
      <w:r>
        <w:rPr>
          <w:rFonts w:ascii="宋体" w:hAnsi="宋体" w:cs="宋体"/>
          <w:szCs w:val="21"/>
          <w:lang w:bidi="ar"/>
        </w:rPr>
        <w:t>采用摆动定价机制，具体处理原则与操作规范遵循相关法律法规以及</w:t>
      </w:r>
      <w:r>
        <w:rPr>
          <w:rFonts w:hint="eastAsia" w:ascii="宋体" w:hAnsi="宋体" w:cs="宋体"/>
          <w:szCs w:val="21"/>
          <w:lang w:eastAsia="zh-CN" w:bidi="ar"/>
        </w:rPr>
        <w:t>监管机构</w:t>
      </w:r>
      <w:r>
        <w:rPr>
          <w:rFonts w:ascii="宋体" w:hAnsi="宋体" w:cs="宋体"/>
          <w:szCs w:val="21"/>
          <w:lang w:bidi="ar"/>
        </w:rPr>
        <w:t>、自律规则的规定</w:t>
      </w:r>
      <w:r>
        <w:rPr>
          <w:rFonts w:hint="eastAsia" w:ascii="宋体" w:hAnsi="宋体" w:cs="宋体"/>
          <w:szCs w:val="21"/>
          <w:lang w:bidi="ar"/>
        </w:rPr>
        <w:t>。</w:t>
      </w:r>
    </w:p>
    <w:p w14:paraId="0FD6739B">
      <w:pPr>
        <w:tabs>
          <w:tab w:val="left" w:pos="0"/>
        </w:tabs>
        <w:spacing w:line="360" w:lineRule="auto"/>
        <w:ind w:firstLine="420" w:firstLineChars="200"/>
        <w:rPr>
          <w:rFonts w:ascii="宋体" w:hAnsi="宋体" w:cs="宋体"/>
          <w:szCs w:val="21"/>
        </w:rPr>
      </w:pPr>
      <w:r>
        <w:rPr>
          <w:rFonts w:hint="eastAsia" w:ascii="宋体" w:hAnsi="宋体" w:cs="宋体"/>
          <w:szCs w:val="21"/>
        </w:rPr>
        <w:t>（4</w:t>
      </w:r>
      <w:r>
        <w:rPr>
          <w:rFonts w:ascii="宋体" w:hAnsi="宋体" w:cs="宋体"/>
          <w:szCs w:val="21"/>
        </w:rPr>
        <w:t>）产品管理人在不损害产品份额持有人权益的情况下可更改上述原则，但最迟须在新的原则实施前</w:t>
      </w:r>
      <w:r>
        <w:rPr>
          <w:rFonts w:hint="eastAsia" w:ascii="宋体" w:hAnsi="宋体" w:cs="宋体"/>
          <w:szCs w:val="21"/>
        </w:rPr>
        <w:t>2</w:t>
      </w:r>
      <w:r>
        <w:rPr>
          <w:rFonts w:ascii="宋体" w:hAnsi="宋体" w:cs="宋体"/>
          <w:szCs w:val="21"/>
        </w:rPr>
        <w:t>个工作日予以公告。</w:t>
      </w:r>
    </w:p>
    <w:p w14:paraId="631110EA">
      <w:pPr>
        <w:tabs>
          <w:tab w:val="left" w:pos="210"/>
          <w:tab w:val="left" w:pos="1050"/>
        </w:tabs>
        <w:autoSpaceDE w:val="0"/>
        <w:autoSpaceDN w:val="0"/>
        <w:adjustRightInd w:val="0"/>
        <w:spacing w:line="360" w:lineRule="auto"/>
        <w:ind w:left="420" w:leftChars="200"/>
        <w:rPr>
          <w:rFonts w:ascii="宋体" w:hAnsi="宋体" w:cs="宋体"/>
          <w:b/>
          <w:bCs/>
          <w:kern w:val="0"/>
          <w:szCs w:val="21"/>
          <w:lang w:bidi="bn-IN"/>
        </w:rPr>
      </w:pPr>
      <w:r>
        <w:rPr>
          <w:rFonts w:hint="eastAsia" w:ascii="宋体" w:hAnsi="宋体" w:cs="宋体"/>
          <w:szCs w:val="21"/>
          <w:lang w:bidi="bn-IN"/>
        </w:rPr>
        <w:t>具体销售服务机构实际受理时间，以销售服务机构规则为准。</w:t>
      </w:r>
    </w:p>
    <w:p w14:paraId="7DD8D78C">
      <w:pPr>
        <w:tabs>
          <w:tab w:val="left" w:pos="210"/>
          <w:tab w:val="left" w:pos="1050"/>
        </w:tabs>
        <w:autoSpaceDE w:val="0"/>
        <w:autoSpaceDN w:val="0"/>
        <w:adjustRightInd w:val="0"/>
        <w:spacing w:line="360" w:lineRule="auto"/>
        <w:ind w:left="420" w:leftChars="200"/>
        <w:outlineLvl w:val="2"/>
        <w:rPr>
          <w:rFonts w:ascii="宋体" w:hAnsi="宋体" w:cs="宋体"/>
          <w:b/>
          <w:bCs/>
          <w:kern w:val="0"/>
          <w:szCs w:val="21"/>
          <w:lang w:bidi="bn-IN"/>
        </w:rPr>
      </w:pPr>
      <w:r>
        <w:rPr>
          <w:rFonts w:ascii="宋体" w:hAnsi="宋体" w:cs="宋体"/>
          <w:b/>
          <w:bCs/>
          <w:kern w:val="0"/>
          <w:szCs w:val="21"/>
          <w:lang w:bidi="bn-IN"/>
        </w:rPr>
        <w:t>3.申购与赎回申请的确认</w:t>
      </w:r>
    </w:p>
    <w:p w14:paraId="25DFCA47">
      <w:pPr>
        <w:tabs>
          <w:tab w:val="left" w:pos="0"/>
        </w:tabs>
        <w:spacing w:line="360" w:lineRule="auto"/>
        <w:ind w:firstLine="420" w:firstLineChars="200"/>
        <w:rPr>
          <w:rFonts w:ascii="宋体" w:hAnsi="宋体" w:cs="宋体"/>
          <w:szCs w:val="21"/>
        </w:rPr>
      </w:pPr>
      <w:r>
        <w:rPr>
          <w:rFonts w:hint="eastAsia" w:ascii="宋体" w:hAnsi="宋体" w:cs="宋体"/>
          <w:szCs w:val="21"/>
        </w:rPr>
        <w:t>产品管理人将在每个产品开放日后</w:t>
      </w:r>
      <w:r>
        <w:rPr>
          <w:rFonts w:hint="eastAsia" w:ascii="宋体" w:hAnsi="宋体" w:cs="宋体"/>
          <w:szCs w:val="21"/>
          <w:lang w:val="en-US" w:eastAsia="zh-CN"/>
        </w:rPr>
        <w:t>1</w:t>
      </w:r>
      <w:r>
        <w:rPr>
          <w:rFonts w:hint="eastAsia" w:ascii="宋体" w:hAnsi="宋体" w:cs="宋体"/>
          <w:szCs w:val="21"/>
        </w:rPr>
        <w:t>个交易所工作日内对投资者申购、赎回交易的有效性进行确认，投资者可在每个产品开放日后第</w:t>
      </w:r>
      <w:r>
        <w:rPr>
          <w:rFonts w:hint="eastAsia" w:ascii="宋体" w:hAnsi="宋体" w:cs="宋体"/>
          <w:szCs w:val="21"/>
          <w:lang w:val="en-US" w:eastAsia="zh-CN"/>
        </w:rPr>
        <w:t>2</w:t>
      </w:r>
      <w:r>
        <w:rPr>
          <w:rFonts w:hint="eastAsia" w:ascii="宋体" w:hAnsi="宋体" w:cs="宋体"/>
          <w:szCs w:val="21"/>
        </w:rPr>
        <w:t>个交易所工作日起到销售服务机构营业网点或网上销售平台查询申购、赎回的确认情况。</w:t>
      </w:r>
    </w:p>
    <w:p w14:paraId="55B09EC7">
      <w:pPr>
        <w:tabs>
          <w:tab w:val="left" w:pos="0"/>
          <w:tab w:val="left" w:pos="454"/>
        </w:tabs>
        <w:spacing w:line="360" w:lineRule="auto"/>
        <w:ind w:left="418" w:leftChars="199"/>
        <w:outlineLvl w:val="2"/>
        <w:rPr>
          <w:rFonts w:ascii="宋体" w:hAnsi="宋体" w:cs="宋体"/>
          <w:b/>
          <w:bCs/>
          <w:kern w:val="0"/>
          <w:szCs w:val="21"/>
          <w:lang w:bidi="bn-IN"/>
        </w:rPr>
      </w:pPr>
      <w:r>
        <w:rPr>
          <w:rFonts w:ascii="宋体" w:hAnsi="宋体" w:cs="宋体"/>
          <w:b/>
          <w:bCs/>
          <w:kern w:val="0"/>
          <w:szCs w:val="21"/>
          <w:lang w:bidi="bn-IN"/>
        </w:rPr>
        <w:t>4.申购与赎回的限制</w:t>
      </w:r>
    </w:p>
    <w:p w14:paraId="372B1B03">
      <w:pPr>
        <w:tabs>
          <w:tab w:val="left" w:pos="0"/>
        </w:tabs>
        <w:spacing w:line="360" w:lineRule="auto"/>
        <w:ind w:firstLine="422" w:firstLineChars="200"/>
        <w:rPr>
          <w:rFonts w:hint="eastAsia" w:ascii="宋体" w:hAnsi="宋体" w:cs="宋体"/>
          <w:b/>
          <w:bCs/>
          <w:szCs w:val="21"/>
        </w:rPr>
      </w:pPr>
      <w:r>
        <w:rPr>
          <w:rFonts w:hint="eastAsia" w:ascii="宋体" w:hAnsi="宋体" w:cs="宋体"/>
          <w:b/>
          <w:bCs/>
          <w:szCs w:val="21"/>
        </w:rPr>
        <w:t>（1）</w:t>
      </w:r>
      <w:r>
        <w:rPr>
          <w:rFonts w:hint="eastAsia" w:ascii="宋体" w:hAnsi="宋体" w:cs="宋体"/>
          <w:b/>
          <w:bCs/>
          <w:szCs w:val="21"/>
          <w:lang w:val="en-US" w:eastAsia="zh-CN"/>
        </w:rPr>
        <w:t>D</w:t>
      </w:r>
      <w:r>
        <w:rPr>
          <w:rFonts w:hint="eastAsia" w:ascii="宋体" w:hAnsi="宋体" w:cs="宋体"/>
          <w:b/>
          <w:bCs/>
          <w:szCs w:val="21"/>
        </w:rPr>
        <w:t>类份额申购金额以1元整数倍递增，申购时若为首次投资，申购金额不得少于人民币1元，追加投资不得少于1元；</w:t>
      </w:r>
    </w:p>
    <w:p w14:paraId="4BC3587A">
      <w:pPr>
        <w:tabs>
          <w:tab w:val="left" w:pos="0"/>
        </w:tabs>
        <w:spacing w:line="360" w:lineRule="auto"/>
        <w:ind w:firstLine="422" w:firstLineChars="200"/>
        <w:rPr>
          <w:rFonts w:hint="eastAsia" w:ascii="宋体" w:hAnsi="宋体" w:eastAsia="宋体" w:cs="宋体"/>
          <w:b/>
          <w:bCs/>
          <w:szCs w:val="21"/>
          <w:lang w:eastAsia="zh-CN"/>
        </w:rPr>
      </w:pPr>
      <w:r>
        <w:rPr>
          <w:rFonts w:hint="eastAsia" w:ascii="宋体" w:hAnsi="宋体" w:cs="宋体"/>
          <w:b/>
          <w:bCs/>
          <w:szCs w:val="21"/>
          <w:lang w:val="en-US" w:eastAsia="zh-CN"/>
        </w:rPr>
        <w:t>I类</w:t>
      </w:r>
      <w:r>
        <w:rPr>
          <w:rFonts w:hint="eastAsia" w:ascii="宋体" w:hAnsi="宋体" w:cs="宋体"/>
          <w:b/>
          <w:bCs/>
          <w:szCs w:val="21"/>
        </w:rPr>
        <w:t>份额申购金额以1元整数倍递增，申购时若为首次投资，申购金额不得少于人民币</w:t>
      </w:r>
      <w:r>
        <w:rPr>
          <w:rFonts w:hint="eastAsia" w:ascii="宋体" w:hAnsi="宋体" w:cs="宋体"/>
          <w:b/>
          <w:bCs/>
          <w:szCs w:val="21"/>
          <w:lang w:val="en-US" w:eastAsia="zh-CN"/>
        </w:rPr>
        <w:t>200万元</w:t>
      </w:r>
      <w:r>
        <w:rPr>
          <w:rFonts w:hint="eastAsia" w:ascii="宋体" w:hAnsi="宋体" w:cs="宋体"/>
          <w:b/>
          <w:bCs/>
          <w:szCs w:val="21"/>
        </w:rPr>
        <w:t>，追加投资不得少于1元</w:t>
      </w:r>
      <w:r>
        <w:rPr>
          <w:rFonts w:hint="eastAsia" w:ascii="宋体" w:hAnsi="宋体" w:cs="宋体"/>
          <w:b/>
          <w:bCs/>
          <w:szCs w:val="21"/>
          <w:lang w:eastAsia="zh-CN"/>
        </w:rPr>
        <w:t>。</w:t>
      </w:r>
    </w:p>
    <w:p w14:paraId="633B5B4B">
      <w:pPr>
        <w:numPr>
          <w:ilvl w:val="0"/>
          <w:numId w:val="3"/>
        </w:numPr>
        <w:tabs>
          <w:tab w:val="left" w:pos="0"/>
        </w:tabs>
        <w:spacing w:line="360" w:lineRule="auto"/>
        <w:ind w:firstLine="422" w:firstLineChars="200"/>
        <w:rPr>
          <w:rFonts w:hint="eastAsia" w:ascii="宋体" w:hAnsi="宋体" w:eastAsia="宋体" w:cs="宋体"/>
          <w:b/>
          <w:bCs/>
          <w:szCs w:val="21"/>
          <w:lang w:eastAsia="zh-CN"/>
        </w:rPr>
      </w:pPr>
      <w:r>
        <w:rPr>
          <w:rFonts w:hint="eastAsia" w:ascii="宋体" w:hAnsi="宋体" w:cs="宋体"/>
          <w:b/>
          <w:bCs/>
          <w:szCs w:val="21"/>
        </w:rPr>
        <w:t>投资者每次赎回</w:t>
      </w:r>
      <w:r>
        <w:rPr>
          <w:rFonts w:hint="eastAsia" w:ascii="宋体" w:hAnsi="宋体" w:cs="宋体"/>
          <w:b/>
          <w:bCs/>
          <w:snapToGrid w:val="0"/>
          <w:szCs w:val="21"/>
          <w:lang w:val="en-US" w:eastAsia="zh-CN"/>
        </w:rPr>
        <w:t>D、I</w:t>
      </w:r>
      <w:r>
        <w:rPr>
          <w:rFonts w:hint="eastAsia" w:ascii="宋体" w:hAnsi="宋体" w:cs="宋体"/>
          <w:b/>
          <w:bCs/>
          <w:szCs w:val="21"/>
          <w:lang w:val="en-US" w:eastAsia="zh-CN"/>
        </w:rPr>
        <w:t>类</w:t>
      </w:r>
      <w:r>
        <w:rPr>
          <w:rFonts w:hint="eastAsia" w:ascii="宋体" w:hAnsi="宋体" w:cs="宋体"/>
          <w:b/>
          <w:bCs/>
          <w:szCs w:val="21"/>
        </w:rPr>
        <w:t>份额申请</w:t>
      </w:r>
      <w:r>
        <w:rPr>
          <w:rFonts w:hint="eastAsia" w:ascii="宋体" w:hAnsi="宋体" w:cs="宋体"/>
          <w:b/>
          <w:bCs/>
          <w:szCs w:val="21"/>
          <w:lang w:val="en-US" w:eastAsia="zh-CN"/>
        </w:rPr>
        <w:t>均</w:t>
      </w:r>
      <w:r>
        <w:rPr>
          <w:rFonts w:hint="eastAsia" w:ascii="宋体" w:hAnsi="宋体" w:cs="宋体"/>
          <w:b/>
          <w:bCs/>
          <w:szCs w:val="21"/>
        </w:rPr>
        <w:t>不得低于0.01份产品份额，产品份额持有人赎回时或赎回后保留的产品份额余额不足1份的，在赎回时需一次全部赎回</w:t>
      </w:r>
      <w:r>
        <w:rPr>
          <w:rFonts w:hint="eastAsia" w:ascii="宋体" w:hAnsi="宋体" w:cs="宋体"/>
          <w:b/>
          <w:bCs/>
          <w:szCs w:val="21"/>
          <w:lang w:eastAsia="zh-CN"/>
        </w:rPr>
        <w:t>。</w:t>
      </w:r>
    </w:p>
    <w:p w14:paraId="08EC2F56">
      <w:pPr>
        <w:tabs>
          <w:tab w:val="left" w:pos="0"/>
        </w:tabs>
        <w:spacing w:line="360" w:lineRule="auto"/>
        <w:ind w:firstLine="422" w:firstLineChars="200"/>
        <w:rPr>
          <w:rFonts w:hint="eastAsia" w:ascii="宋体" w:hAnsi="宋体" w:cs="宋体"/>
          <w:b/>
          <w:bCs/>
          <w:szCs w:val="21"/>
        </w:rPr>
      </w:pPr>
      <w:r>
        <w:rPr>
          <w:rFonts w:hint="eastAsia" w:ascii="宋体" w:hAnsi="宋体" w:cs="宋体"/>
          <w:b/>
          <w:bCs/>
          <w:szCs w:val="21"/>
        </w:rPr>
        <w:t>投资者有权将其持有的产品份额全部或部分赎回，投资者在办理某笔赎回业务时在销售服务机构单个理财账户保留的产品份额余额不足最低份额要求的，投资者剩余份额将被一次性全额赎回。</w:t>
      </w:r>
    </w:p>
    <w:p w14:paraId="1CD96990">
      <w:pPr>
        <w:tabs>
          <w:tab w:val="left" w:pos="0"/>
        </w:tabs>
        <w:spacing w:line="360" w:lineRule="auto"/>
        <w:ind w:firstLine="422" w:firstLineChars="200"/>
        <w:rPr>
          <w:b/>
          <w:bCs/>
        </w:rPr>
      </w:pPr>
      <w:r>
        <w:rPr>
          <w:rFonts w:hint="eastAsia" w:ascii="宋体" w:hAnsi="宋体" w:cs="宋体"/>
          <w:b/>
          <w:bCs/>
          <w:kern w:val="0"/>
          <w:szCs w:val="21"/>
          <w:lang w:bidi="ar"/>
        </w:rPr>
        <w:t>（3）</w:t>
      </w:r>
      <w:r>
        <w:rPr>
          <w:rFonts w:hint="eastAsia" w:ascii="宋体" w:hAnsi="宋体" w:cs="宋体"/>
          <w:b/>
          <w:bCs/>
          <w:szCs w:val="21"/>
        </w:rPr>
        <w:t>产品管理人在不损害产品份额持有人权益的情况下可以根据实际情况对以上限制进行调整，并按照信息披露要求进行公告。</w:t>
      </w:r>
    </w:p>
    <w:p w14:paraId="26B7EE9C">
      <w:pPr>
        <w:tabs>
          <w:tab w:val="left" w:pos="0"/>
        </w:tabs>
        <w:spacing w:line="360" w:lineRule="auto"/>
        <w:ind w:left="442"/>
        <w:outlineLvl w:val="2"/>
        <w:rPr>
          <w:rFonts w:ascii="宋体" w:hAnsi="宋体" w:cs="宋体"/>
          <w:b/>
          <w:bCs/>
          <w:kern w:val="0"/>
          <w:szCs w:val="21"/>
          <w:lang w:bidi="bn-IN"/>
        </w:rPr>
      </w:pPr>
      <w:r>
        <w:rPr>
          <w:rFonts w:ascii="宋体" w:hAnsi="宋体" w:cs="宋体"/>
          <w:b/>
          <w:bCs/>
          <w:kern w:val="0"/>
          <w:szCs w:val="21"/>
          <w:lang w:bidi="bn-IN"/>
        </w:rPr>
        <w:t>5.申购份额的计算</w:t>
      </w:r>
    </w:p>
    <w:p w14:paraId="316F1793">
      <w:pPr>
        <w:tabs>
          <w:tab w:val="left" w:pos="0"/>
        </w:tabs>
        <w:spacing w:line="360" w:lineRule="auto"/>
        <w:ind w:firstLine="420" w:firstLineChars="200"/>
        <w:rPr>
          <w:rFonts w:ascii="宋体" w:hAnsi="宋体" w:cs="宋体"/>
          <w:szCs w:val="21"/>
        </w:rPr>
      </w:pPr>
      <w:r>
        <w:rPr>
          <w:rFonts w:hint="eastAsia" w:ascii="宋体" w:hAnsi="宋体" w:cs="宋体"/>
          <w:szCs w:val="21"/>
        </w:rPr>
        <w:t>申购份额的计算公式如下：</w:t>
      </w:r>
    </w:p>
    <w:p w14:paraId="5DD6E6F4">
      <w:pPr>
        <w:tabs>
          <w:tab w:val="left" w:pos="0"/>
        </w:tabs>
        <w:spacing w:line="360" w:lineRule="auto"/>
        <w:ind w:firstLine="420" w:firstLineChars="200"/>
        <w:rPr>
          <w:rFonts w:ascii="宋体" w:hAnsi="宋体" w:cs="宋体"/>
          <w:szCs w:val="21"/>
        </w:rPr>
      </w:pPr>
      <w:r>
        <w:rPr>
          <w:rFonts w:hint="eastAsia" w:ascii="宋体" w:hAnsi="宋体" w:cs="宋体"/>
          <w:szCs w:val="21"/>
        </w:rPr>
        <w:t>净申购金额</w:t>
      </w:r>
      <w:r>
        <w:rPr>
          <w:rFonts w:ascii="宋体" w:hAnsi="宋体" w:cs="宋体"/>
          <w:szCs w:val="21"/>
        </w:rPr>
        <w:t>=申购金额/</w:t>
      </w:r>
      <w:r>
        <w:rPr>
          <w:rFonts w:hint="eastAsia" w:ascii="宋体" w:hAnsi="宋体" w:cs="宋体"/>
          <w:szCs w:val="21"/>
        </w:rPr>
        <w:t>（</w:t>
      </w:r>
      <w:r>
        <w:rPr>
          <w:rFonts w:ascii="宋体" w:hAnsi="宋体" w:cs="宋体"/>
          <w:szCs w:val="21"/>
        </w:rPr>
        <w:t>1+申购费率</w:t>
      </w:r>
      <w:r>
        <w:rPr>
          <w:rFonts w:hint="eastAsia" w:ascii="宋体" w:hAnsi="宋体" w:cs="宋体"/>
          <w:szCs w:val="21"/>
        </w:rPr>
        <w:t>）</w:t>
      </w:r>
    </w:p>
    <w:p w14:paraId="733234CA">
      <w:pPr>
        <w:tabs>
          <w:tab w:val="left" w:pos="0"/>
        </w:tabs>
        <w:spacing w:line="360" w:lineRule="auto"/>
        <w:ind w:firstLine="420" w:firstLineChars="200"/>
        <w:rPr>
          <w:rFonts w:ascii="宋体" w:hAnsi="宋体" w:cs="宋体"/>
          <w:szCs w:val="21"/>
        </w:rPr>
      </w:pPr>
      <w:r>
        <w:rPr>
          <w:rFonts w:hint="eastAsia" w:ascii="宋体" w:hAnsi="宋体" w:cs="宋体"/>
          <w:szCs w:val="21"/>
        </w:rPr>
        <w:t>申购费用＝净申购金额×申购费率</w:t>
      </w:r>
    </w:p>
    <w:p w14:paraId="10541EB5">
      <w:pPr>
        <w:tabs>
          <w:tab w:val="left" w:pos="0"/>
        </w:tabs>
        <w:spacing w:line="360" w:lineRule="auto"/>
        <w:ind w:firstLine="420" w:firstLineChars="200"/>
        <w:rPr>
          <w:rFonts w:ascii="宋体" w:hAnsi="宋体" w:cs="宋体"/>
          <w:szCs w:val="21"/>
        </w:rPr>
      </w:pPr>
      <w:r>
        <w:rPr>
          <w:rFonts w:hint="eastAsia" w:ascii="宋体" w:hAnsi="宋体" w:cs="宋体"/>
          <w:szCs w:val="21"/>
        </w:rPr>
        <w:t>申购份额＝净申购金额</w:t>
      </w:r>
      <w:r>
        <w:rPr>
          <w:rFonts w:ascii="宋体" w:hAnsi="宋体" w:cs="宋体"/>
          <w:szCs w:val="21"/>
        </w:rPr>
        <w:t>/申购</w:t>
      </w:r>
      <w:r>
        <w:rPr>
          <w:rFonts w:hint="eastAsia" w:ascii="宋体" w:hAnsi="宋体" w:cs="宋体"/>
          <w:szCs w:val="21"/>
        </w:rPr>
        <w:t>日相应类别产品份额的产品份额净值</w:t>
      </w:r>
    </w:p>
    <w:p w14:paraId="1666A6BE">
      <w:pPr>
        <w:tabs>
          <w:tab w:val="left" w:pos="0"/>
        </w:tabs>
        <w:spacing w:line="360" w:lineRule="auto"/>
        <w:ind w:firstLine="420" w:firstLineChars="200"/>
        <w:rPr>
          <w:rFonts w:ascii="宋体" w:hAnsi="宋体" w:cs="宋体"/>
          <w:szCs w:val="21"/>
        </w:rPr>
      </w:pPr>
      <w:r>
        <w:rPr>
          <w:rFonts w:hint="eastAsia" w:ascii="宋体" w:hAnsi="宋体" w:cs="宋体"/>
          <w:szCs w:val="21"/>
        </w:rPr>
        <w:t>净申购金额、申购费用、申购份额以四舍五入方式保留到小数点后两位。</w:t>
      </w:r>
    </w:p>
    <w:p w14:paraId="23CA8887">
      <w:pPr>
        <w:tabs>
          <w:tab w:val="left" w:pos="0"/>
        </w:tabs>
        <w:spacing w:line="360" w:lineRule="auto"/>
        <w:ind w:left="440"/>
        <w:outlineLvl w:val="2"/>
        <w:rPr>
          <w:rFonts w:ascii="宋体" w:hAnsi="宋体" w:cs="宋体"/>
          <w:b/>
          <w:bCs/>
          <w:kern w:val="0"/>
          <w:szCs w:val="21"/>
          <w:lang w:bidi="bn-IN"/>
        </w:rPr>
      </w:pPr>
      <w:r>
        <w:rPr>
          <w:rFonts w:ascii="宋体" w:hAnsi="宋体" w:cs="宋体"/>
          <w:b/>
          <w:bCs/>
          <w:kern w:val="0"/>
          <w:szCs w:val="21"/>
          <w:lang w:bidi="bn-IN"/>
        </w:rPr>
        <w:t>6.赎回净额的计算</w:t>
      </w:r>
    </w:p>
    <w:p w14:paraId="0991BA45">
      <w:pPr>
        <w:spacing w:line="360" w:lineRule="auto"/>
        <w:ind w:firstLine="420" w:firstLineChars="200"/>
        <w:rPr>
          <w:rFonts w:ascii="宋体" w:hAnsi="宋体" w:cs="宋体"/>
          <w:bCs/>
          <w:kern w:val="0"/>
          <w:szCs w:val="21"/>
          <w:lang w:bidi="bn-IN"/>
        </w:rPr>
      </w:pPr>
      <w:r>
        <w:rPr>
          <w:rFonts w:hint="eastAsia" w:ascii="宋体" w:hAnsi="宋体" w:cs="宋体"/>
          <w:bCs/>
          <w:kern w:val="0"/>
          <w:szCs w:val="21"/>
          <w:lang w:bidi="bn-IN"/>
        </w:rPr>
        <w:t>赎回净额的计算公式如下：</w:t>
      </w:r>
    </w:p>
    <w:p w14:paraId="37066B7E">
      <w:pPr>
        <w:spacing w:line="360" w:lineRule="auto"/>
        <w:ind w:firstLine="417" w:firstLineChars="199"/>
        <w:rPr>
          <w:rFonts w:ascii="宋体" w:hAnsi="宋体" w:cs="宋体"/>
          <w:bCs/>
          <w:kern w:val="0"/>
          <w:szCs w:val="21"/>
          <w:lang w:bidi="bn-IN"/>
        </w:rPr>
      </w:pPr>
      <w:r>
        <w:rPr>
          <w:rFonts w:hint="eastAsia" w:ascii="宋体" w:hAnsi="宋体" w:cs="宋体"/>
          <w:bCs/>
          <w:kern w:val="0"/>
          <w:szCs w:val="21"/>
          <w:lang w:bidi="bn-IN"/>
        </w:rPr>
        <w:t>赎回总额＝赎回确认份额×赎回日</w:t>
      </w:r>
      <w:r>
        <w:rPr>
          <w:rFonts w:hint="eastAsia" w:ascii="宋体" w:hAnsi="宋体" w:cs="宋体"/>
          <w:bCs/>
          <w:kern w:val="0"/>
          <w:szCs w:val="21"/>
        </w:rPr>
        <w:t>相应类别产品份额的</w:t>
      </w:r>
      <w:r>
        <w:rPr>
          <w:rFonts w:hint="eastAsia" w:ascii="宋体" w:hAnsi="宋体" w:cs="宋体"/>
          <w:bCs/>
          <w:kern w:val="0"/>
          <w:szCs w:val="21"/>
          <w:lang w:bidi="bn-IN"/>
        </w:rPr>
        <w:t>产品份额净值</w:t>
      </w:r>
    </w:p>
    <w:p w14:paraId="49860235">
      <w:pPr>
        <w:spacing w:line="360" w:lineRule="auto"/>
        <w:ind w:firstLine="417" w:firstLineChars="199"/>
        <w:rPr>
          <w:rFonts w:ascii="宋体" w:hAnsi="宋体" w:cs="宋体"/>
          <w:bCs/>
          <w:kern w:val="0"/>
          <w:szCs w:val="21"/>
          <w:lang w:bidi="bn-IN"/>
        </w:rPr>
      </w:pPr>
      <w:r>
        <w:rPr>
          <w:rFonts w:hint="eastAsia" w:ascii="宋体" w:hAnsi="宋体" w:cs="宋体"/>
          <w:bCs/>
          <w:kern w:val="0"/>
          <w:szCs w:val="21"/>
          <w:lang w:bidi="bn-IN"/>
        </w:rPr>
        <w:t>赎回费用＝赎回总额×赎回费率</w:t>
      </w:r>
    </w:p>
    <w:p w14:paraId="3065DD23">
      <w:pPr>
        <w:spacing w:line="360" w:lineRule="auto"/>
        <w:ind w:firstLine="417" w:firstLineChars="199"/>
        <w:rPr>
          <w:rFonts w:ascii="宋体" w:hAnsi="宋体" w:cs="宋体"/>
          <w:bCs/>
          <w:kern w:val="0"/>
          <w:szCs w:val="21"/>
          <w:lang w:bidi="bn-IN"/>
        </w:rPr>
      </w:pPr>
      <w:r>
        <w:rPr>
          <w:rFonts w:hint="eastAsia" w:ascii="宋体" w:hAnsi="宋体" w:cs="宋体"/>
          <w:bCs/>
          <w:kern w:val="0"/>
          <w:szCs w:val="21"/>
          <w:lang w:bidi="bn-IN"/>
        </w:rPr>
        <w:t>赎回净额</w:t>
      </w:r>
      <w:r>
        <w:rPr>
          <w:rFonts w:ascii="宋体" w:hAnsi="宋体" w:cs="宋体"/>
          <w:bCs/>
          <w:kern w:val="0"/>
          <w:szCs w:val="21"/>
          <w:lang w:bidi="bn-IN"/>
        </w:rPr>
        <w:t>=赎回总额-赎回费用</w:t>
      </w:r>
    </w:p>
    <w:p w14:paraId="40C3A006">
      <w:pPr>
        <w:spacing w:line="360" w:lineRule="auto"/>
        <w:ind w:firstLine="417" w:firstLineChars="199"/>
        <w:rPr>
          <w:rFonts w:ascii="宋体" w:hAnsi="宋体" w:cs="宋体"/>
          <w:bCs/>
          <w:kern w:val="0"/>
          <w:szCs w:val="21"/>
          <w:lang w:bidi="bn-IN"/>
        </w:rPr>
      </w:pPr>
      <w:r>
        <w:rPr>
          <w:rFonts w:hint="eastAsia" w:ascii="宋体" w:hAnsi="宋体" w:cs="宋体"/>
          <w:bCs/>
          <w:kern w:val="0"/>
          <w:szCs w:val="21"/>
          <w:lang w:bidi="bn-IN"/>
        </w:rPr>
        <w:t>赎回总额、赎回费用、赎回确认份额、赎回净额以四舍五入的方法保留至小数点后两位。</w:t>
      </w:r>
    </w:p>
    <w:p w14:paraId="2C0ABBE6">
      <w:pPr>
        <w:tabs>
          <w:tab w:val="left" w:pos="0"/>
        </w:tabs>
        <w:spacing w:line="360" w:lineRule="auto"/>
        <w:ind w:firstLine="422" w:firstLineChars="200"/>
        <w:outlineLvl w:val="2"/>
        <w:rPr>
          <w:rFonts w:ascii="宋体" w:hAnsi="宋体" w:cs="宋体"/>
          <w:b/>
          <w:bCs/>
          <w:kern w:val="0"/>
          <w:szCs w:val="21"/>
          <w:lang w:bidi="bn-IN"/>
        </w:rPr>
      </w:pPr>
      <w:r>
        <w:rPr>
          <w:rFonts w:ascii="宋体" w:hAnsi="宋体" w:cs="宋体"/>
          <w:b/>
          <w:bCs/>
          <w:kern w:val="0"/>
          <w:szCs w:val="21"/>
          <w:lang w:bidi="bn-IN"/>
        </w:rPr>
        <w:t>7.拒绝或暂停接受申购、暂停赎回或延缓支付赎回款项的情形及处理</w:t>
      </w:r>
    </w:p>
    <w:p w14:paraId="0FE1503C">
      <w:pPr>
        <w:spacing w:line="360" w:lineRule="auto"/>
        <w:ind w:firstLine="422" w:firstLineChars="200"/>
        <w:rPr>
          <w:rFonts w:ascii="宋体" w:hAnsi="宋体" w:cs="宋体"/>
          <w:b/>
          <w:bCs w:val="0"/>
          <w:kern w:val="0"/>
          <w:szCs w:val="21"/>
          <w:lang w:bidi="bn-IN"/>
        </w:rPr>
      </w:pPr>
      <w:r>
        <w:rPr>
          <w:rFonts w:hint="eastAsia" w:ascii="宋体" w:hAnsi="宋体" w:cs="宋体"/>
          <w:b/>
          <w:bCs w:val="0"/>
          <w:kern w:val="0"/>
          <w:szCs w:val="21"/>
          <w:lang w:bidi="bn-IN"/>
        </w:rPr>
        <w:t>（</w:t>
      </w:r>
      <w:r>
        <w:rPr>
          <w:rFonts w:ascii="宋体" w:hAnsi="宋体" w:cs="宋体"/>
          <w:b/>
          <w:bCs w:val="0"/>
          <w:kern w:val="0"/>
          <w:szCs w:val="21"/>
          <w:lang w:bidi="bn-IN"/>
        </w:rPr>
        <w:t>1）除下列情形外，管理人不得拒绝接受或暂停接受投资者的申购申请：</w:t>
      </w:r>
    </w:p>
    <w:p w14:paraId="42040E62">
      <w:pPr>
        <w:tabs>
          <w:tab w:val="left" w:pos="120"/>
          <w:tab w:val="left" w:pos="420"/>
        </w:tabs>
        <w:spacing w:line="360" w:lineRule="auto"/>
        <w:ind w:left="420" w:leftChars="200"/>
        <w:rPr>
          <w:rFonts w:ascii="宋体" w:hAnsi="宋体" w:cs="宋体"/>
          <w:b/>
          <w:bCs w:val="0"/>
          <w:kern w:val="0"/>
          <w:szCs w:val="21"/>
          <w:lang w:bidi="bn-IN"/>
        </w:rPr>
      </w:pPr>
      <w:r>
        <w:rPr>
          <w:rFonts w:hint="eastAsia" w:ascii="宋体" w:hAnsi="宋体" w:cs="宋体"/>
          <w:b/>
          <w:bCs w:val="0"/>
          <w:kern w:val="0"/>
          <w:szCs w:val="21"/>
          <w:lang w:bidi="bn-IN"/>
        </w:rPr>
        <w:t>①不可抗力的原因导致产品无法正常运作；</w:t>
      </w:r>
    </w:p>
    <w:p w14:paraId="18C1FDD5">
      <w:pPr>
        <w:tabs>
          <w:tab w:val="left" w:pos="120"/>
          <w:tab w:val="left" w:pos="420"/>
        </w:tabs>
        <w:spacing w:line="360" w:lineRule="auto"/>
        <w:ind w:left="420" w:leftChars="200"/>
        <w:rPr>
          <w:rFonts w:ascii="宋体" w:hAnsi="宋体" w:cs="宋体"/>
          <w:b/>
          <w:bCs w:val="0"/>
          <w:kern w:val="0"/>
          <w:szCs w:val="21"/>
          <w:lang w:bidi="bn-IN"/>
        </w:rPr>
      </w:pPr>
      <w:r>
        <w:rPr>
          <w:rFonts w:hint="eastAsia" w:ascii="宋体" w:hAnsi="宋体" w:cs="宋体"/>
          <w:b/>
          <w:bCs w:val="0"/>
          <w:kern w:val="0"/>
          <w:szCs w:val="21"/>
          <w:lang w:bidi="bn-IN"/>
        </w:rPr>
        <w:t>②证券交易场所依法决定临时停市，导致产品管理人无法计算当日产品资产净值；</w:t>
      </w:r>
    </w:p>
    <w:p w14:paraId="45A889AD">
      <w:pPr>
        <w:tabs>
          <w:tab w:val="left" w:pos="120"/>
          <w:tab w:val="left" w:pos="420"/>
        </w:tabs>
        <w:spacing w:line="360" w:lineRule="auto"/>
        <w:ind w:left="420" w:leftChars="200"/>
        <w:rPr>
          <w:rFonts w:ascii="宋体" w:hAnsi="宋体" w:cs="宋体"/>
          <w:b/>
          <w:bCs w:val="0"/>
          <w:kern w:val="0"/>
          <w:szCs w:val="21"/>
          <w:lang w:bidi="bn-IN"/>
        </w:rPr>
      </w:pPr>
      <w:r>
        <w:rPr>
          <w:rFonts w:hint="eastAsia" w:ascii="宋体" w:hAnsi="宋体" w:cs="宋体"/>
          <w:b/>
          <w:bCs w:val="0"/>
          <w:kern w:val="0"/>
          <w:szCs w:val="21"/>
          <w:lang w:bidi="bn-IN"/>
        </w:rPr>
        <w:t>③超过产品规模上限；</w:t>
      </w:r>
    </w:p>
    <w:p w14:paraId="066737FF">
      <w:pPr>
        <w:tabs>
          <w:tab w:val="left" w:pos="120"/>
          <w:tab w:val="left" w:pos="420"/>
        </w:tabs>
        <w:spacing w:line="360" w:lineRule="auto"/>
        <w:ind w:left="420" w:leftChars="200"/>
        <w:rPr>
          <w:rFonts w:ascii="宋体" w:hAnsi="宋体" w:cs="宋体"/>
          <w:b/>
          <w:bCs w:val="0"/>
          <w:kern w:val="0"/>
          <w:szCs w:val="21"/>
          <w:lang w:bidi="bn-IN"/>
        </w:rPr>
      </w:pPr>
      <w:r>
        <w:rPr>
          <w:rFonts w:hint="eastAsia" w:ascii="宋体" w:hAnsi="宋体" w:cs="宋体"/>
          <w:b/>
          <w:bCs w:val="0"/>
          <w:kern w:val="0"/>
          <w:szCs w:val="21"/>
          <w:lang w:bidi="bn-IN"/>
        </w:rPr>
        <w:t>④投资者申购超过个人</w:t>
      </w:r>
      <w:r>
        <w:rPr>
          <w:rFonts w:ascii="宋体" w:hAnsi="宋体" w:cs="宋体"/>
          <w:b/>
          <w:bCs w:val="0"/>
          <w:kern w:val="0"/>
          <w:szCs w:val="21"/>
          <w:lang w:bidi="bn-IN"/>
        </w:rPr>
        <w:t>/机构投资者持有上限；</w:t>
      </w:r>
    </w:p>
    <w:p w14:paraId="05FCF3E5">
      <w:pPr>
        <w:tabs>
          <w:tab w:val="left" w:pos="0"/>
          <w:tab w:val="left" w:pos="120"/>
        </w:tabs>
        <w:spacing w:line="360" w:lineRule="auto"/>
        <w:ind w:firstLine="422" w:firstLineChars="200"/>
        <w:rPr>
          <w:rFonts w:ascii="宋体" w:hAnsi="宋体" w:cs="宋体"/>
          <w:b/>
          <w:bCs w:val="0"/>
          <w:kern w:val="0"/>
          <w:szCs w:val="21"/>
          <w:lang w:bidi="bn-IN"/>
        </w:rPr>
      </w:pPr>
      <w:r>
        <w:rPr>
          <w:rFonts w:hint="eastAsia" w:ascii="宋体" w:hAnsi="宋体" w:cs="宋体"/>
          <w:b/>
          <w:bCs w:val="0"/>
          <w:kern w:val="0"/>
          <w:szCs w:val="21"/>
          <w:lang w:bidi="bn-IN"/>
        </w:rPr>
        <w:t>⑤产品资产规模过大，管理人无法找到合适的投资品种，或继续接受申购可能对产品业绩产生负面影响，从而损害现有产品份额持有人的利益；</w:t>
      </w:r>
    </w:p>
    <w:p w14:paraId="03BA4224">
      <w:pPr>
        <w:tabs>
          <w:tab w:val="left" w:pos="0"/>
          <w:tab w:val="left" w:pos="120"/>
        </w:tabs>
        <w:spacing w:line="360" w:lineRule="auto"/>
        <w:ind w:firstLine="422" w:firstLineChars="200"/>
        <w:rPr>
          <w:rFonts w:ascii="宋体" w:hAnsi="宋体" w:cs="宋体"/>
          <w:b/>
          <w:bCs w:val="0"/>
          <w:kern w:val="0"/>
          <w:szCs w:val="21"/>
          <w:lang w:bidi="bn-IN"/>
        </w:rPr>
      </w:pPr>
      <w:r>
        <w:rPr>
          <w:rFonts w:hint="eastAsia" w:ascii="宋体" w:hAnsi="宋体" w:cs="宋体"/>
          <w:b/>
          <w:bCs w:val="0"/>
          <w:kern w:val="0"/>
          <w:szCs w:val="21"/>
          <w:lang w:bidi="bn-IN"/>
        </w:rPr>
        <w:t>⑥当产品管理人认为某笔申购申请会有损于其他产品份额持有人利益时，可拒绝该笔申购申请；</w:t>
      </w:r>
    </w:p>
    <w:p w14:paraId="097CFA0B">
      <w:pPr>
        <w:tabs>
          <w:tab w:val="left" w:pos="0"/>
          <w:tab w:val="left" w:pos="120"/>
        </w:tabs>
        <w:spacing w:line="360" w:lineRule="auto"/>
        <w:ind w:firstLine="422" w:firstLineChars="200"/>
        <w:rPr>
          <w:rFonts w:ascii="宋体" w:hAnsi="宋体" w:cs="宋体"/>
          <w:b/>
          <w:bCs w:val="0"/>
          <w:kern w:val="0"/>
          <w:szCs w:val="21"/>
          <w:lang w:bidi="bn-IN"/>
        </w:rPr>
      </w:pPr>
      <w:r>
        <w:rPr>
          <w:rFonts w:hint="eastAsia" w:ascii="宋体" w:hAnsi="宋体" w:cs="宋体"/>
          <w:b/>
          <w:bCs w:val="0"/>
          <w:kern w:val="0"/>
          <w:szCs w:val="21"/>
          <w:lang w:bidi="bn-IN"/>
        </w:rPr>
        <w:t>⑦暂停估值；</w:t>
      </w:r>
    </w:p>
    <w:p w14:paraId="6C27F8BE">
      <w:pPr>
        <w:tabs>
          <w:tab w:val="left" w:pos="0"/>
          <w:tab w:val="left" w:pos="120"/>
        </w:tabs>
        <w:spacing w:line="360" w:lineRule="auto"/>
        <w:ind w:firstLine="422" w:firstLineChars="200"/>
        <w:rPr>
          <w:rFonts w:ascii="宋体" w:hAnsi="宋体" w:cs="宋体"/>
          <w:b/>
          <w:bCs w:val="0"/>
          <w:kern w:val="0"/>
          <w:szCs w:val="21"/>
          <w:lang w:bidi="bn-IN"/>
        </w:rPr>
      </w:pPr>
      <w:r>
        <w:rPr>
          <w:rFonts w:hint="eastAsia" w:ascii="宋体" w:hAnsi="宋体" w:cs="宋体"/>
          <w:b/>
          <w:bCs w:val="0"/>
          <w:kern w:val="0"/>
          <w:szCs w:val="21"/>
          <w:lang w:bidi="bn-IN"/>
        </w:rPr>
        <w:t>⑧法律、法规规定认定的其他情形。</w:t>
      </w:r>
    </w:p>
    <w:p w14:paraId="5E3700EC">
      <w:pPr>
        <w:tabs>
          <w:tab w:val="left" w:pos="0"/>
          <w:tab w:val="left" w:pos="120"/>
        </w:tabs>
        <w:spacing w:line="360" w:lineRule="auto"/>
        <w:ind w:firstLine="422" w:firstLineChars="200"/>
        <w:rPr>
          <w:rFonts w:ascii="宋体" w:hAnsi="宋体" w:cs="宋体"/>
          <w:b/>
          <w:bCs w:val="0"/>
          <w:kern w:val="0"/>
          <w:szCs w:val="21"/>
          <w:lang w:bidi="bn-IN"/>
        </w:rPr>
      </w:pPr>
      <w:r>
        <w:rPr>
          <w:rFonts w:hint="eastAsia" w:ascii="宋体" w:hAnsi="宋体" w:cs="宋体"/>
          <w:b/>
          <w:bCs w:val="0"/>
          <w:kern w:val="0"/>
          <w:szCs w:val="21"/>
          <w:lang w:bidi="bn-IN"/>
        </w:rPr>
        <w:t>如果投资者的申购申请被拒绝，被拒绝的申购款项本金将全额退还给投资者。申购的投资资金将于原定确认日后3个工作日内返还至客户账户。原定产品确认日至资金到账日之间投资者资金不计利息，具体退还到账时间以销售服务机构实际清算时间为准。</w:t>
      </w:r>
    </w:p>
    <w:p w14:paraId="55C63F62">
      <w:pPr>
        <w:tabs>
          <w:tab w:val="left" w:pos="0"/>
          <w:tab w:val="left" w:pos="120"/>
        </w:tabs>
        <w:spacing w:line="360" w:lineRule="auto"/>
        <w:ind w:firstLine="422" w:firstLineChars="200"/>
        <w:rPr>
          <w:rFonts w:ascii="宋体" w:hAnsi="宋体" w:cs="宋体"/>
          <w:b/>
          <w:bCs w:val="0"/>
          <w:kern w:val="0"/>
          <w:szCs w:val="21"/>
          <w:lang w:bidi="bn-IN"/>
        </w:rPr>
      </w:pPr>
      <w:r>
        <w:rPr>
          <w:rFonts w:hint="eastAsia" w:ascii="宋体" w:hAnsi="宋体" w:cs="宋体"/>
          <w:b/>
          <w:bCs w:val="0"/>
          <w:kern w:val="0"/>
          <w:szCs w:val="21"/>
          <w:lang w:bidi="bn-IN"/>
        </w:rPr>
        <w:t>（2）除下列情形外，管理人不得暂停接受或延期办理投资者的赎回申请：</w:t>
      </w:r>
    </w:p>
    <w:p w14:paraId="525291A1">
      <w:pPr>
        <w:tabs>
          <w:tab w:val="left" w:pos="0"/>
          <w:tab w:val="left" w:pos="120"/>
        </w:tabs>
        <w:spacing w:line="360" w:lineRule="auto"/>
        <w:ind w:firstLine="422" w:firstLineChars="200"/>
        <w:rPr>
          <w:rFonts w:ascii="宋体" w:hAnsi="宋体" w:cs="宋体"/>
          <w:b/>
          <w:bCs w:val="0"/>
          <w:kern w:val="0"/>
          <w:szCs w:val="21"/>
          <w:lang w:bidi="bn-IN"/>
        </w:rPr>
      </w:pPr>
      <w:r>
        <w:rPr>
          <w:rFonts w:hint="eastAsia" w:ascii="宋体" w:hAnsi="宋体" w:cs="宋体"/>
          <w:b/>
          <w:bCs w:val="0"/>
          <w:kern w:val="0"/>
          <w:szCs w:val="21"/>
          <w:lang w:bidi="bn-IN"/>
        </w:rPr>
        <w:t>①因不可抗力导致产品管理人不能支付赎回款项；</w:t>
      </w:r>
    </w:p>
    <w:p w14:paraId="54A06BFC">
      <w:pPr>
        <w:tabs>
          <w:tab w:val="left" w:pos="0"/>
          <w:tab w:val="left" w:pos="120"/>
        </w:tabs>
        <w:spacing w:line="360" w:lineRule="auto"/>
        <w:ind w:firstLine="422" w:firstLineChars="200"/>
        <w:rPr>
          <w:rFonts w:ascii="宋体" w:hAnsi="宋体" w:cs="宋体"/>
          <w:b/>
          <w:bCs w:val="0"/>
          <w:kern w:val="0"/>
          <w:szCs w:val="21"/>
          <w:lang w:bidi="bn-IN"/>
        </w:rPr>
      </w:pPr>
      <w:r>
        <w:rPr>
          <w:rFonts w:hint="eastAsia" w:ascii="宋体" w:hAnsi="宋体" w:cs="宋体"/>
          <w:b/>
          <w:bCs w:val="0"/>
          <w:kern w:val="0"/>
          <w:szCs w:val="21"/>
          <w:lang w:bidi="bn-IN"/>
        </w:rPr>
        <w:t>②证券交易场所依法决定临时停市，导致产品管理人无法计算当日产品资产净值；</w:t>
      </w:r>
    </w:p>
    <w:p w14:paraId="0E43D28C">
      <w:pPr>
        <w:tabs>
          <w:tab w:val="left" w:pos="0"/>
          <w:tab w:val="left" w:pos="120"/>
        </w:tabs>
        <w:spacing w:line="360" w:lineRule="auto"/>
        <w:ind w:firstLine="422" w:firstLineChars="200"/>
        <w:rPr>
          <w:rFonts w:ascii="宋体" w:hAnsi="宋体" w:cs="宋体"/>
          <w:b/>
          <w:bCs w:val="0"/>
          <w:kern w:val="0"/>
          <w:szCs w:val="21"/>
          <w:lang w:bidi="bn-IN"/>
        </w:rPr>
      </w:pPr>
      <w:r>
        <w:rPr>
          <w:rFonts w:hint="eastAsia" w:ascii="宋体" w:hAnsi="宋体" w:cs="宋体"/>
          <w:b/>
          <w:bCs w:val="0"/>
          <w:kern w:val="0"/>
          <w:szCs w:val="21"/>
          <w:lang w:bidi="bn-IN"/>
        </w:rPr>
        <w:t>③本产品连续两个开放日及以上发生巨额赎回（详见“巨额赎回的认定及处理”部分）；</w:t>
      </w:r>
    </w:p>
    <w:p w14:paraId="44F2985F">
      <w:pPr>
        <w:tabs>
          <w:tab w:val="left" w:pos="0"/>
          <w:tab w:val="left" w:pos="120"/>
        </w:tabs>
        <w:spacing w:line="360" w:lineRule="auto"/>
        <w:ind w:firstLine="422" w:firstLineChars="200"/>
        <w:rPr>
          <w:rFonts w:ascii="宋体" w:hAnsi="宋体" w:cs="宋体"/>
          <w:b/>
          <w:bCs w:val="0"/>
          <w:kern w:val="0"/>
          <w:szCs w:val="21"/>
          <w:lang w:bidi="bn-IN"/>
        </w:rPr>
      </w:pPr>
      <w:r>
        <w:rPr>
          <w:rFonts w:hint="eastAsia" w:ascii="宋体" w:hAnsi="宋体" w:cs="宋体"/>
          <w:b/>
          <w:bCs w:val="0"/>
          <w:kern w:val="0"/>
          <w:szCs w:val="21"/>
          <w:lang w:bidi="bn-IN"/>
        </w:rPr>
        <w:t>④</w:t>
      </w:r>
      <w:r>
        <w:rPr>
          <w:rFonts w:hint="eastAsia" w:ascii="宋体" w:hAnsi="宋体" w:cs="宋体"/>
          <w:b/>
          <w:szCs w:val="21"/>
        </w:rPr>
        <w:t>本产品的单个份额持有人在单个开放日申请赎回理财产品份额超过本理财产品总份额合同约定比例的；</w:t>
      </w:r>
    </w:p>
    <w:p w14:paraId="62C27B7F">
      <w:pPr>
        <w:tabs>
          <w:tab w:val="left" w:pos="0"/>
          <w:tab w:val="left" w:pos="120"/>
        </w:tabs>
        <w:spacing w:line="360" w:lineRule="auto"/>
        <w:ind w:firstLine="422" w:firstLineChars="200"/>
        <w:rPr>
          <w:rFonts w:ascii="宋体" w:hAnsi="宋体" w:cs="宋体"/>
          <w:b/>
          <w:bCs w:val="0"/>
          <w:kern w:val="0"/>
          <w:szCs w:val="21"/>
          <w:lang w:bidi="bn-IN"/>
        </w:rPr>
      </w:pPr>
      <w:r>
        <w:rPr>
          <w:rFonts w:hint="eastAsia" w:ascii="宋体" w:hAnsi="宋体" w:cs="宋体"/>
          <w:b/>
          <w:bCs w:val="0"/>
          <w:kern w:val="0"/>
          <w:szCs w:val="21"/>
          <w:lang w:bidi="bn-IN"/>
        </w:rPr>
        <w:t>⑤暂停估值；</w:t>
      </w:r>
    </w:p>
    <w:p w14:paraId="2CC72742">
      <w:pPr>
        <w:tabs>
          <w:tab w:val="left" w:pos="0"/>
          <w:tab w:val="left" w:pos="120"/>
        </w:tabs>
        <w:spacing w:line="360" w:lineRule="auto"/>
        <w:ind w:firstLine="422" w:firstLineChars="200"/>
        <w:rPr>
          <w:rFonts w:ascii="宋体" w:hAnsi="宋体" w:cs="宋体"/>
          <w:b/>
          <w:bCs w:val="0"/>
          <w:kern w:val="0"/>
          <w:szCs w:val="21"/>
          <w:lang w:bidi="bn-IN"/>
        </w:rPr>
      </w:pPr>
      <w:r>
        <w:rPr>
          <w:rFonts w:hint="eastAsia" w:ascii="宋体" w:hAnsi="宋体" w:cs="宋体"/>
          <w:b/>
          <w:bCs w:val="0"/>
          <w:kern w:val="0"/>
          <w:szCs w:val="21"/>
          <w:lang w:bidi="bn-IN"/>
        </w:rPr>
        <w:t>⑥法律、法规规定认定的其他情形。</w:t>
      </w:r>
    </w:p>
    <w:p w14:paraId="30FEF455">
      <w:pPr>
        <w:tabs>
          <w:tab w:val="left" w:pos="0"/>
          <w:tab w:val="left" w:pos="120"/>
        </w:tabs>
        <w:spacing w:line="360" w:lineRule="auto"/>
        <w:ind w:firstLine="422" w:firstLineChars="200"/>
        <w:rPr>
          <w:rFonts w:ascii="宋体" w:hAnsi="宋体" w:cs="宋体"/>
          <w:bCs/>
          <w:kern w:val="0"/>
          <w:szCs w:val="21"/>
          <w:lang w:bidi="bn-IN"/>
        </w:rPr>
      </w:pPr>
      <w:r>
        <w:rPr>
          <w:rFonts w:hint="eastAsia" w:ascii="宋体" w:hAnsi="宋体" w:cs="宋体"/>
          <w:b/>
          <w:bCs w:val="0"/>
          <w:kern w:val="0"/>
          <w:szCs w:val="21"/>
          <w:lang w:bidi="bn-IN"/>
        </w:rPr>
        <w:t>（3）</w:t>
      </w:r>
      <w:r>
        <w:rPr>
          <w:rFonts w:hint="eastAsia" w:ascii="宋体" w:hAnsi="宋体" w:cs="宋体"/>
          <w:b/>
          <w:szCs w:val="21"/>
        </w:rPr>
        <w:t>本产品的单个份额持有人在单个开放日申请赎回理财产品份额超过本理财产品总份额合同约定比例的，对于已经接受的赎回申请管理人有权延缓支付赎回款项，</w:t>
      </w:r>
      <w:r>
        <w:rPr>
          <w:rFonts w:ascii="宋体" w:hAnsi="宋体" w:cs="宋体"/>
          <w:b/>
          <w:szCs w:val="21"/>
        </w:rPr>
        <w:t>但不得超过正常支付时间20个工作日</w:t>
      </w:r>
      <w:r>
        <w:rPr>
          <w:rFonts w:hint="eastAsia" w:ascii="宋体" w:hAnsi="宋体" w:cs="宋体"/>
          <w:b/>
          <w:szCs w:val="21"/>
        </w:rPr>
        <w:t>。</w:t>
      </w:r>
    </w:p>
    <w:p w14:paraId="55A600A6">
      <w:pPr>
        <w:tabs>
          <w:tab w:val="left" w:pos="0"/>
        </w:tabs>
        <w:spacing w:line="360" w:lineRule="auto"/>
        <w:ind w:left="442"/>
        <w:outlineLvl w:val="2"/>
        <w:rPr>
          <w:rFonts w:ascii="宋体" w:hAnsi="宋体" w:cs="宋体"/>
          <w:b/>
          <w:bCs/>
          <w:kern w:val="0"/>
          <w:szCs w:val="21"/>
          <w:lang w:bidi="bn-IN"/>
        </w:rPr>
      </w:pPr>
      <w:r>
        <w:rPr>
          <w:rFonts w:ascii="宋体" w:hAnsi="宋体" w:cs="宋体"/>
          <w:b/>
          <w:bCs/>
          <w:kern w:val="0"/>
          <w:szCs w:val="21"/>
          <w:lang w:bidi="bn-IN"/>
        </w:rPr>
        <w:t>8.巨额赎回的认定及处理</w:t>
      </w:r>
    </w:p>
    <w:p w14:paraId="3A2FD56D">
      <w:pPr>
        <w:tabs>
          <w:tab w:val="left" w:pos="0"/>
        </w:tabs>
        <w:spacing w:line="360" w:lineRule="auto"/>
        <w:ind w:firstLine="420" w:firstLineChars="200"/>
        <w:rPr>
          <w:rFonts w:ascii="宋体" w:hAnsi="宋体" w:cs="宋体"/>
          <w:szCs w:val="21"/>
        </w:rPr>
      </w:pPr>
      <w:r>
        <w:rPr>
          <w:rFonts w:hint="eastAsia" w:ascii="宋体" w:hAnsi="宋体" w:cs="宋体"/>
          <w:szCs w:val="21"/>
        </w:rPr>
        <w:t>（</w:t>
      </w:r>
      <w:r>
        <w:rPr>
          <w:rFonts w:ascii="宋体" w:hAnsi="宋体" w:cs="宋体"/>
          <w:szCs w:val="21"/>
        </w:rPr>
        <w:t>1）巨额赎回的认定</w:t>
      </w:r>
    </w:p>
    <w:p w14:paraId="6C8B1D3D">
      <w:pPr>
        <w:tabs>
          <w:tab w:val="left" w:pos="0"/>
        </w:tabs>
        <w:spacing w:line="360" w:lineRule="auto"/>
        <w:ind w:firstLine="420" w:firstLineChars="200"/>
        <w:rPr>
          <w:rFonts w:ascii="宋体" w:hAnsi="宋体" w:cs="宋体"/>
          <w:szCs w:val="21"/>
        </w:rPr>
      </w:pPr>
      <w:r>
        <w:rPr>
          <w:rFonts w:hint="eastAsia" w:ascii="宋体" w:hAnsi="宋体" w:cs="宋体"/>
          <w:szCs w:val="21"/>
        </w:rPr>
        <w:t>在产品的单个开放日，产品</w:t>
      </w:r>
      <w:r>
        <w:rPr>
          <w:rFonts w:ascii="宋体" w:hAnsi="宋体" w:cs="宋体"/>
          <w:szCs w:val="21"/>
        </w:rPr>
        <w:t>净</w:t>
      </w:r>
      <w:r>
        <w:rPr>
          <w:rFonts w:hint="eastAsia" w:ascii="宋体" w:hAnsi="宋体" w:cs="宋体"/>
          <w:szCs w:val="21"/>
        </w:rPr>
        <w:t>赎回申请超过上一</w:t>
      </w:r>
      <w:r>
        <w:rPr>
          <w:rFonts w:ascii="宋体" w:hAnsi="宋体" w:cs="宋体"/>
          <w:szCs w:val="21"/>
        </w:rPr>
        <w:t>交易所工作</w:t>
      </w:r>
      <w:r>
        <w:rPr>
          <w:rFonts w:hint="eastAsia" w:ascii="宋体" w:hAnsi="宋体" w:cs="宋体"/>
          <w:szCs w:val="21"/>
        </w:rPr>
        <w:t>日产品总份额的</w:t>
      </w:r>
      <w:r>
        <w:rPr>
          <w:rFonts w:ascii="宋体" w:hAnsi="宋体" w:cs="宋体"/>
          <w:szCs w:val="21"/>
        </w:rPr>
        <w:t>10％时，为巨额赎回</w:t>
      </w:r>
      <w:r>
        <w:rPr>
          <w:rFonts w:hint="eastAsia" w:ascii="宋体" w:hAnsi="宋体" w:cs="宋体"/>
          <w:szCs w:val="21"/>
        </w:rPr>
        <w:t>，</w:t>
      </w:r>
      <w:r>
        <w:rPr>
          <w:rFonts w:hint="eastAsia" w:ascii="宋体" w:hAnsi="宋体" w:cs="宋体"/>
          <w:color w:val="000000"/>
        </w:rPr>
        <w:t>监管机构</w:t>
      </w:r>
      <w:r>
        <w:rPr>
          <w:rFonts w:hint="eastAsia" w:ascii="宋体" w:hAnsi="宋体" w:cs="宋体"/>
          <w:szCs w:val="21"/>
        </w:rPr>
        <w:t>另有规定的除外</w:t>
      </w:r>
      <w:r>
        <w:rPr>
          <w:rFonts w:ascii="宋体" w:hAnsi="宋体" w:cs="宋体"/>
          <w:szCs w:val="21"/>
        </w:rPr>
        <w:t>。</w:t>
      </w:r>
    </w:p>
    <w:p w14:paraId="76FBF2D9">
      <w:pPr>
        <w:tabs>
          <w:tab w:val="left" w:pos="0"/>
        </w:tabs>
        <w:spacing w:line="360" w:lineRule="auto"/>
        <w:ind w:firstLine="422" w:firstLineChars="200"/>
        <w:rPr>
          <w:rFonts w:ascii="宋体" w:hAnsi="宋体" w:cs="宋体"/>
          <w:b/>
          <w:bCs/>
          <w:szCs w:val="21"/>
        </w:rPr>
      </w:pPr>
      <w:r>
        <w:rPr>
          <w:rFonts w:hint="eastAsia" w:ascii="宋体" w:hAnsi="宋体" w:cs="宋体"/>
          <w:b/>
          <w:bCs/>
          <w:szCs w:val="21"/>
        </w:rPr>
        <w:t>（</w:t>
      </w:r>
      <w:r>
        <w:rPr>
          <w:rFonts w:ascii="宋体" w:hAnsi="宋体" w:cs="宋体"/>
          <w:b/>
          <w:bCs/>
          <w:szCs w:val="21"/>
        </w:rPr>
        <w:t>2）巨额赎回的处理方式</w:t>
      </w:r>
    </w:p>
    <w:p w14:paraId="4EE1C264">
      <w:pPr>
        <w:tabs>
          <w:tab w:val="left" w:pos="0"/>
        </w:tabs>
        <w:spacing w:line="360" w:lineRule="auto"/>
        <w:ind w:firstLine="422" w:firstLineChars="200"/>
        <w:rPr>
          <w:rFonts w:ascii="宋体" w:hAnsi="宋体" w:cs="宋体"/>
          <w:b/>
          <w:bCs/>
          <w:szCs w:val="21"/>
        </w:rPr>
      </w:pPr>
      <w:bookmarkStart w:id="11" w:name="OLE_LINK37"/>
      <w:r>
        <w:rPr>
          <w:rFonts w:hint="eastAsia" w:ascii="宋体" w:hAnsi="宋体" w:cs="宋体"/>
          <w:b/>
          <w:bCs/>
          <w:szCs w:val="21"/>
        </w:rPr>
        <w:t>出现巨额赎回时，产品管理人可以根据本产品当时的资产组合状况决定接受全额赎回或部分延期赎回。</w:t>
      </w:r>
    </w:p>
    <w:bookmarkEnd w:id="11"/>
    <w:p w14:paraId="34B48DC8">
      <w:pPr>
        <w:tabs>
          <w:tab w:val="left" w:pos="0"/>
        </w:tabs>
        <w:spacing w:line="360" w:lineRule="auto"/>
        <w:ind w:firstLine="422" w:firstLineChars="200"/>
        <w:rPr>
          <w:rFonts w:ascii="宋体" w:hAnsi="宋体" w:cs="宋体"/>
          <w:b/>
          <w:bCs/>
          <w:szCs w:val="21"/>
        </w:rPr>
      </w:pPr>
      <w:r>
        <w:rPr>
          <w:rFonts w:hint="eastAsia" w:ascii="宋体" w:hAnsi="宋体" w:cs="宋体"/>
          <w:b/>
          <w:bCs/>
          <w:szCs w:val="21"/>
        </w:rPr>
        <w:t>①接受全额赎回：当产品管理人认为有能力兑付投资者的全部赎回申请时，按正常赎回程序执行。</w:t>
      </w:r>
    </w:p>
    <w:p w14:paraId="0301007B">
      <w:pPr>
        <w:tabs>
          <w:tab w:val="left" w:pos="0"/>
        </w:tabs>
        <w:spacing w:line="360" w:lineRule="auto"/>
        <w:ind w:firstLine="422" w:firstLineChars="200"/>
        <w:rPr>
          <w:rFonts w:ascii="宋体" w:hAnsi="宋体" w:cs="宋体"/>
          <w:b/>
          <w:bCs/>
          <w:szCs w:val="21"/>
        </w:rPr>
      </w:pPr>
      <w:r>
        <w:rPr>
          <w:rFonts w:hint="eastAsia" w:ascii="宋体" w:hAnsi="宋体" w:cs="宋体"/>
          <w:b/>
          <w:bCs/>
          <w:szCs w:val="21"/>
        </w:rPr>
        <w:t>②部分延期赎回或暂停接受：当产品管理人认为兑付投资者的赎回申请可能会对产品的资产净值造成较大波动时，产品管理人在当日接受赎回比例不低于上一日产品总份额10%</w:t>
      </w:r>
      <w:r>
        <w:rPr>
          <w:rFonts w:ascii="宋体" w:hAnsi="宋体" w:cs="宋体"/>
          <w:b/>
          <w:bCs/>
          <w:szCs w:val="21"/>
        </w:rPr>
        <w:t>的前提下，有权延期办理其余赎回申</w:t>
      </w:r>
      <w:r>
        <w:rPr>
          <w:rFonts w:hint="eastAsia" w:ascii="宋体" w:hAnsi="宋体" w:cs="宋体"/>
          <w:b/>
          <w:bCs/>
          <w:szCs w:val="21"/>
        </w:rPr>
        <w:t>请或暂停接受</w:t>
      </w:r>
      <w:r>
        <w:rPr>
          <w:rFonts w:ascii="宋体" w:hAnsi="宋体" w:cs="宋体"/>
          <w:b/>
          <w:bCs/>
          <w:szCs w:val="21"/>
        </w:rPr>
        <w:t>其余赎回申请。对于当日的赎回申请，按单个账户赎回申请量占赎回申请总量的比例，确定当日受理的赎回份额；未受理部分除投资者赎回申请时选择将当日未获受理部分予以撤销者外</w:t>
      </w:r>
      <w:r>
        <w:rPr>
          <w:rFonts w:hint="eastAsia" w:ascii="宋体" w:hAnsi="宋体" w:cs="宋体"/>
          <w:b/>
          <w:bCs/>
          <w:szCs w:val="21"/>
        </w:rPr>
        <w:t>（具体交易功能以销售渠道规定为准）</w:t>
      </w:r>
      <w:r>
        <w:rPr>
          <w:rFonts w:ascii="宋体" w:hAnsi="宋体" w:cs="宋体"/>
          <w:b/>
          <w:bCs/>
          <w:szCs w:val="21"/>
        </w:rPr>
        <w:t>，延迟至</w:t>
      </w:r>
      <w:r>
        <w:rPr>
          <w:rFonts w:hint="eastAsia" w:ascii="宋体" w:hAnsi="宋体" w:cs="宋体"/>
          <w:b/>
          <w:bCs/>
          <w:szCs w:val="21"/>
        </w:rPr>
        <w:t>下一开放日</w:t>
      </w:r>
      <w:r>
        <w:rPr>
          <w:rFonts w:ascii="宋体" w:hAnsi="宋体" w:cs="宋体"/>
          <w:b/>
          <w:bCs/>
          <w:szCs w:val="21"/>
        </w:rPr>
        <w:t>办理</w:t>
      </w:r>
      <w:r>
        <w:rPr>
          <w:rFonts w:hint="eastAsia" w:ascii="宋体" w:hAnsi="宋体" w:cs="宋体"/>
          <w:b/>
          <w:bCs/>
          <w:szCs w:val="21"/>
        </w:rPr>
        <w:t>或暂停接受</w:t>
      </w:r>
      <w:r>
        <w:rPr>
          <w:rFonts w:ascii="宋体" w:hAnsi="宋体" w:cs="宋体"/>
          <w:b/>
          <w:bCs/>
          <w:szCs w:val="21"/>
        </w:rPr>
        <w:t>其余赎回申请。转入下一</w:t>
      </w:r>
      <w:r>
        <w:rPr>
          <w:rFonts w:hint="eastAsia" w:ascii="宋体" w:hAnsi="宋体" w:cs="宋体"/>
          <w:b/>
          <w:bCs/>
          <w:szCs w:val="21"/>
        </w:rPr>
        <w:t>开放日</w:t>
      </w:r>
      <w:r>
        <w:rPr>
          <w:rFonts w:ascii="宋体" w:hAnsi="宋体" w:cs="宋体"/>
          <w:b/>
          <w:bCs/>
          <w:szCs w:val="21"/>
        </w:rPr>
        <w:t>的赎回申请不享有赎回优先权并将以该下一</w:t>
      </w:r>
      <w:r>
        <w:rPr>
          <w:rFonts w:hint="eastAsia" w:ascii="宋体" w:hAnsi="宋体" w:cs="宋体"/>
          <w:b/>
          <w:bCs/>
          <w:szCs w:val="21"/>
        </w:rPr>
        <w:t>开放日</w:t>
      </w:r>
      <w:r>
        <w:rPr>
          <w:rFonts w:ascii="宋体" w:hAnsi="宋体" w:cs="宋体"/>
          <w:b/>
          <w:bCs/>
          <w:szCs w:val="21"/>
        </w:rPr>
        <w:t>的</w:t>
      </w:r>
      <w:r>
        <w:rPr>
          <w:rFonts w:hint="eastAsia" w:ascii="宋体" w:hAnsi="宋体" w:cs="宋体"/>
          <w:b/>
          <w:bCs/>
          <w:szCs w:val="21"/>
          <w:lang w:val="en-US" w:eastAsia="zh-CN"/>
        </w:rPr>
        <w:t>该类</w:t>
      </w:r>
      <w:r>
        <w:rPr>
          <w:rFonts w:hint="eastAsia" w:ascii="宋体" w:hAnsi="宋体" w:cs="宋体"/>
          <w:b/>
          <w:bCs/>
          <w:szCs w:val="21"/>
        </w:rPr>
        <w:t>产品份额净值为基准计算赎回金额，以此类推，直到全部赎回为止。</w:t>
      </w:r>
    </w:p>
    <w:p w14:paraId="783EEC97">
      <w:pPr>
        <w:tabs>
          <w:tab w:val="left" w:pos="0"/>
        </w:tabs>
        <w:spacing w:line="360" w:lineRule="auto"/>
        <w:ind w:firstLine="422" w:firstLineChars="200"/>
        <w:rPr>
          <w:rFonts w:ascii="宋体" w:hAnsi="宋体" w:cs="宋体"/>
          <w:szCs w:val="21"/>
        </w:rPr>
      </w:pPr>
      <w:r>
        <w:rPr>
          <w:rFonts w:hint="eastAsia" w:ascii="宋体" w:hAnsi="宋体" w:cs="宋体"/>
          <w:b/>
          <w:bCs/>
          <w:szCs w:val="21"/>
        </w:rPr>
        <w:t>（</w:t>
      </w:r>
      <w:r>
        <w:rPr>
          <w:rFonts w:ascii="宋体" w:hAnsi="宋体" w:cs="宋体"/>
          <w:b/>
          <w:bCs/>
          <w:szCs w:val="21"/>
        </w:rPr>
        <w:t>3）本产品连续两个开放日及以上发生巨额赎回，如产品管理人认为有必要，</w:t>
      </w:r>
      <w:r>
        <w:rPr>
          <w:rFonts w:hint="eastAsia" w:ascii="宋体" w:hAnsi="宋体" w:cs="宋体"/>
          <w:b/>
          <w:bCs/>
          <w:szCs w:val="21"/>
        </w:rPr>
        <w:t>对于</w:t>
      </w:r>
      <w:r>
        <w:rPr>
          <w:rFonts w:ascii="宋体" w:hAnsi="宋体" w:cs="宋体"/>
          <w:b/>
          <w:bCs/>
          <w:szCs w:val="21"/>
        </w:rPr>
        <w:t>已经接受的赎回申请可以延缓支付赎回款项，但不得超过正常支付时间20个工作日，并进行公告。</w:t>
      </w:r>
    </w:p>
    <w:p w14:paraId="2D6727E2">
      <w:pPr>
        <w:tabs>
          <w:tab w:val="left" w:pos="420"/>
          <w:tab w:val="left" w:pos="720"/>
        </w:tabs>
        <w:spacing w:line="360" w:lineRule="auto"/>
        <w:ind w:firstLine="422" w:firstLineChars="200"/>
        <w:outlineLvl w:val="1"/>
        <w:rPr>
          <w:rFonts w:ascii="宋体" w:hAnsi="宋体" w:cs="宋体"/>
          <w:b/>
          <w:bCs/>
          <w:snapToGrid w:val="0"/>
          <w:szCs w:val="21"/>
        </w:rPr>
      </w:pPr>
      <w:r>
        <w:rPr>
          <w:rFonts w:hint="eastAsia" w:ascii="宋体" w:hAnsi="宋体" w:cs="宋体"/>
          <w:b/>
          <w:bCs/>
          <w:snapToGrid w:val="0"/>
          <w:szCs w:val="21"/>
        </w:rPr>
        <w:t>（四）收益分配</w:t>
      </w:r>
    </w:p>
    <w:p w14:paraId="25980014">
      <w:pPr>
        <w:tabs>
          <w:tab w:val="left" w:pos="0"/>
        </w:tabs>
        <w:spacing w:line="360" w:lineRule="auto"/>
        <w:ind w:firstLine="420" w:firstLineChars="200"/>
        <w:outlineLvl w:val="2"/>
        <w:rPr>
          <w:rFonts w:ascii="宋体" w:hAnsi="宋体" w:cs="宋体"/>
          <w:szCs w:val="21"/>
        </w:rPr>
      </w:pPr>
      <w:r>
        <w:rPr>
          <w:rFonts w:ascii="宋体" w:hAnsi="宋体" w:cs="宋体"/>
          <w:szCs w:val="21"/>
        </w:rPr>
        <w:t>1.产品利润的构成</w:t>
      </w:r>
    </w:p>
    <w:p w14:paraId="103CE8A7">
      <w:pPr>
        <w:tabs>
          <w:tab w:val="left" w:pos="0"/>
        </w:tabs>
        <w:spacing w:line="360" w:lineRule="auto"/>
        <w:ind w:firstLine="420" w:firstLineChars="200"/>
        <w:rPr>
          <w:rFonts w:ascii="宋体" w:hAnsi="宋体" w:cs="宋体"/>
          <w:szCs w:val="21"/>
        </w:rPr>
      </w:pPr>
      <w:r>
        <w:rPr>
          <w:rFonts w:ascii="宋体" w:hAnsi="宋体" w:cs="宋体"/>
          <w:szCs w:val="21"/>
        </w:rPr>
        <w:t>理财产品利润指产品的利息收入、投资收益、公允价值变动收益和其他收入扣除相关费用后的余额，理财产品已实现收益指产品利润减去公允价值变动收益后的余额。</w:t>
      </w:r>
    </w:p>
    <w:p w14:paraId="7604FDC2">
      <w:pPr>
        <w:tabs>
          <w:tab w:val="left" w:pos="0"/>
        </w:tabs>
        <w:spacing w:line="360" w:lineRule="auto"/>
        <w:ind w:firstLine="420" w:firstLineChars="200"/>
        <w:outlineLvl w:val="2"/>
        <w:rPr>
          <w:rFonts w:ascii="宋体" w:hAnsi="宋体" w:cs="宋体"/>
          <w:szCs w:val="21"/>
        </w:rPr>
      </w:pPr>
      <w:r>
        <w:rPr>
          <w:rFonts w:ascii="宋体" w:hAnsi="宋体" w:cs="宋体"/>
          <w:szCs w:val="21"/>
        </w:rPr>
        <w:t>2.产品可供分配利润</w:t>
      </w:r>
    </w:p>
    <w:p w14:paraId="634C3E34">
      <w:pPr>
        <w:tabs>
          <w:tab w:val="left" w:pos="0"/>
        </w:tabs>
        <w:spacing w:line="360" w:lineRule="auto"/>
        <w:ind w:firstLine="420" w:firstLineChars="200"/>
        <w:rPr>
          <w:rFonts w:ascii="宋体" w:hAnsi="宋体" w:cs="宋体"/>
          <w:szCs w:val="21"/>
        </w:rPr>
      </w:pPr>
      <w:r>
        <w:rPr>
          <w:rFonts w:ascii="宋体" w:hAnsi="宋体" w:cs="宋体"/>
          <w:szCs w:val="21"/>
        </w:rPr>
        <w:t>产品可供分配利润指截至收益分配基准日产品未分配利润与未分配利润中已实现收益的孰低数。</w:t>
      </w:r>
    </w:p>
    <w:p w14:paraId="61CD04E0">
      <w:pPr>
        <w:tabs>
          <w:tab w:val="left" w:pos="0"/>
        </w:tabs>
        <w:spacing w:line="360" w:lineRule="auto"/>
        <w:ind w:firstLine="422" w:firstLineChars="200"/>
        <w:outlineLvl w:val="2"/>
        <w:rPr>
          <w:rFonts w:ascii="宋体" w:hAnsi="宋体" w:cs="宋体"/>
          <w:b/>
          <w:bCs/>
          <w:szCs w:val="21"/>
        </w:rPr>
      </w:pPr>
      <w:r>
        <w:rPr>
          <w:rFonts w:ascii="宋体" w:hAnsi="宋体" w:cs="宋体"/>
          <w:b/>
          <w:bCs/>
          <w:szCs w:val="21"/>
        </w:rPr>
        <w:t>3.收益分配原则</w:t>
      </w:r>
    </w:p>
    <w:p w14:paraId="0D91635B">
      <w:pPr>
        <w:tabs>
          <w:tab w:val="left" w:pos="0"/>
        </w:tabs>
        <w:spacing w:line="360" w:lineRule="auto"/>
        <w:ind w:firstLine="422" w:firstLineChars="200"/>
        <w:rPr>
          <w:rFonts w:ascii="宋体" w:hAnsi="宋体" w:cs="宋体"/>
          <w:b/>
          <w:bCs/>
          <w:szCs w:val="21"/>
        </w:rPr>
      </w:pPr>
      <w:r>
        <w:rPr>
          <w:rFonts w:hint="eastAsia" w:ascii="宋体" w:hAnsi="宋体" w:cs="宋体"/>
          <w:b/>
          <w:bCs/>
          <w:szCs w:val="21"/>
        </w:rPr>
        <w:t>（</w:t>
      </w:r>
      <w:r>
        <w:rPr>
          <w:rFonts w:ascii="宋体" w:hAnsi="宋体" w:cs="宋体"/>
          <w:b/>
          <w:bCs/>
          <w:szCs w:val="21"/>
        </w:rPr>
        <w:t>1</w:t>
      </w:r>
      <w:r>
        <w:rPr>
          <w:rFonts w:hint="eastAsia" w:ascii="宋体" w:hAnsi="宋体" w:cs="宋体"/>
          <w:b/>
          <w:bCs/>
          <w:szCs w:val="21"/>
        </w:rPr>
        <w:t>）同一类别每份</w:t>
      </w:r>
      <w:r>
        <w:rPr>
          <w:rFonts w:ascii="宋体" w:hAnsi="宋体" w:cs="宋体"/>
          <w:b/>
          <w:bCs/>
          <w:szCs w:val="21"/>
        </w:rPr>
        <w:t>产品份额享有同等分配权。</w:t>
      </w:r>
    </w:p>
    <w:p w14:paraId="5E708977">
      <w:pPr>
        <w:tabs>
          <w:tab w:val="left" w:pos="0"/>
        </w:tabs>
        <w:spacing w:line="360" w:lineRule="auto"/>
        <w:ind w:firstLine="422" w:firstLineChars="200"/>
        <w:rPr>
          <w:rFonts w:ascii="宋体" w:hAnsi="宋体" w:cs="宋体"/>
          <w:b/>
          <w:bCs/>
          <w:szCs w:val="21"/>
        </w:rPr>
      </w:pPr>
      <w:r>
        <w:rPr>
          <w:rFonts w:hint="eastAsia" w:ascii="宋体" w:hAnsi="宋体" w:cs="宋体"/>
          <w:b/>
          <w:bCs/>
          <w:szCs w:val="21"/>
        </w:rPr>
        <w:t>（</w:t>
      </w:r>
      <w:r>
        <w:rPr>
          <w:rFonts w:ascii="宋体" w:hAnsi="宋体" w:cs="宋体"/>
          <w:b/>
          <w:bCs/>
          <w:szCs w:val="21"/>
        </w:rPr>
        <w:t>2）在满足收益分配基准日理财产品份额净值大于1元的条件下，产品管理人将根据产品投资收益情况决定分配基准日、当次分配比例和金额，产品收益分配基准日</w:t>
      </w:r>
      <w:r>
        <w:rPr>
          <w:rFonts w:hint="eastAsia" w:ascii="宋体" w:hAnsi="宋体" w:cs="宋体"/>
          <w:b/>
          <w:bCs/>
          <w:szCs w:val="21"/>
        </w:rPr>
        <w:t>各类产品份额的份额净值减去该类产品份额每单位产品份额</w:t>
      </w:r>
      <w:r>
        <w:rPr>
          <w:rFonts w:ascii="宋体" w:hAnsi="宋体" w:cs="宋体"/>
          <w:b/>
          <w:bCs/>
          <w:szCs w:val="21"/>
        </w:rPr>
        <w:t>收益分配金额后不能低于1；并将于产品收益分配</w:t>
      </w:r>
      <w:r>
        <w:rPr>
          <w:rFonts w:hint="eastAsia" w:ascii="宋体" w:hAnsi="宋体" w:cs="宋体"/>
          <w:b/>
          <w:bCs/>
          <w:szCs w:val="21"/>
        </w:rPr>
        <w:t>前</w:t>
      </w:r>
      <w:r>
        <w:rPr>
          <w:rFonts w:ascii="宋体" w:hAnsi="宋体" w:cs="宋体"/>
          <w:b/>
          <w:bCs/>
          <w:szCs w:val="21"/>
        </w:rPr>
        <w:t>2个工作日按照本产品说明书约定方式进行信息披露。</w:t>
      </w:r>
    </w:p>
    <w:p w14:paraId="6E774263">
      <w:pPr>
        <w:tabs>
          <w:tab w:val="left" w:pos="0"/>
        </w:tabs>
        <w:spacing w:line="360" w:lineRule="auto"/>
        <w:ind w:firstLine="422" w:firstLineChars="200"/>
        <w:rPr>
          <w:rFonts w:ascii="宋体" w:hAnsi="宋体" w:cs="宋体"/>
          <w:b/>
          <w:bCs/>
          <w:szCs w:val="21"/>
        </w:rPr>
      </w:pPr>
      <w:r>
        <w:rPr>
          <w:rFonts w:hint="eastAsia" w:ascii="宋体" w:hAnsi="宋体" w:cs="宋体"/>
          <w:b/>
          <w:bCs/>
          <w:szCs w:val="21"/>
        </w:rPr>
        <w:t>（</w:t>
      </w:r>
      <w:r>
        <w:rPr>
          <w:rFonts w:ascii="宋体" w:hAnsi="宋体" w:cs="宋体"/>
          <w:b/>
          <w:bCs/>
          <w:szCs w:val="21"/>
        </w:rPr>
        <w:t>3</w:t>
      </w:r>
      <w:r>
        <w:rPr>
          <w:rFonts w:hint="eastAsia" w:ascii="宋体" w:hAnsi="宋体" w:cs="宋体"/>
          <w:b/>
          <w:bCs/>
          <w:szCs w:val="21"/>
        </w:rPr>
        <w:t>）</w:t>
      </w:r>
      <w:r>
        <w:rPr>
          <w:rFonts w:ascii="宋体" w:hAnsi="宋体" w:cs="宋体"/>
          <w:b/>
          <w:bCs/>
          <w:szCs w:val="21"/>
        </w:rPr>
        <w:t>法律法规或监管</w:t>
      </w:r>
      <w:r>
        <w:rPr>
          <w:rFonts w:hint="eastAsia" w:ascii="宋体" w:hAnsi="宋体" w:cs="宋体"/>
          <w:b/>
          <w:bCs/>
          <w:szCs w:val="21"/>
          <w:lang w:val="en-US" w:eastAsia="zh-CN"/>
        </w:rPr>
        <w:t>机构</w:t>
      </w:r>
      <w:r>
        <w:rPr>
          <w:rFonts w:ascii="宋体" w:hAnsi="宋体" w:cs="宋体"/>
          <w:b/>
          <w:bCs/>
          <w:szCs w:val="21"/>
        </w:rPr>
        <w:t>另有规定的，从其规定。</w:t>
      </w:r>
    </w:p>
    <w:p w14:paraId="6A725DCC">
      <w:pPr>
        <w:tabs>
          <w:tab w:val="left" w:pos="0"/>
        </w:tabs>
        <w:spacing w:line="360" w:lineRule="auto"/>
        <w:ind w:firstLine="420" w:firstLineChars="200"/>
        <w:outlineLvl w:val="2"/>
        <w:rPr>
          <w:rFonts w:ascii="宋体" w:hAnsi="宋体" w:cs="宋体"/>
          <w:szCs w:val="21"/>
        </w:rPr>
      </w:pPr>
      <w:r>
        <w:rPr>
          <w:rFonts w:ascii="宋体" w:hAnsi="宋体" w:cs="宋体"/>
          <w:szCs w:val="21"/>
        </w:rPr>
        <w:t>4.收益分配方式</w:t>
      </w:r>
    </w:p>
    <w:p w14:paraId="6EBD9A46">
      <w:pPr>
        <w:tabs>
          <w:tab w:val="left" w:pos="0"/>
        </w:tabs>
        <w:spacing w:line="360" w:lineRule="auto"/>
        <w:ind w:firstLine="420" w:firstLineChars="200"/>
        <w:rPr>
          <w:rFonts w:ascii="宋体" w:hAnsi="宋体" w:cs="宋体"/>
          <w:szCs w:val="21"/>
        </w:rPr>
      </w:pPr>
      <w:r>
        <w:rPr>
          <w:rFonts w:hint="eastAsia" w:ascii="宋体" w:hAnsi="宋体" w:cs="宋体"/>
          <w:szCs w:val="21"/>
        </w:rPr>
        <w:t>收益分配方式为现金分红。</w:t>
      </w:r>
    </w:p>
    <w:p w14:paraId="6C37F0D3">
      <w:pPr>
        <w:tabs>
          <w:tab w:val="left" w:pos="0"/>
        </w:tabs>
        <w:spacing w:line="360" w:lineRule="auto"/>
        <w:ind w:firstLine="420" w:firstLineChars="200"/>
        <w:outlineLvl w:val="2"/>
        <w:rPr>
          <w:rFonts w:ascii="宋体" w:hAnsi="宋体" w:cs="宋体"/>
          <w:szCs w:val="21"/>
        </w:rPr>
      </w:pPr>
      <w:r>
        <w:rPr>
          <w:rFonts w:ascii="宋体" w:hAnsi="宋体" w:cs="宋体"/>
          <w:szCs w:val="21"/>
        </w:rPr>
        <w:t>5.投资收益</w:t>
      </w:r>
      <w:r>
        <w:rPr>
          <w:rFonts w:hint="eastAsia" w:ascii="宋体" w:hAnsi="宋体" w:cs="宋体"/>
          <w:szCs w:val="21"/>
        </w:rPr>
        <w:t>分配</w:t>
      </w:r>
      <w:r>
        <w:rPr>
          <w:rFonts w:ascii="宋体" w:hAnsi="宋体" w:cs="宋体"/>
          <w:szCs w:val="21"/>
        </w:rPr>
        <w:t>计算示例</w:t>
      </w:r>
    </w:p>
    <w:p w14:paraId="53562193">
      <w:pPr>
        <w:tabs>
          <w:tab w:val="left" w:pos="420"/>
          <w:tab w:val="left" w:pos="720"/>
        </w:tabs>
        <w:spacing w:line="360" w:lineRule="auto"/>
        <w:ind w:firstLine="422" w:firstLineChars="200"/>
        <w:rPr>
          <w:rFonts w:ascii="宋体" w:hAnsi="宋体" w:cs="宋体"/>
          <w:snapToGrid w:val="0"/>
          <w:szCs w:val="21"/>
        </w:rPr>
      </w:pPr>
      <w:r>
        <w:rPr>
          <w:rFonts w:hint="eastAsia" w:ascii="宋体" w:hAnsi="宋体" w:cs="宋体"/>
          <w:b/>
          <w:bCs/>
          <w:snapToGrid w:val="0"/>
          <w:szCs w:val="21"/>
        </w:rPr>
        <w:t>以下示例均为假设情况，不代表本产品实际投资业绩</w:t>
      </w:r>
    </w:p>
    <w:p w14:paraId="6F866759">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w:t>
      </w:r>
      <w:r>
        <w:rPr>
          <w:rFonts w:ascii="宋体" w:hAnsi="宋体" w:cs="宋体"/>
          <w:snapToGrid w:val="0"/>
          <w:szCs w:val="21"/>
        </w:rPr>
        <w:t>1）情景一</w:t>
      </w:r>
    </w:p>
    <w:p w14:paraId="57860A35">
      <w:pPr>
        <w:spacing w:line="360" w:lineRule="auto"/>
        <w:ind w:firstLine="420" w:firstLineChars="200"/>
        <w:rPr>
          <w:rFonts w:ascii="宋体" w:hAnsi="宋体" w:cs="宋体"/>
          <w:bCs/>
          <w:kern w:val="0"/>
          <w:szCs w:val="21"/>
          <w:lang w:bidi="bn-IN"/>
        </w:rPr>
      </w:pPr>
      <w:r>
        <w:rPr>
          <w:rFonts w:ascii="宋体" w:hAnsi="宋体" w:cs="宋体"/>
          <w:bCs/>
          <w:kern w:val="0"/>
          <w:szCs w:val="21"/>
          <w:lang w:bidi="bn-IN"/>
        </w:rPr>
        <w:t>假定投资者初始投资100万元，产品份额净值为1，投资者认购份额为100万份，在登记日投资者持有份额为100万份，理财产品每单位份额分红金额0.047元，则投资收益按照如下方式计算：</w:t>
      </w:r>
    </w:p>
    <w:p w14:paraId="2A62F13C">
      <w:pPr>
        <w:tabs>
          <w:tab w:val="left" w:pos="420"/>
          <w:tab w:val="left" w:pos="720"/>
        </w:tabs>
        <w:spacing w:line="360" w:lineRule="auto"/>
        <w:ind w:firstLine="420" w:firstLineChars="200"/>
        <w:rPr>
          <w:rFonts w:ascii="宋体" w:hAnsi="宋体" w:cs="宋体"/>
          <w:bCs/>
          <w:kern w:val="0"/>
          <w:szCs w:val="21"/>
          <w:lang w:bidi="bn-IN"/>
        </w:rPr>
      </w:pPr>
      <w:r>
        <w:rPr>
          <w:rFonts w:ascii="宋体" w:hAnsi="宋体" w:cs="宋体"/>
          <w:bCs/>
          <w:kern w:val="0"/>
          <w:szCs w:val="21"/>
          <w:lang w:bidi="bn-IN"/>
        </w:rPr>
        <w:t>投资收益</w:t>
      </w:r>
      <w:r>
        <w:rPr>
          <w:rFonts w:hint="eastAsia" w:ascii="宋体" w:hAnsi="宋体" w:cs="宋体"/>
          <w:szCs w:val="21"/>
        </w:rPr>
        <w:t>分配</w:t>
      </w:r>
      <w:r>
        <w:rPr>
          <w:rFonts w:ascii="宋体" w:hAnsi="宋体" w:cs="宋体"/>
          <w:bCs/>
          <w:kern w:val="0"/>
          <w:szCs w:val="21"/>
          <w:lang w:bidi="bn-IN"/>
        </w:rPr>
        <w:t>金额=登记日投资者持有产品份额×理财产品每单位份额分红金额。即：投资收益</w:t>
      </w:r>
      <w:r>
        <w:rPr>
          <w:rFonts w:hint="eastAsia" w:ascii="宋体" w:hAnsi="宋体" w:cs="宋体"/>
          <w:szCs w:val="21"/>
        </w:rPr>
        <w:t>分配</w:t>
      </w:r>
      <w:r>
        <w:rPr>
          <w:rFonts w:ascii="宋体" w:hAnsi="宋体" w:cs="宋体"/>
          <w:bCs/>
          <w:kern w:val="0"/>
          <w:szCs w:val="21"/>
          <w:lang w:bidi="bn-IN"/>
        </w:rPr>
        <w:t>金额=100万份×0.047元=4.7万元。</w:t>
      </w:r>
    </w:p>
    <w:p w14:paraId="1F3FE511">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w:t>
      </w:r>
      <w:r>
        <w:rPr>
          <w:rFonts w:ascii="宋体" w:hAnsi="宋体" w:cs="宋体"/>
          <w:snapToGrid w:val="0"/>
          <w:szCs w:val="21"/>
        </w:rPr>
        <w:t>2</w:t>
      </w:r>
      <w:r>
        <w:rPr>
          <w:rFonts w:hint="eastAsia" w:ascii="宋体" w:hAnsi="宋体" w:cs="宋体"/>
          <w:snapToGrid w:val="0"/>
          <w:szCs w:val="21"/>
        </w:rPr>
        <w:t>）情景二</w:t>
      </w:r>
    </w:p>
    <w:p w14:paraId="24CC116A">
      <w:pPr>
        <w:tabs>
          <w:tab w:val="left" w:pos="420"/>
          <w:tab w:val="left" w:pos="720"/>
        </w:tabs>
        <w:spacing w:line="360" w:lineRule="auto"/>
        <w:ind w:firstLine="420" w:firstLineChars="200"/>
        <w:rPr>
          <w:rFonts w:ascii="宋体" w:hAnsi="宋体" w:cs="宋体"/>
          <w:bCs/>
          <w:kern w:val="0"/>
          <w:szCs w:val="21"/>
          <w:lang w:bidi="bn-IN"/>
        </w:rPr>
      </w:pPr>
      <w:r>
        <w:rPr>
          <w:rFonts w:ascii="宋体" w:hAnsi="宋体" w:cs="宋体"/>
          <w:bCs/>
          <w:kern w:val="0"/>
          <w:szCs w:val="21"/>
          <w:lang w:bidi="bn-IN"/>
        </w:rPr>
        <w:t>假定投资者初始投资100万元，产品份额净值为1，投资者认购份额为100万份，在登记日投资者持有份额为100万份，在收益分配基准日产品份额净值为0.96，则不进行收益分配。</w:t>
      </w:r>
    </w:p>
    <w:p w14:paraId="414ACF4A">
      <w:pPr>
        <w:tabs>
          <w:tab w:val="left" w:pos="420"/>
          <w:tab w:val="left" w:pos="720"/>
        </w:tabs>
        <w:spacing w:line="360" w:lineRule="auto"/>
        <w:ind w:firstLine="422" w:firstLineChars="200"/>
        <w:rPr>
          <w:rFonts w:ascii="宋体" w:hAnsi="宋体" w:cs="宋体"/>
          <w:b/>
          <w:bCs/>
          <w:snapToGrid w:val="0"/>
          <w:szCs w:val="21"/>
        </w:rPr>
      </w:pPr>
      <w:r>
        <w:rPr>
          <w:rFonts w:ascii="宋体" w:hAnsi="宋体" w:cs="宋体"/>
          <w:b/>
          <w:bCs/>
          <w:snapToGrid w:val="0"/>
          <w:szCs w:val="21"/>
        </w:rPr>
        <w:t>在最不利的情况下，投资者可能损失100%本金。</w:t>
      </w:r>
    </w:p>
    <w:p w14:paraId="6CAF0A35">
      <w:pPr>
        <w:tabs>
          <w:tab w:val="left" w:pos="420"/>
          <w:tab w:val="left" w:pos="720"/>
        </w:tabs>
        <w:spacing w:line="360" w:lineRule="auto"/>
        <w:ind w:firstLine="422" w:firstLineChars="200"/>
        <w:rPr>
          <w:rFonts w:ascii="宋体" w:hAnsi="宋体" w:cs="宋体"/>
          <w:b/>
          <w:bCs/>
          <w:snapToGrid w:val="0"/>
          <w:szCs w:val="21"/>
        </w:rPr>
      </w:pPr>
      <w:r>
        <w:rPr>
          <w:rFonts w:hint="eastAsia" w:ascii="宋体" w:hAnsi="宋体" w:cs="宋体"/>
          <w:b/>
          <w:bCs/>
          <w:snapToGrid w:val="0"/>
          <w:szCs w:val="21"/>
        </w:rPr>
        <w:t>上述情况假设仅用于向投资者示例收益计算方法之用，并</w:t>
      </w:r>
      <w:r>
        <w:rPr>
          <w:rFonts w:hint="eastAsia" w:ascii="宋体" w:hAnsi="宋体"/>
          <w:b/>
          <w:bCs/>
          <w:szCs w:val="21"/>
        </w:rPr>
        <w:t>非</w:t>
      </w:r>
      <w:r>
        <w:rPr>
          <w:rFonts w:hint="eastAsia" w:ascii="宋体" w:hAnsi="宋体" w:cs="宋体"/>
          <w:b/>
          <w:bCs/>
          <w:snapToGrid w:val="0"/>
          <w:szCs w:val="21"/>
        </w:rPr>
        <w:t>管理人对实际投资情况的预期判断，并不代表以上所有情形或某一情形一定会发生，或管理人认为发生的可能性很大。投资者获得的最终收益以产品实际运作表现管理人实际支付为准。</w:t>
      </w:r>
    </w:p>
    <w:p w14:paraId="7C29EE2D">
      <w:pPr>
        <w:tabs>
          <w:tab w:val="left" w:pos="420"/>
          <w:tab w:val="left" w:pos="720"/>
        </w:tabs>
        <w:spacing w:line="360" w:lineRule="auto"/>
        <w:ind w:firstLine="422" w:firstLineChars="200"/>
        <w:outlineLvl w:val="1"/>
        <w:rPr>
          <w:rFonts w:ascii="宋体" w:hAnsi="宋体" w:cs="宋体"/>
          <w:b/>
          <w:bCs/>
          <w:snapToGrid w:val="0"/>
          <w:szCs w:val="21"/>
        </w:rPr>
      </w:pPr>
      <w:r>
        <w:rPr>
          <w:rFonts w:hint="eastAsia" w:ascii="宋体" w:hAnsi="宋体" w:cs="宋体"/>
          <w:b/>
          <w:bCs/>
          <w:snapToGrid w:val="0"/>
          <w:szCs w:val="21"/>
        </w:rPr>
        <w:t>（五）产品提前终止</w:t>
      </w:r>
    </w:p>
    <w:p w14:paraId="283013DA">
      <w:pPr>
        <w:tabs>
          <w:tab w:val="left" w:pos="420"/>
          <w:tab w:val="left" w:pos="720"/>
        </w:tabs>
        <w:spacing w:line="360" w:lineRule="auto"/>
        <w:ind w:firstLine="422" w:firstLineChars="200"/>
        <w:outlineLvl w:val="2"/>
        <w:rPr>
          <w:rFonts w:ascii="宋体" w:hAnsi="宋体" w:cs="宋体"/>
          <w:b/>
          <w:bCs/>
          <w:snapToGrid w:val="0"/>
          <w:szCs w:val="21"/>
        </w:rPr>
      </w:pPr>
      <w:r>
        <w:rPr>
          <w:rFonts w:ascii="宋体" w:hAnsi="宋体" w:cs="宋体"/>
          <w:b/>
          <w:bCs/>
          <w:snapToGrid w:val="0"/>
          <w:szCs w:val="21"/>
        </w:rPr>
        <w:t>1.提前终止原因</w:t>
      </w:r>
    </w:p>
    <w:p w14:paraId="5E57DAB3">
      <w:pPr>
        <w:tabs>
          <w:tab w:val="left" w:pos="420"/>
          <w:tab w:val="left" w:pos="720"/>
        </w:tabs>
        <w:spacing w:line="360" w:lineRule="auto"/>
        <w:ind w:firstLine="422" w:firstLineChars="200"/>
        <w:rPr>
          <w:rFonts w:ascii="宋体" w:hAnsi="宋体" w:cs="宋体"/>
          <w:b/>
          <w:bCs/>
          <w:snapToGrid w:val="0"/>
          <w:szCs w:val="21"/>
        </w:rPr>
      </w:pPr>
      <w:r>
        <w:rPr>
          <w:rFonts w:hint="eastAsia" w:ascii="宋体" w:hAnsi="宋体" w:cs="宋体"/>
          <w:b/>
          <w:bCs/>
          <w:snapToGrid w:val="0"/>
          <w:szCs w:val="21"/>
        </w:rPr>
        <w:t>本产品存续期内如遇监管机构要求或法律法规规定需要终止产品，或自然灾害、疫情、严重传染病、金融市场危机、战争、国家政策变化等不可抗力因素及</w:t>
      </w:r>
      <w:r>
        <w:rPr>
          <w:rFonts w:ascii="宋体" w:hAnsi="宋体" w:cs="宋体"/>
          <w:b/>
          <w:bCs/>
          <w:snapToGrid w:val="0"/>
          <w:szCs w:val="21"/>
        </w:rPr>
        <w:t>/或意外事件导致本产品无法正常运作，或产品总份额连续90个交易所工作日低于</w:t>
      </w:r>
      <w:r>
        <w:rPr>
          <w:rFonts w:hint="eastAsia" w:ascii="宋体" w:hAnsi="宋体" w:cs="宋体"/>
          <w:b/>
          <w:bCs/>
          <w:snapToGrid w:val="0"/>
          <w:szCs w:val="21"/>
          <w:lang w:val="en-US" w:eastAsia="zh-CN"/>
        </w:rPr>
        <w:t>3000</w:t>
      </w:r>
      <w:r>
        <w:rPr>
          <w:rFonts w:hint="eastAsia" w:ascii="宋体" w:hAnsi="宋体" w:cs="宋体"/>
          <w:b/>
          <w:bCs/>
          <w:snapToGrid w:val="0"/>
          <w:szCs w:val="21"/>
        </w:rPr>
        <w:t>万</w:t>
      </w:r>
      <w:r>
        <w:rPr>
          <w:rFonts w:ascii="宋体" w:hAnsi="宋体" w:cs="宋体"/>
          <w:b/>
          <w:bCs/>
          <w:snapToGrid w:val="0"/>
          <w:szCs w:val="21"/>
        </w:rPr>
        <w:t>份，或产品资产净值连续90个交易所工作日低于人民币</w:t>
      </w:r>
      <w:r>
        <w:rPr>
          <w:rFonts w:hint="eastAsia" w:ascii="宋体" w:hAnsi="宋体" w:cs="宋体"/>
          <w:b/>
          <w:bCs/>
          <w:snapToGrid w:val="0"/>
          <w:szCs w:val="21"/>
          <w:lang w:val="en-US" w:eastAsia="zh-CN"/>
        </w:rPr>
        <w:t>3000</w:t>
      </w:r>
      <w:r>
        <w:rPr>
          <w:rFonts w:hint="eastAsia" w:ascii="宋体" w:hAnsi="宋体" w:cs="宋体"/>
          <w:b/>
          <w:bCs/>
          <w:snapToGrid w:val="0"/>
          <w:szCs w:val="21"/>
        </w:rPr>
        <w:t>万元</w:t>
      </w:r>
      <w:r>
        <w:rPr>
          <w:rFonts w:ascii="宋体" w:hAnsi="宋体" w:cs="宋体"/>
          <w:b/>
          <w:bCs/>
          <w:snapToGrid w:val="0"/>
          <w:szCs w:val="21"/>
        </w:rPr>
        <w:t>，产品管理人有权提前终止本产品。</w:t>
      </w:r>
    </w:p>
    <w:p w14:paraId="1705C828">
      <w:pPr>
        <w:tabs>
          <w:tab w:val="left" w:pos="420"/>
          <w:tab w:val="left" w:pos="720"/>
        </w:tabs>
        <w:spacing w:line="360" w:lineRule="auto"/>
        <w:ind w:firstLine="420" w:firstLineChars="200"/>
        <w:outlineLvl w:val="2"/>
        <w:rPr>
          <w:rFonts w:ascii="宋体" w:hAnsi="宋体" w:cs="宋体"/>
          <w:snapToGrid w:val="0"/>
          <w:szCs w:val="21"/>
        </w:rPr>
      </w:pPr>
      <w:r>
        <w:rPr>
          <w:rFonts w:ascii="宋体" w:hAnsi="宋体" w:cs="宋体"/>
          <w:snapToGrid w:val="0"/>
          <w:szCs w:val="21"/>
        </w:rPr>
        <w:t>2.提前终止公告</w:t>
      </w:r>
    </w:p>
    <w:p w14:paraId="6483202C">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如理财产品管理人提前终止本理财产品，将至少提前</w:t>
      </w:r>
      <w:r>
        <w:rPr>
          <w:rFonts w:ascii="宋体" w:hAnsi="宋体" w:cs="宋体"/>
          <w:snapToGrid w:val="0"/>
          <w:szCs w:val="21"/>
        </w:rPr>
        <w:t>2个工作日（含）通过相应信息披露渠道予以披露。提前终止日</w:t>
      </w:r>
      <w:r>
        <w:rPr>
          <w:rFonts w:hint="eastAsia" w:ascii="宋体" w:hAnsi="宋体" w:cs="宋体"/>
          <w:snapToGrid w:val="0"/>
          <w:szCs w:val="21"/>
        </w:rPr>
        <w:t>后</w:t>
      </w:r>
      <w:r>
        <w:rPr>
          <w:rFonts w:ascii="宋体" w:hAnsi="宋体" w:cs="宋体"/>
          <w:snapToGrid w:val="0"/>
          <w:szCs w:val="21"/>
        </w:rPr>
        <w:t>至资金实际到账日期间不计息。</w:t>
      </w:r>
    </w:p>
    <w:p w14:paraId="77F7F6CE">
      <w:pPr>
        <w:pStyle w:val="8"/>
        <w:widowControl/>
        <w:spacing w:before="0" w:beforeAutospacing="0" w:after="0" w:afterAutospacing="0" w:line="360" w:lineRule="auto"/>
        <w:ind w:firstLine="397"/>
        <w:jc w:val="both"/>
        <w:outlineLvl w:val="1"/>
        <w:rPr>
          <w:rFonts w:ascii="宋体" w:hAnsi="宋体" w:cs="宋体"/>
          <w:b/>
          <w:bCs/>
          <w:snapToGrid w:val="0"/>
          <w:kern w:val="2"/>
          <w:sz w:val="21"/>
          <w:szCs w:val="21"/>
        </w:rPr>
      </w:pPr>
      <w:bookmarkStart w:id="12" w:name="OLE_LINK38"/>
      <w:r>
        <w:rPr>
          <w:rFonts w:hint="eastAsia" w:ascii="宋体" w:hAnsi="宋体" w:cs="宋体"/>
          <w:b/>
          <w:bCs/>
          <w:snapToGrid w:val="0"/>
          <w:kern w:val="2"/>
          <w:sz w:val="21"/>
          <w:szCs w:val="21"/>
        </w:rPr>
        <w:t>（六）产品终止清算</w:t>
      </w:r>
    </w:p>
    <w:p w14:paraId="614056BE">
      <w:pPr>
        <w:tabs>
          <w:tab w:val="left" w:pos="420"/>
          <w:tab w:val="left" w:pos="720"/>
        </w:tabs>
        <w:spacing w:line="360" w:lineRule="auto"/>
        <w:ind w:firstLine="420" w:firstLineChars="200"/>
        <w:rPr>
          <w:rFonts w:ascii="宋体" w:hAnsi="宋体" w:cs="宋体"/>
          <w:snapToGrid w:val="0"/>
          <w:szCs w:val="21"/>
        </w:rPr>
      </w:pPr>
      <w:r>
        <w:rPr>
          <w:rFonts w:ascii="宋体" w:hAnsi="宋体" w:cs="宋体"/>
          <w:snapToGrid w:val="0"/>
          <w:szCs w:val="21"/>
        </w:rPr>
        <w:t>1.自本理财产品终止日</w:t>
      </w:r>
      <w:r>
        <w:rPr>
          <w:rFonts w:hint="eastAsia" w:ascii="宋体" w:hAnsi="宋体" w:cs="宋体"/>
          <w:snapToGrid w:val="0"/>
          <w:szCs w:val="21"/>
        </w:rPr>
        <w:t>后</w:t>
      </w:r>
      <w:r>
        <w:rPr>
          <w:rFonts w:ascii="宋体" w:hAnsi="宋体" w:cs="宋体"/>
          <w:snapToGrid w:val="0"/>
          <w:szCs w:val="21"/>
        </w:rPr>
        <w:t>至投资者理财本金及收益到账日之间为本理财产品的清算期。清算期不计算利息或投资收益。清算期原则上不得超过5个工作日，清算期超过5个工作日的将及时进行公告。产品终止后，</w:t>
      </w:r>
      <w:r>
        <w:rPr>
          <w:rFonts w:hint="eastAsia" w:ascii="宋体" w:hAnsi="宋体"/>
          <w:szCs w:val="21"/>
        </w:rPr>
        <w:t>管理人将对终止日各类产品份额期末可分配资金，按投资者持有的该类产品份额比例进行分配</w:t>
      </w:r>
      <w:r>
        <w:rPr>
          <w:rFonts w:hint="eastAsia" w:ascii="宋体" w:hAnsi="宋体" w:cs="宋体"/>
          <w:snapToGrid w:val="0"/>
          <w:szCs w:val="21"/>
        </w:rPr>
        <w:t>。</w:t>
      </w:r>
    </w:p>
    <w:p w14:paraId="1B4269DE">
      <w:pPr>
        <w:tabs>
          <w:tab w:val="left" w:pos="420"/>
          <w:tab w:val="left" w:pos="720"/>
        </w:tabs>
        <w:spacing w:line="360" w:lineRule="auto"/>
        <w:ind w:firstLine="422" w:firstLineChars="200"/>
        <w:rPr>
          <w:rFonts w:ascii="宋体" w:hAnsi="宋体" w:cs="宋体"/>
          <w:b/>
          <w:bCs/>
          <w:snapToGrid w:val="0"/>
          <w:szCs w:val="21"/>
        </w:rPr>
      </w:pPr>
      <w:r>
        <w:rPr>
          <w:rFonts w:hint="eastAsia" w:ascii="宋体" w:hAnsi="宋体" w:cs="宋体"/>
          <w:b/>
          <w:bCs/>
          <w:snapToGrid w:val="0"/>
          <w:szCs w:val="21"/>
        </w:rPr>
        <w:t>投资者最后分配金额</w:t>
      </w:r>
      <w:r>
        <w:rPr>
          <w:rFonts w:ascii="宋体" w:hAnsi="宋体" w:cs="宋体"/>
          <w:b/>
          <w:bCs/>
          <w:snapToGrid w:val="0"/>
          <w:szCs w:val="21"/>
        </w:rPr>
        <w:t>=投资者持有</w:t>
      </w:r>
      <w:r>
        <w:rPr>
          <w:rFonts w:hint="eastAsia" w:ascii="宋体" w:hAnsi="宋体" w:cs="宋体"/>
          <w:b/>
          <w:bCs/>
          <w:szCs w:val="21"/>
        </w:rPr>
        <w:t>该类</w:t>
      </w:r>
      <w:r>
        <w:rPr>
          <w:rFonts w:hint="eastAsia" w:ascii="宋体" w:hAnsi="宋体" w:cs="宋体"/>
          <w:b/>
          <w:bCs/>
          <w:snapToGrid w:val="0"/>
          <w:szCs w:val="21"/>
        </w:rPr>
        <w:t>份额比例×产品存续期末</w:t>
      </w:r>
      <w:r>
        <w:rPr>
          <w:rFonts w:hint="eastAsia" w:ascii="宋体" w:hAnsi="宋体" w:cs="宋体"/>
          <w:b/>
          <w:bCs/>
          <w:szCs w:val="21"/>
        </w:rPr>
        <w:t>该类份额</w:t>
      </w:r>
      <w:r>
        <w:rPr>
          <w:rFonts w:hint="eastAsia" w:ascii="宋体" w:hAnsi="宋体" w:cs="宋体"/>
          <w:b/>
          <w:bCs/>
          <w:snapToGrid w:val="0"/>
          <w:szCs w:val="21"/>
        </w:rPr>
        <w:t>可分配资金</w:t>
      </w:r>
      <w:r>
        <w:rPr>
          <w:rFonts w:ascii="宋体" w:hAnsi="宋体" w:cs="宋体"/>
          <w:b/>
          <w:bCs/>
          <w:snapToGrid w:val="0"/>
          <w:szCs w:val="21"/>
        </w:rPr>
        <w:t>。</w:t>
      </w:r>
    </w:p>
    <w:p w14:paraId="4CB1261B">
      <w:pPr>
        <w:tabs>
          <w:tab w:val="left" w:pos="420"/>
          <w:tab w:val="left" w:pos="720"/>
        </w:tabs>
        <w:spacing w:line="360" w:lineRule="auto"/>
        <w:ind w:firstLine="422" w:firstLineChars="200"/>
        <w:rPr>
          <w:rFonts w:ascii="宋体" w:hAnsi="宋体" w:cs="宋体"/>
          <w:b/>
          <w:bCs/>
          <w:snapToGrid w:val="0"/>
          <w:szCs w:val="21"/>
        </w:rPr>
      </w:pPr>
      <w:r>
        <w:rPr>
          <w:rFonts w:hint="eastAsia" w:ascii="宋体" w:hAnsi="宋体" w:cs="宋体"/>
          <w:b/>
          <w:bCs/>
          <w:snapToGrid w:val="0"/>
          <w:szCs w:val="21"/>
        </w:rPr>
        <w:t>投资者持有</w:t>
      </w:r>
      <w:r>
        <w:rPr>
          <w:rFonts w:hint="eastAsia" w:ascii="宋体" w:hAnsi="宋体" w:cs="宋体"/>
          <w:b/>
          <w:bCs/>
          <w:szCs w:val="21"/>
        </w:rPr>
        <w:t>该类</w:t>
      </w:r>
      <w:r>
        <w:rPr>
          <w:rFonts w:hint="eastAsia" w:ascii="宋体" w:hAnsi="宋体" w:cs="宋体"/>
          <w:b/>
          <w:bCs/>
          <w:snapToGrid w:val="0"/>
          <w:szCs w:val="21"/>
        </w:rPr>
        <w:t>份额比例</w:t>
      </w:r>
      <w:r>
        <w:rPr>
          <w:rFonts w:ascii="宋体" w:hAnsi="宋体" w:cs="宋体"/>
          <w:b/>
          <w:bCs/>
          <w:snapToGrid w:val="0"/>
          <w:szCs w:val="21"/>
        </w:rPr>
        <w:t>=投资者持有</w:t>
      </w:r>
      <w:r>
        <w:rPr>
          <w:rFonts w:hint="eastAsia" w:ascii="宋体" w:hAnsi="宋体" w:cs="宋体"/>
          <w:b/>
          <w:bCs/>
          <w:szCs w:val="21"/>
        </w:rPr>
        <w:t>该类</w:t>
      </w:r>
      <w:r>
        <w:rPr>
          <w:rFonts w:hint="eastAsia" w:ascii="宋体" w:hAnsi="宋体" w:cs="宋体"/>
          <w:b/>
          <w:bCs/>
          <w:snapToGrid w:val="0"/>
          <w:szCs w:val="21"/>
        </w:rPr>
        <w:t>份额÷产品</w:t>
      </w:r>
      <w:r>
        <w:rPr>
          <w:rFonts w:hint="eastAsia" w:ascii="宋体" w:hAnsi="宋体" w:cs="宋体"/>
          <w:b/>
          <w:bCs/>
          <w:szCs w:val="21"/>
        </w:rPr>
        <w:t>该类份额</w:t>
      </w:r>
      <w:r>
        <w:rPr>
          <w:rFonts w:hint="eastAsia" w:ascii="宋体" w:hAnsi="宋体" w:cs="宋体"/>
          <w:b/>
          <w:bCs/>
          <w:snapToGrid w:val="0"/>
          <w:szCs w:val="21"/>
        </w:rPr>
        <w:t>总份额。</w:t>
      </w:r>
    </w:p>
    <w:p w14:paraId="221ECEFF">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2.出现以下情况，产品管理人有权延长本理财产品的资金到账日：</w:t>
      </w:r>
    </w:p>
    <w:p w14:paraId="33CCFBCA">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（1）因市场成交量不足、资产限制赎回、暂停交易、缺乏意愿交易对手等原因，导致产品项下对应的投资标的无法及时变现；</w:t>
      </w:r>
    </w:p>
    <w:p w14:paraId="4D26F473">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（2）所投资产发生风险；</w:t>
      </w:r>
    </w:p>
    <w:p w14:paraId="28BA0ADF">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（3）因不可抗力等原因，导致产品管理人接受赎回申请后无法兑付；</w:t>
      </w:r>
    </w:p>
    <w:p w14:paraId="5793366E">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（4）其他产品管理人认为需要延期兑付的情形。</w:t>
      </w:r>
    </w:p>
    <w:p w14:paraId="6E92CE09">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产品管理人确定延长本理财产品资金到账日的，应依据约定进行公告。</w:t>
      </w:r>
    </w:p>
    <w:p w14:paraId="1B5BAFA5">
      <w:pPr>
        <w:tabs>
          <w:tab w:val="left" w:pos="420"/>
          <w:tab w:val="left" w:pos="720"/>
        </w:tabs>
        <w:spacing w:line="360" w:lineRule="auto"/>
        <w:ind w:firstLine="420" w:firstLineChars="200"/>
        <w:rPr>
          <w:rFonts w:ascii="宋体" w:hAnsi="宋体" w:cs="宋体"/>
          <w:snapToGrid w:val="0"/>
          <w:szCs w:val="21"/>
        </w:rPr>
      </w:pPr>
      <w:r>
        <w:rPr>
          <w:rFonts w:hint="eastAsia" w:ascii="宋体" w:hAnsi="宋体" w:cs="宋体"/>
          <w:snapToGrid w:val="0"/>
          <w:szCs w:val="21"/>
        </w:rPr>
        <w:t>3</w:t>
      </w:r>
      <w:r>
        <w:rPr>
          <w:rFonts w:ascii="宋体" w:hAnsi="宋体" w:cs="宋体"/>
          <w:snapToGrid w:val="0"/>
          <w:szCs w:val="21"/>
        </w:rPr>
        <w:t>.由于产品资产延迟变现等原因，本产品存在需要进行二次或多次清算的可能。如产品管理人拟进行二次或多次清算的，应向投资者进行披露。在进行二次或多次清算的变现过程中，变现的资金以现金保存，不得再进行投资。</w:t>
      </w:r>
    </w:p>
    <w:bookmarkEnd w:id="12"/>
    <w:p w14:paraId="16C346F9">
      <w:pPr>
        <w:tabs>
          <w:tab w:val="left" w:pos="420"/>
          <w:tab w:val="left" w:pos="720"/>
        </w:tabs>
        <w:spacing w:line="360" w:lineRule="auto"/>
        <w:ind w:firstLine="440" w:firstLineChars="200"/>
        <w:jc w:val="left"/>
        <w:rPr>
          <w:rFonts w:ascii="宋体" w:hAnsi="宋体" w:cs="宋体"/>
          <w:snapToGrid w:val="0"/>
          <w:sz w:val="22"/>
        </w:rPr>
      </w:pPr>
    </w:p>
    <w:p w14:paraId="0A02F6BF">
      <w:pPr>
        <w:spacing w:line="360" w:lineRule="auto"/>
        <w:jc w:val="center"/>
        <w:outlineLvl w:val="0"/>
        <w:rPr>
          <w:rFonts w:ascii="宋体" w:hAnsi="宋体" w:cs="宋体"/>
          <w:b/>
          <w:bCs/>
          <w:sz w:val="28"/>
          <w:szCs w:val="28"/>
        </w:rPr>
      </w:pPr>
      <w:r>
        <w:rPr>
          <w:rFonts w:hint="eastAsia" w:ascii="宋体" w:hAnsi="宋体" w:cs="宋体"/>
          <w:b/>
          <w:bCs/>
          <w:sz w:val="28"/>
          <w:szCs w:val="28"/>
        </w:rPr>
        <w:t>七、产品费用及税收</w:t>
      </w:r>
    </w:p>
    <w:p w14:paraId="6B33FCD2">
      <w:pPr>
        <w:pStyle w:val="8"/>
        <w:widowControl/>
        <w:spacing w:before="0" w:beforeAutospacing="0" w:after="0" w:afterAutospacing="0" w:line="360" w:lineRule="auto"/>
        <w:ind w:firstLine="422" w:firstLineChars="200"/>
        <w:jc w:val="both"/>
        <w:outlineLvl w:val="1"/>
        <w:rPr>
          <w:rFonts w:ascii="宋体" w:hAnsi="宋体" w:cs="宋体"/>
          <w:b/>
          <w:bCs/>
          <w:snapToGrid w:val="0"/>
          <w:sz w:val="21"/>
          <w:szCs w:val="21"/>
        </w:rPr>
      </w:pPr>
      <w:r>
        <w:rPr>
          <w:rFonts w:hint="eastAsia" w:ascii="宋体" w:hAnsi="宋体" w:cs="宋体"/>
          <w:b/>
          <w:bCs/>
          <w:snapToGrid w:val="0"/>
          <w:kern w:val="2"/>
          <w:sz w:val="21"/>
          <w:szCs w:val="21"/>
        </w:rPr>
        <w:t>（一）费用种类</w:t>
      </w:r>
    </w:p>
    <w:p w14:paraId="6609CC6D">
      <w:pPr>
        <w:spacing w:line="360" w:lineRule="auto"/>
        <w:ind w:firstLine="422" w:firstLineChars="200"/>
        <w:rPr>
          <w:rFonts w:ascii="宋体" w:hAnsi="宋体" w:cs="宋体"/>
          <w:b/>
          <w:bCs/>
          <w:szCs w:val="21"/>
        </w:rPr>
      </w:pPr>
      <w:r>
        <w:rPr>
          <w:rFonts w:hint="eastAsia" w:ascii="宋体" w:hAnsi="宋体" w:cs="宋体"/>
          <w:b/>
          <w:bCs/>
          <w:szCs w:val="21"/>
        </w:rPr>
        <w:t>本产品费用包括管理费、托管费、销售服务费、认</w:t>
      </w:r>
      <w:r>
        <w:rPr>
          <w:rFonts w:ascii="宋体" w:hAnsi="宋体" w:cs="宋体"/>
          <w:b/>
          <w:bCs/>
          <w:szCs w:val="21"/>
        </w:rPr>
        <w:t>/申购费以及产品运作和清算中产生的其他费用等。</w:t>
      </w:r>
    </w:p>
    <w:p w14:paraId="41EEE143">
      <w:pPr>
        <w:spacing w:line="360" w:lineRule="auto"/>
        <w:ind w:left="444"/>
        <w:outlineLvl w:val="1"/>
        <w:rPr>
          <w:rFonts w:ascii="宋体" w:hAnsi="宋体" w:cs="宋体"/>
          <w:b/>
          <w:bCs/>
          <w:szCs w:val="21"/>
        </w:rPr>
      </w:pPr>
      <w:r>
        <w:rPr>
          <w:rFonts w:hint="eastAsia" w:ascii="宋体" w:hAnsi="宋体" w:cs="宋体"/>
          <w:b/>
          <w:bCs/>
          <w:szCs w:val="21"/>
        </w:rPr>
        <w:t>（二）计提方法、计提标准和支付方式</w:t>
      </w:r>
    </w:p>
    <w:p w14:paraId="177CCE1B">
      <w:pPr>
        <w:spacing w:line="360" w:lineRule="auto"/>
        <w:ind w:firstLine="422" w:firstLineChars="200"/>
        <w:rPr>
          <w:rFonts w:ascii="宋体" w:hAnsi="宋体" w:cs="宋体"/>
          <w:b/>
          <w:bCs/>
          <w:szCs w:val="21"/>
        </w:rPr>
      </w:pPr>
      <w:r>
        <w:rPr>
          <w:rFonts w:ascii="宋体" w:hAnsi="宋体" w:cs="宋体"/>
          <w:b/>
          <w:bCs/>
          <w:szCs w:val="21"/>
        </w:rPr>
        <w:t>1.管理费：</w:t>
      </w:r>
      <w:r>
        <w:rPr>
          <w:rFonts w:hint="eastAsia" w:ascii="宋体" w:hAnsi="宋体" w:cs="宋体"/>
          <w:b/>
          <w:bCs/>
          <w:szCs w:val="21"/>
        </w:rPr>
        <w:t>本产品的管理费每日计提，按季支付。管理费按前一日产品资产净值的</w:t>
      </w:r>
      <w:r>
        <w:rPr>
          <w:rFonts w:hint="eastAsia" w:ascii="宋体" w:hAnsi="宋体" w:cs="宋体"/>
          <w:b/>
          <w:bCs/>
          <w:szCs w:val="21"/>
          <w:lang w:val="en-US" w:eastAsia="zh-CN"/>
        </w:rPr>
        <w:t>0.30</w:t>
      </w:r>
      <w:r>
        <w:rPr>
          <w:rFonts w:ascii="宋体" w:hAnsi="宋体" w:cs="宋体"/>
          <w:b/>
          <w:bCs/>
          <w:szCs w:val="21"/>
        </w:rPr>
        <w:t>%年费率计算，由产品管理人收取。计算方法如下：H＝E×管理费率÷365；H为每日应计提的</w:t>
      </w:r>
      <w:r>
        <w:rPr>
          <w:rFonts w:hint="eastAsia" w:ascii="宋体" w:hAnsi="宋体" w:cs="宋体"/>
          <w:b/>
          <w:bCs/>
          <w:szCs w:val="21"/>
        </w:rPr>
        <w:t>管理费；</w:t>
      </w:r>
      <w:r>
        <w:rPr>
          <w:rFonts w:ascii="宋体" w:hAnsi="宋体" w:cs="宋体"/>
          <w:b/>
          <w:bCs/>
          <w:szCs w:val="21"/>
        </w:rPr>
        <w:t>E为前一日的产品资产净值。</w:t>
      </w:r>
    </w:p>
    <w:p w14:paraId="02611CFC">
      <w:pPr>
        <w:spacing w:line="360" w:lineRule="auto"/>
        <w:ind w:firstLine="422" w:firstLineChars="200"/>
        <w:rPr>
          <w:rFonts w:ascii="宋体" w:hAnsi="宋体" w:cs="宋体"/>
          <w:b/>
          <w:bCs/>
          <w:szCs w:val="21"/>
        </w:rPr>
      </w:pPr>
      <w:r>
        <w:rPr>
          <w:rFonts w:hint="eastAsia" w:ascii="宋体" w:hAnsi="宋体" w:cs="宋体"/>
          <w:b/>
          <w:bCs/>
          <w:szCs w:val="21"/>
        </w:rPr>
        <w:t>2</w:t>
      </w:r>
      <w:r>
        <w:rPr>
          <w:rFonts w:ascii="宋体" w:hAnsi="宋体" w:cs="宋体"/>
          <w:b/>
          <w:bCs/>
          <w:szCs w:val="21"/>
        </w:rPr>
        <w:t>.托管费：</w:t>
      </w:r>
      <w:r>
        <w:rPr>
          <w:rFonts w:hint="eastAsia" w:ascii="宋体" w:hAnsi="宋体" w:cs="宋体"/>
          <w:b/>
          <w:bCs/>
          <w:szCs w:val="21"/>
        </w:rPr>
        <w:t>本产品的托管费每日计提，按季支付。托管费按前一日产品资产净值的</w:t>
      </w:r>
      <w:r>
        <w:rPr>
          <w:rFonts w:hint="eastAsia" w:ascii="宋体" w:hAnsi="宋体" w:cs="宋体"/>
          <w:b/>
          <w:bCs/>
          <w:szCs w:val="21"/>
          <w:lang w:val="en-US" w:eastAsia="zh-CN"/>
        </w:rPr>
        <w:t>0.02</w:t>
      </w:r>
      <w:r>
        <w:rPr>
          <w:rFonts w:hint="eastAsia" w:ascii="宋体" w:hAnsi="宋体" w:cs="宋体"/>
          <w:b/>
          <w:bCs/>
          <w:szCs w:val="21"/>
        </w:rPr>
        <w:t>%</w:t>
      </w:r>
      <w:r>
        <w:rPr>
          <w:rFonts w:ascii="宋体" w:hAnsi="宋体" w:cs="宋体"/>
          <w:b/>
          <w:bCs/>
          <w:szCs w:val="21"/>
        </w:rPr>
        <w:t>年费率计算，由托管行收取。计算方法如下：H＝E×托管费率÷365；H为每日应计提的产品资产托管费；E为前一日的产品资产净值</w:t>
      </w:r>
      <w:r>
        <w:rPr>
          <w:rFonts w:hint="eastAsia" w:ascii="宋体" w:hAnsi="宋体" w:cs="宋体"/>
          <w:b/>
          <w:bCs/>
          <w:szCs w:val="21"/>
        </w:rPr>
        <w:t>。</w:t>
      </w:r>
    </w:p>
    <w:p w14:paraId="34787D59">
      <w:pPr>
        <w:spacing w:line="360" w:lineRule="auto"/>
        <w:ind w:firstLine="422" w:firstLineChars="200"/>
        <w:rPr>
          <w:rFonts w:hint="eastAsia" w:ascii="宋体" w:hAnsi="宋体" w:eastAsia="宋体" w:cs="宋体"/>
          <w:b/>
          <w:bCs/>
          <w:szCs w:val="21"/>
          <w:lang w:val="en-US" w:eastAsia="zh-CN"/>
        </w:rPr>
      </w:pPr>
      <w:r>
        <w:rPr>
          <w:rFonts w:hint="eastAsia" w:ascii="宋体" w:hAnsi="宋体" w:cs="宋体"/>
          <w:b/>
          <w:bCs/>
          <w:szCs w:val="21"/>
        </w:rPr>
        <w:t>3</w:t>
      </w:r>
      <w:r>
        <w:rPr>
          <w:rFonts w:ascii="宋体" w:hAnsi="宋体" w:cs="宋体"/>
          <w:b/>
          <w:bCs/>
          <w:szCs w:val="21"/>
        </w:rPr>
        <w:t>.认/申购费：</w:t>
      </w:r>
      <w:bookmarkStart w:id="13" w:name="OLE_LINK11"/>
      <w:bookmarkStart w:id="14" w:name="OLE_LINK36"/>
      <w:r>
        <w:rPr>
          <w:rFonts w:hint="eastAsia" w:ascii="宋体" w:hAnsi="宋体" w:cs="宋体"/>
          <w:b/>
          <w:bCs/>
          <w:szCs w:val="21"/>
        </w:rPr>
        <w:t>本产品免认</w:t>
      </w:r>
      <w:r>
        <w:rPr>
          <w:rFonts w:ascii="宋体" w:hAnsi="宋体" w:cs="宋体"/>
          <w:b/>
          <w:bCs/>
          <w:szCs w:val="21"/>
        </w:rPr>
        <w:t>/申购费</w:t>
      </w:r>
      <w:bookmarkEnd w:id="13"/>
      <w:r>
        <w:rPr>
          <w:rFonts w:hint="eastAsia" w:ascii="宋体" w:hAnsi="宋体" w:cs="宋体"/>
          <w:b/>
          <w:bCs/>
          <w:szCs w:val="21"/>
        </w:rPr>
        <w:t>。</w:t>
      </w:r>
      <w:bookmarkEnd w:id="14"/>
    </w:p>
    <w:p w14:paraId="6AA70124">
      <w:pPr>
        <w:spacing w:line="360" w:lineRule="auto"/>
        <w:ind w:firstLine="422" w:firstLineChars="200"/>
        <w:rPr>
          <w:rFonts w:ascii="宋体" w:hAnsi="宋体" w:cs="宋体"/>
          <w:b/>
          <w:bCs/>
          <w:szCs w:val="21"/>
        </w:rPr>
      </w:pPr>
      <w:r>
        <w:rPr>
          <w:rFonts w:hint="eastAsia" w:ascii="宋体" w:hAnsi="宋体" w:cs="宋体"/>
          <w:b/>
          <w:bCs/>
          <w:szCs w:val="21"/>
        </w:rPr>
        <w:t>4</w:t>
      </w:r>
      <w:r>
        <w:rPr>
          <w:rFonts w:ascii="宋体" w:hAnsi="宋体" w:cs="宋体"/>
          <w:b/>
          <w:bCs/>
          <w:szCs w:val="21"/>
        </w:rPr>
        <w:t>.赎回费：</w:t>
      </w:r>
      <w:r>
        <w:rPr>
          <w:rFonts w:hint="eastAsia" w:ascii="宋体" w:hAnsi="宋体" w:cs="宋体"/>
          <w:b/>
          <w:bCs/>
          <w:szCs w:val="21"/>
        </w:rPr>
        <w:t>本产品免赎回费。</w:t>
      </w:r>
    </w:p>
    <w:p w14:paraId="57CD216A">
      <w:pPr>
        <w:spacing w:line="360" w:lineRule="auto"/>
        <w:ind w:firstLine="422" w:firstLineChars="200"/>
        <w:rPr>
          <w:rFonts w:ascii="宋体" w:hAnsi="宋体" w:cs="宋体"/>
          <w:b/>
          <w:bCs/>
          <w:szCs w:val="21"/>
        </w:rPr>
      </w:pPr>
      <w:r>
        <w:rPr>
          <w:rFonts w:hint="eastAsia" w:ascii="宋体" w:hAnsi="宋体" w:cs="宋体"/>
          <w:b/>
          <w:bCs/>
          <w:szCs w:val="21"/>
        </w:rPr>
        <w:t>5</w:t>
      </w:r>
      <w:r>
        <w:rPr>
          <w:rFonts w:ascii="宋体" w:hAnsi="宋体" w:cs="宋体"/>
          <w:b/>
          <w:bCs/>
          <w:szCs w:val="21"/>
        </w:rPr>
        <w:t>.销售服务费：</w:t>
      </w:r>
      <w:r>
        <w:rPr>
          <w:rFonts w:hint="eastAsia" w:ascii="宋体" w:hAnsi="宋体" w:cs="宋体"/>
          <w:b/>
          <w:bCs/>
          <w:szCs w:val="21"/>
        </w:rPr>
        <w:t>本产品的销售服务费每日计提，按季支付，由销售服务机构收取。</w:t>
      </w:r>
    </w:p>
    <w:p w14:paraId="47E1B262">
      <w:pPr>
        <w:spacing w:line="360" w:lineRule="auto"/>
        <w:ind w:firstLine="422" w:firstLineChars="200"/>
        <w:rPr>
          <w:rFonts w:ascii="宋体" w:hAnsi="宋体" w:cs="宋体"/>
          <w:b/>
          <w:bCs/>
          <w:szCs w:val="21"/>
        </w:rPr>
      </w:pPr>
      <w:r>
        <w:rPr>
          <w:rFonts w:hint="eastAsia" w:ascii="宋体" w:hAnsi="宋体" w:cs="宋体"/>
          <w:b/>
          <w:bCs/>
          <w:szCs w:val="21"/>
          <w:lang w:val="en-US" w:eastAsia="zh-CN"/>
        </w:rPr>
        <w:t>D</w:t>
      </w:r>
      <w:r>
        <w:rPr>
          <w:rFonts w:hint="eastAsia" w:ascii="宋体" w:hAnsi="宋体" w:cs="宋体"/>
          <w:b/>
          <w:bCs/>
          <w:szCs w:val="21"/>
        </w:rPr>
        <w:t>类份额销售服务费年费率为</w:t>
      </w:r>
      <w:r>
        <w:rPr>
          <w:rFonts w:hint="eastAsia" w:ascii="宋体" w:hAnsi="宋体" w:cs="宋体"/>
          <w:b/>
          <w:bCs/>
          <w:szCs w:val="21"/>
          <w:lang w:val="en-US" w:eastAsia="zh-CN"/>
        </w:rPr>
        <w:t>0.40</w:t>
      </w:r>
      <w:r>
        <w:rPr>
          <w:rFonts w:hint="eastAsia" w:ascii="宋体" w:hAnsi="宋体" w:cs="宋体"/>
          <w:b/>
          <w:bCs/>
          <w:szCs w:val="21"/>
        </w:rPr>
        <w:t>%</w:t>
      </w:r>
      <w:r>
        <w:rPr>
          <w:rFonts w:hint="eastAsia" w:ascii="宋体" w:hAnsi="宋体" w:cs="宋体"/>
          <w:b/>
          <w:bCs/>
          <w:szCs w:val="21"/>
          <w:lang w:eastAsia="zh-CN"/>
        </w:rPr>
        <w:t>，</w:t>
      </w:r>
      <w:r>
        <w:rPr>
          <w:rFonts w:hint="eastAsia" w:ascii="宋体" w:hAnsi="宋体" w:cs="宋体"/>
          <w:b/>
          <w:bCs/>
          <w:szCs w:val="21"/>
          <w:lang w:val="en-US" w:eastAsia="zh-CN"/>
        </w:rPr>
        <w:t>I类</w:t>
      </w:r>
      <w:r>
        <w:rPr>
          <w:rFonts w:hint="eastAsia" w:ascii="宋体" w:hAnsi="宋体" w:cs="宋体"/>
          <w:b/>
          <w:bCs/>
          <w:szCs w:val="21"/>
        </w:rPr>
        <w:t>份额销售服务费年费率为</w:t>
      </w:r>
      <w:r>
        <w:rPr>
          <w:rFonts w:hint="eastAsia" w:ascii="宋体" w:hAnsi="宋体" w:cs="宋体"/>
          <w:b/>
          <w:bCs/>
          <w:szCs w:val="21"/>
          <w:lang w:val="en-US" w:eastAsia="zh-CN"/>
        </w:rPr>
        <w:t>0.35</w:t>
      </w:r>
      <w:r>
        <w:rPr>
          <w:rFonts w:hint="eastAsia" w:ascii="宋体" w:hAnsi="宋体" w:cs="宋体"/>
          <w:b/>
          <w:bCs/>
          <w:szCs w:val="21"/>
        </w:rPr>
        <w:t>%</w:t>
      </w:r>
      <w:r>
        <w:rPr>
          <w:rFonts w:hint="eastAsia" w:ascii="宋体" w:hAnsi="宋体" w:cs="宋体"/>
          <w:b/>
          <w:bCs/>
          <w:szCs w:val="21"/>
          <w:lang w:eastAsia="zh-CN"/>
        </w:rPr>
        <w:t>。</w:t>
      </w:r>
      <w:r>
        <w:rPr>
          <w:rFonts w:ascii="宋体" w:hAnsi="宋体" w:cs="宋体"/>
          <w:b/>
          <w:bCs/>
          <w:szCs w:val="21"/>
        </w:rPr>
        <w:t>各类产品份额的销售服务费按前</w:t>
      </w:r>
      <w:r>
        <w:rPr>
          <w:rFonts w:hint="eastAsia" w:ascii="宋体" w:hAnsi="宋体" w:cs="宋体"/>
          <w:b/>
          <w:bCs/>
          <w:szCs w:val="21"/>
        </w:rPr>
        <w:t>一日该类产品份额资产净值对应的销售服务费率计算。</w:t>
      </w:r>
    </w:p>
    <w:p w14:paraId="388B3EE8">
      <w:pPr>
        <w:spacing w:line="360" w:lineRule="auto"/>
        <w:ind w:firstLine="422" w:firstLineChars="200"/>
        <w:rPr>
          <w:rFonts w:ascii="宋体" w:hAnsi="宋体" w:cs="宋体"/>
          <w:b/>
          <w:bCs/>
          <w:szCs w:val="21"/>
        </w:rPr>
      </w:pPr>
      <w:r>
        <w:rPr>
          <w:rFonts w:hint="eastAsia" w:ascii="宋体" w:hAnsi="宋体" w:cs="宋体"/>
          <w:b/>
          <w:bCs/>
          <w:szCs w:val="21"/>
        </w:rPr>
        <w:t>计算方法如下：</w:t>
      </w:r>
      <w:r>
        <w:rPr>
          <w:rFonts w:ascii="宋体" w:hAnsi="宋体" w:cs="宋体"/>
          <w:b/>
          <w:bCs/>
          <w:szCs w:val="21"/>
        </w:rPr>
        <w:t>H＝E×R÷365；H为该类产品份额每日应计提的销售服务费；E为前一日该类产品份额的产品资产净值；R为该类产品份额的销售服务费年费率。</w:t>
      </w:r>
    </w:p>
    <w:p w14:paraId="54F1DE37">
      <w:pPr>
        <w:spacing w:line="360" w:lineRule="auto"/>
        <w:ind w:firstLine="422" w:firstLineChars="200"/>
        <w:rPr>
          <w:rFonts w:ascii="宋体" w:hAnsi="宋体" w:cs="宋体"/>
          <w:b/>
          <w:bCs/>
          <w:szCs w:val="21"/>
        </w:rPr>
      </w:pPr>
      <w:r>
        <w:rPr>
          <w:rFonts w:hint="eastAsia" w:ascii="宋体" w:hAnsi="宋体" w:cs="宋体"/>
          <w:b/>
          <w:bCs/>
          <w:szCs w:val="21"/>
        </w:rPr>
        <w:t>如在产品存续期内收费项目、条件、标准和方式发生调整，将于调整生效前</w:t>
      </w:r>
      <w:r>
        <w:rPr>
          <w:rFonts w:ascii="宋体" w:hAnsi="宋体" w:cs="宋体"/>
          <w:b/>
          <w:bCs/>
          <w:szCs w:val="21"/>
        </w:rPr>
        <w:t>2个工作日以公告的形式在产品管理人官方网站或</w:t>
      </w:r>
      <w:r>
        <w:rPr>
          <w:rFonts w:hint="eastAsia" w:ascii="宋体" w:hAnsi="宋体" w:cs="宋体"/>
          <w:b/>
          <w:bCs/>
          <w:szCs w:val="21"/>
        </w:rPr>
        <w:t>销售服务机构网上销售平台予以公布。若本理财产品的投资者不接受上述调整（费率优惠除外），则应及时通过销售服务机构营业网点及电子渠道等赎回本产品；若本理财产品投资者未赎回本产品，则视为本理财产品投资者对相关调整无异议且同意在调整后继续持有本理财产品。</w:t>
      </w:r>
    </w:p>
    <w:p w14:paraId="02D2EFF3">
      <w:pPr>
        <w:spacing w:line="360" w:lineRule="auto"/>
        <w:ind w:firstLine="422" w:firstLineChars="200"/>
        <w:rPr>
          <w:rFonts w:ascii="宋体" w:hAnsi="宋体" w:cs="宋体"/>
          <w:b/>
          <w:bCs/>
          <w:szCs w:val="21"/>
        </w:rPr>
      </w:pPr>
      <w:r>
        <w:rPr>
          <w:rFonts w:hint="eastAsia" w:ascii="宋体" w:hAnsi="宋体" w:cs="宋体"/>
          <w:b/>
          <w:bCs/>
          <w:szCs w:val="21"/>
        </w:rPr>
        <w:t>6</w:t>
      </w:r>
      <w:r>
        <w:rPr>
          <w:rFonts w:ascii="宋体" w:hAnsi="宋体" w:cs="宋体"/>
          <w:b/>
          <w:bCs/>
          <w:szCs w:val="21"/>
        </w:rPr>
        <w:t>.税收规定</w:t>
      </w:r>
    </w:p>
    <w:p w14:paraId="172BF7AC">
      <w:pPr>
        <w:spacing w:line="360" w:lineRule="auto"/>
        <w:ind w:firstLine="413" w:firstLineChars="196"/>
        <w:rPr>
          <w:rFonts w:ascii="宋体" w:hAnsi="宋体" w:cs="宋体"/>
          <w:b/>
          <w:bCs/>
          <w:szCs w:val="21"/>
        </w:rPr>
      </w:pPr>
      <w:r>
        <w:rPr>
          <w:rFonts w:hint="eastAsia" w:ascii="宋体" w:hAnsi="宋体" w:cs="宋体"/>
          <w:b/>
          <w:bCs/>
          <w:szCs w:val="21"/>
        </w:rPr>
        <w:t>（1）本理财产品运营过程中发生的增值税应税行为，由各纳税主体，根据中国增值税等税收相关法律法规、税收政策等要求进行申报和缴纳；</w:t>
      </w:r>
    </w:p>
    <w:p w14:paraId="0D8D032C">
      <w:pPr>
        <w:spacing w:line="360" w:lineRule="auto"/>
        <w:ind w:firstLine="413" w:firstLineChars="196"/>
        <w:rPr>
          <w:rFonts w:ascii="宋体" w:hAnsi="宋体" w:cs="宋体"/>
          <w:b/>
          <w:bCs/>
          <w:szCs w:val="21"/>
        </w:rPr>
      </w:pPr>
      <w:r>
        <w:rPr>
          <w:rFonts w:hint="eastAsia" w:ascii="宋体" w:hAnsi="宋体" w:cs="宋体"/>
          <w:b/>
          <w:bCs/>
          <w:szCs w:val="21"/>
        </w:rPr>
        <w:t>（2）若本理财产品适用法律法规、税收政策要求管理人代扣代缴理财产品投资者应纳税款的，管理人将依法履行扣缴义务。投资者及其他签约方（如有）应同意本理财产品在运营过程应缴纳的增值税及附加税费（包括但不限于城市维护建设税、教育费附加及地方教育附加等）由管理人从理财产品财产中支付，并由管理人根据中国税务机关要求，履行相关纳税申报义务，由此可能会使理财产品净值或实际收益降低，请投资者知悉；</w:t>
      </w:r>
    </w:p>
    <w:p w14:paraId="1533B3BB">
      <w:pPr>
        <w:spacing w:line="360" w:lineRule="auto"/>
        <w:ind w:firstLine="413" w:firstLineChars="196"/>
        <w:rPr>
          <w:rFonts w:ascii="宋体" w:hAnsi="宋体" w:cs="宋体"/>
          <w:b/>
          <w:bCs/>
          <w:szCs w:val="21"/>
        </w:rPr>
      </w:pPr>
      <w:r>
        <w:rPr>
          <w:rFonts w:hint="eastAsia" w:ascii="宋体" w:hAnsi="宋体" w:cs="宋体"/>
          <w:b/>
          <w:bCs/>
          <w:szCs w:val="21"/>
        </w:rPr>
        <w:t>（3）本理财产品有关的增值税及其他税收的法律法规和税收政策发生变化，管理人应当根据法律法规和税收政策的最新规定执行。请投资者知悉，此类税收调整，可能影响理财产品投资收益情况。</w:t>
      </w:r>
    </w:p>
    <w:p w14:paraId="6D2C60CD">
      <w:pPr>
        <w:spacing w:line="360" w:lineRule="auto"/>
        <w:ind w:firstLine="407" w:firstLineChars="193"/>
        <w:rPr>
          <w:rFonts w:ascii="宋体" w:hAnsi="宋体" w:cs="宋体"/>
          <w:b/>
          <w:bCs/>
          <w:szCs w:val="21"/>
        </w:rPr>
      </w:pPr>
      <w:r>
        <w:rPr>
          <w:rFonts w:hint="eastAsia" w:ascii="宋体" w:hAnsi="宋体" w:cs="宋体"/>
          <w:b/>
          <w:bCs/>
          <w:szCs w:val="21"/>
        </w:rPr>
        <w:t>7</w:t>
      </w:r>
      <w:r>
        <w:rPr>
          <w:rFonts w:ascii="宋体" w:hAnsi="宋体" w:cs="宋体"/>
          <w:b/>
          <w:bCs/>
          <w:szCs w:val="21"/>
        </w:rPr>
        <w:t>.</w:t>
      </w:r>
      <w:bookmarkStart w:id="15" w:name="_Hlk508966506"/>
      <w:r>
        <w:rPr>
          <w:rFonts w:hint="eastAsia" w:ascii="宋体" w:hAnsi="宋体" w:cs="宋体"/>
          <w:b/>
          <w:bCs/>
          <w:szCs w:val="21"/>
        </w:rPr>
        <w:t>除上述费用外，由受托管理资产承担的费用包括但不限于：</w:t>
      </w:r>
      <w:bookmarkEnd w:id="15"/>
      <w:r>
        <w:rPr>
          <w:rFonts w:hint="eastAsia" w:ascii="宋体" w:hAnsi="宋体" w:cs="宋体"/>
          <w:b/>
          <w:bCs/>
          <w:szCs w:val="21"/>
        </w:rPr>
        <w:t>税费、资金划拨费用、结算费用、交易费用、账户服务费用、注册登记费用、推介发行费用、信息披露费用、审计费、律师费、公证费、诉讼费、仲裁费、执行费、受托管理资产事务管理费用、投资其他资管产品费用、代理机构费用以及法律法规、监管规定的其他应由本理财产品承担的费用。</w:t>
      </w:r>
    </w:p>
    <w:p w14:paraId="3CAEF40B">
      <w:pPr>
        <w:spacing w:line="360" w:lineRule="auto"/>
        <w:ind w:firstLine="422" w:firstLineChars="200"/>
        <w:rPr>
          <w:rFonts w:ascii="宋体" w:hAnsi="宋体" w:cs="宋体"/>
          <w:bCs/>
          <w:szCs w:val="21"/>
        </w:rPr>
      </w:pPr>
      <w:r>
        <w:rPr>
          <w:rFonts w:hint="eastAsia" w:ascii="宋体" w:hAnsi="宋体" w:cs="宋体"/>
          <w:b/>
          <w:bCs/>
          <w:szCs w:val="21"/>
        </w:rPr>
        <w:t>8.管理人可根据实际情况与托管人、销售服务机构等合作机构另行约定费用支付频率。</w:t>
      </w:r>
    </w:p>
    <w:p w14:paraId="0084188A">
      <w:pPr>
        <w:spacing w:line="360" w:lineRule="auto"/>
        <w:ind w:firstLine="431" w:firstLineChars="196"/>
        <w:jc w:val="left"/>
        <w:rPr>
          <w:rFonts w:ascii="宋体" w:hAnsi="宋体" w:cs="宋体"/>
          <w:sz w:val="22"/>
        </w:rPr>
      </w:pPr>
    </w:p>
    <w:p w14:paraId="130C7B3E">
      <w:pPr>
        <w:spacing w:line="360" w:lineRule="auto"/>
        <w:jc w:val="center"/>
        <w:outlineLvl w:val="0"/>
        <w:rPr>
          <w:rFonts w:ascii="宋体" w:hAnsi="宋体" w:cs="宋体"/>
          <w:b/>
          <w:bCs/>
          <w:color w:val="000000"/>
          <w:sz w:val="28"/>
          <w:szCs w:val="28"/>
        </w:rPr>
      </w:pPr>
      <w:r>
        <w:rPr>
          <w:rFonts w:hint="eastAsia" w:ascii="宋体" w:hAnsi="宋体" w:cs="宋体"/>
          <w:b/>
          <w:bCs/>
          <w:sz w:val="28"/>
          <w:szCs w:val="28"/>
        </w:rPr>
        <w:t>八、产品托管</w:t>
      </w:r>
    </w:p>
    <w:p w14:paraId="46F94FC0">
      <w:pPr>
        <w:spacing w:line="360" w:lineRule="auto"/>
        <w:ind w:firstLine="413" w:firstLineChars="196"/>
        <w:outlineLvl w:val="1"/>
        <w:rPr>
          <w:rFonts w:ascii="宋体" w:hAnsi="宋体" w:cs="宋体"/>
          <w:b/>
          <w:bCs/>
          <w:szCs w:val="21"/>
        </w:rPr>
      </w:pPr>
      <w:r>
        <w:rPr>
          <w:rFonts w:hint="eastAsia" w:ascii="宋体" w:hAnsi="宋体" w:cs="宋体"/>
          <w:b/>
          <w:bCs/>
          <w:szCs w:val="21"/>
        </w:rPr>
        <w:t>（一）托管人</w:t>
      </w:r>
    </w:p>
    <w:p w14:paraId="56DC350E">
      <w:pPr>
        <w:spacing w:line="360" w:lineRule="auto"/>
        <w:ind w:firstLine="420" w:firstLineChars="200"/>
        <w:rPr>
          <w:rFonts w:hint="eastAsia" w:ascii="宋体" w:hAnsi="宋体" w:eastAsia="宋体" w:cs="宋体"/>
          <w:b/>
          <w:bCs/>
          <w:szCs w:val="21"/>
          <w:highlight w:val="none"/>
        </w:rPr>
      </w:pPr>
      <w:r>
        <w:rPr>
          <w:rFonts w:hint="eastAsia" w:ascii="宋体" w:hAnsi="宋体" w:eastAsia="宋体" w:cs="宋体"/>
          <w:szCs w:val="21"/>
          <w:highlight w:val="none"/>
        </w:rPr>
        <w:t>本产品托管人为</w:t>
      </w:r>
      <w:r>
        <w:rPr>
          <w:rFonts w:hint="eastAsia" w:ascii="宋体" w:hAnsi="宋体" w:cs="宋体"/>
          <w:szCs w:val="21"/>
          <w:highlight w:val="none"/>
        </w:rPr>
        <w:t>中国银行股份有限公司上海市分行</w:t>
      </w:r>
      <w:r>
        <w:rPr>
          <w:rFonts w:hint="eastAsia" w:ascii="宋体" w:hAnsi="宋体" w:eastAsia="宋体" w:cs="宋体"/>
          <w:szCs w:val="21"/>
          <w:highlight w:val="none"/>
        </w:rPr>
        <w:t>。产品管理人在此特别披露:</w:t>
      </w:r>
      <w:r>
        <w:rPr>
          <w:rFonts w:hint="eastAsia" w:ascii="宋体" w:hAnsi="宋体" w:eastAsia="宋体" w:cs="宋体"/>
          <w:b/>
          <w:bCs/>
          <w:szCs w:val="21"/>
          <w:highlight w:val="none"/>
        </w:rPr>
        <w:t>产品管理人聘请其担任托管人已履行现行法律法规和监管规定所规定必须履行的程序,产品管理人、投资者同意并接受理财产品由托管人托管。</w:t>
      </w:r>
    </w:p>
    <w:p w14:paraId="5B92CC21">
      <w:pPr>
        <w:pStyle w:val="38"/>
        <w:rPr>
          <w:rFonts w:hint="eastAsia" w:ascii="宋体" w:hAnsi="宋体" w:eastAsia="宋体" w:cs="宋体"/>
          <w:highlight w:val="none"/>
        </w:rPr>
      </w:pPr>
      <w:r>
        <w:rPr>
          <w:rFonts w:hint="eastAsia" w:ascii="宋体" w:hAnsi="宋体" w:eastAsia="宋体" w:cs="宋体"/>
          <w:highlight w:val="none"/>
        </w:rPr>
        <w:t>（二）托管人基本信息</w:t>
      </w:r>
    </w:p>
    <w:p w14:paraId="531103AF">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名称：中国银行股份有限公司上海市分行</w:t>
      </w:r>
    </w:p>
    <w:p w14:paraId="3438D1A1">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住所：上海市中山东一路23号</w:t>
      </w:r>
    </w:p>
    <w:p w14:paraId="0ADB8AFE">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成立日期：1998年10月19日</w:t>
      </w:r>
    </w:p>
    <w:p w14:paraId="5CBFD1C7">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组织形式：股份有限公司分公司（上市、国有控股）</w:t>
      </w:r>
    </w:p>
    <w:p w14:paraId="0630D2EC">
      <w:pPr>
        <w:pStyle w:val="38"/>
        <w:rPr>
          <w:rFonts w:hint="eastAsia"/>
          <w:b w:val="0"/>
          <w:bCs w:val="0"/>
          <w:highlight w:val="none"/>
        </w:rPr>
      </w:pPr>
      <w:r>
        <w:rPr>
          <w:rFonts w:hint="eastAsia" w:ascii="宋体" w:hAnsi="宋体" w:cs="宋体"/>
          <w:b w:val="0"/>
          <w:bCs w:val="0"/>
          <w:szCs w:val="21"/>
          <w:highlight w:val="none"/>
        </w:rPr>
        <w:t>经营范围：办理人民币存款、贷款、结算；办理票据贴现；代理发行金融债券；代理发行、兑付、销售政府债券；代理收付款项及代理保险业务；提供保管箱服务，外汇存款；外汇贷款；外汇汇款；外币兑换；国际结算；外汇票据的承兑和贴现，总行授权的外汇借款；总行授权的外汇担保；结汇、售汇，总行授权的代理发行股票以外的外币有价证券，总行授权的代客外汇买卖；外汇信用卡的发行，代理国外信用卡的发行及付款；资信调查、咨询、见证业务，经中国银行业监督管理委员会批准的业务</w:t>
      </w:r>
      <w:r>
        <w:rPr>
          <w:rFonts w:hint="eastAsia"/>
          <w:b w:val="0"/>
          <w:bCs w:val="0"/>
          <w:highlight w:val="none"/>
        </w:rPr>
        <w:t>。</w:t>
      </w:r>
    </w:p>
    <w:p w14:paraId="28FF32B8">
      <w:pPr>
        <w:pStyle w:val="38"/>
        <w:rPr>
          <w:highlight w:val="none"/>
        </w:rPr>
      </w:pPr>
      <w:r>
        <w:rPr>
          <w:rFonts w:hint="eastAsia"/>
          <w:highlight w:val="none"/>
        </w:rPr>
        <w:t>（三）托管人职责</w:t>
      </w:r>
    </w:p>
    <w:p w14:paraId="0CE5822F">
      <w:pPr>
        <w:spacing w:line="360" w:lineRule="auto"/>
        <w:ind w:firstLine="420" w:firstLineChars="200"/>
        <w:rPr>
          <w:szCs w:val="21"/>
          <w:highlight w:val="none"/>
        </w:rPr>
      </w:pPr>
      <w:r>
        <w:rPr>
          <w:szCs w:val="21"/>
          <w:highlight w:val="none"/>
        </w:rPr>
        <w:t>1.安全保管理财产品财产；</w:t>
      </w:r>
    </w:p>
    <w:p w14:paraId="0FB3CD09">
      <w:pPr>
        <w:spacing w:line="360" w:lineRule="auto"/>
        <w:ind w:firstLine="420" w:firstLineChars="200"/>
        <w:rPr>
          <w:szCs w:val="21"/>
          <w:highlight w:val="none"/>
        </w:rPr>
      </w:pPr>
      <w:r>
        <w:rPr>
          <w:szCs w:val="21"/>
          <w:highlight w:val="none"/>
        </w:rPr>
        <w:t>2.为理财产品开立银行托管账户、证券账户等；</w:t>
      </w:r>
    </w:p>
    <w:p w14:paraId="155866EF">
      <w:pPr>
        <w:spacing w:line="360" w:lineRule="auto"/>
        <w:ind w:firstLine="420" w:firstLineChars="200"/>
        <w:rPr>
          <w:szCs w:val="21"/>
          <w:highlight w:val="none"/>
        </w:rPr>
      </w:pPr>
      <w:r>
        <w:rPr>
          <w:szCs w:val="21"/>
          <w:highlight w:val="none"/>
        </w:rPr>
        <w:t>3.确认与执行理财产品资金划拨指令，办理理财产品资金的收付，核对理财产品资金划拨记录；</w:t>
      </w:r>
    </w:p>
    <w:p w14:paraId="36C7C979">
      <w:pPr>
        <w:spacing w:line="360" w:lineRule="auto"/>
        <w:ind w:firstLine="420" w:firstLineChars="200"/>
        <w:rPr>
          <w:szCs w:val="21"/>
          <w:highlight w:val="none"/>
        </w:rPr>
      </w:pPr>
      <w:r>
        <w:rPr>
          <w:szCs w:val="21"/>
          <w:highlight w:val="none"/>
        </w:rPr>
        <w:t>4.</w:t>
      </w:r>
      <w:r>
        <w:rPr>
          <w:rFonts w:ascii="宋体" w:hAnsi="宋体" w:cs="宋体"/>
          <w:szCs w:val="21"/>
        </w:rPr>
        <w:t>建立与理财产品管理人的对账机制，复核理财产品资产净值、理财产品份额申购、赎回价格，及时核查投资资金的支付和到账情况；</w:t>
      </w:r>
    </w:p>
    <w:p w14:paraId="7B0D10CB">
      <w:pPr>
        <w:spacing w:line="360" w:lineRule="auto"/>
        <w:ind w:firstLine="420" w:firstLineChars="200"/>
        <w:rPr>
          <w:szCs w:val="21"/>
          <w:highlight w:val="none"/>
        </w:rPr>
      </w:pPr>
      <w:r>
        <w:rPr>
          <w:szCs w:val="21"/>
          <w:highlight w:val="none"/>
        </w:rPr>
        <w:t>5.监督理财产品投资运作；</w:t>
      </w:r>
    </w:p>
    <w:p w14:paraId="4B6B2485">
      <w:pPr>
        <w:spacing w:line="360" w:lineRule="auto"/>
        <w:ind w:firstLine="420" w:firstLineChars="200"/>
        <w:rPr>
          <w:szCs w:val="21"/>
          <w:highlight w:val="none"/>
        </w:rPr>
      </w:pPr>
      <w:r>
        <w:rPr>
          <w:szCs w:val="21"/>
          <w:highlight w:val="none"/>
        </w:rPr>
        <w:t>6.办理与理财产品托管业务活动相关的信息披露事项；</w:t>
      </w:r>
    </w:p>
    <w:p w14:paraId="21E2891E">
      <w:pPr>
        <w:spacing w:line="360" w:lineRule="auto"/>
        <w:ind w:firstLine="420" w:firstLineChars="200"/>
        <w:rPr>
          <w:szCs w:val="21"/>
          <w:highlight w:val="none"/>
        </w:rPr>
      </w:pPr>
      <w:r>
        <w:rPr>
          <w:szCs w:val="21"/>
          <w:highlight w:val="none"/>
        </w:rPr>
        <w:t>7.保存理财产品托管业务活动的记录、账册、报表和其他相关材料；</w:t>
      </w:r>
    </w:p>
    <w:p w14:paraId="27085524">
      <w:pPr>
        <w:spacing w:line="360" w:lineRule="auto"/>
        <w:ind w:firstLine="420" w:firstLineChars="200"/>
        <w:rPr>
          <w:szCs w:val="21"/>
          <w:highlight w:val="none"/>
        </w:rPr>
      </w:pPr>
      <w:r>
        <w:rPr>
          <w:szCs w:val="21"/>
          <w:highlight w:val="none"/>
        </w:rPr>
        <w:t>8.对理财产品投资信息和相关资料承担保密责任；</w:t>
      </w:r>
    </w:p>
    <w:p w14:paraId="2C1C8628">
      <w:pPr>
        <w:spacing w:line="360" w:lineRule="auto"/>
        <w:ind w:firstLine="411" w:firstLineChars="196"/>
        <w:rPr>
          <w:rFonts w:ascii="宋体" w:hAnsi="宋体" w:cs="宋体"/>
          <w:szCs w:val="21"/>
        </w:rPr>
      </w:pPr>
      <w:r>
        <w:rPr>
          <w:szCs w:val="21"/>
          <w:highlight w:val="none"/>
        </w:rPr>
        <w:t>9.</w:t>
      </w:r>
      <w:r>
        <w:rPr>
          <w:rFonts w:hint="eastAsia"/>
          <w:szCs w:val="21"/>
          <w:highlight w:val="none"/>
          <w:lang w:val="en-US" w:eastAsia="zh-CN"/>
        </w:rPr>
        <w:t>监管机构</w:t>
      </w:r>
      <w:r>
        <w:rPr>
          <w:szCs w:val="21"/>
          <w:highlight w:val="none"/>
        </w:rPr>
        <w:t>规定的其他职责</w:t>
      </w:r>
      <w:r>
        <w:rPr>
          <w:rFonts w:ascii="宋体" w:hAnsi="宋体" w:cs="宋体"/>
          <w:szCs w:val="21"/>
        </w:rPr>
        <w:t>。</w:t>
      </w:r>
    </w:p>
    <w:p w14:paraId="06809301">
      <w:pPr>
        <w:spacing w:line="360" w:lineRule="auto"/>
        <w:ind w:firstLine="431" w:firstLineChars="196"/>
        <w:rPr>
          <w:rFonts w:ascii="宋体" w:hAnsi="宋体" w:cs="宋体"/>
          <w:sz w:val="22"/>
        </w:rPr>
      </w:pPr>
    </w:p>
    <w:p w14:paraId="6EA397E0">
      <w:pPr>
        <w:spacing w:line="360" w:lineRule="auto"/>
        <w:jc w:val="center"/>
        <w:outlineLvl w:val="0"/>
        <w:rPr>
          <w:rFonts w:ascii="宋体" w:hAnsi="宋体" w:cs="宋体"/>
          <w:b/>
          <w:bCs/>
          <w:sz w:val="28"/>
          <w:szCs w:val="28"/>
        </w:rPr>
      </w:pPr>
      <w:r>
        <w:rPr>
          <w:rFonts w:hint="eastAsia" w:ascii="宋体" w:hAnsi="宋体" w:cs="宋体"/>
          <w:b/>
          <w:bCs/>
          <w:sz w:val="28"/>
          <w:szCs w:val="28"/>
        </w:rPr>
        <w:t>九、信息披露</w:t>
      </w:r>
    </w:p>
    <w:p w14:paraId="6FC2ADC1">
      <w:pPr>
        <w:spacing w:line="360" w:lineRule="auto"/>
        <w:ind w:firstLine="413" w:firstLineChars="196"/>
        <w:outlineLvl w:val="1"/>
        <w:rPr>
          <w:rFonts w:ascii="宋体" w:hAnsi="宋体" w:cs="宋体"/>
          <w:b/>
          <w:bCs/>
          <w:szCs w:val="21"/>
        </w:rPr>
      </w:pPr>
      <w:r>
        <w:rPr>
          <w:rFonts w:hint="eastAsia" w:ascii="宋体" w:hAnsi="宋体" w:cs="宋体"/>
          <w:b/>
          <w:bCs/>
          <w:szCs w:val="21"/>
        </w:rPr>
        <w:t>（一）信息披露内容</w:t>
      </w:r>
    </w:p>
    <w:p w14:paraId="05EAC7E2">
      <w:pPr>
        <w:spacing w:line="360" w:lineRule="auto"/>
        <w:ind w:firstLine="411" w:firstLineChars="196"/>
        <w:rPr>
          <w:rFonts w:ascii="宋体" w:hAnsi="宋体" w:cs="宋体"/>
          <w:szCs w:val="21"/>
        </w:rPr>
      </w:pPr>
      <w:r>
        <w:rPr>
          <w:rFonts w:ascii="宋体" w:hAnsi="宋体" w:cs="宋体"/>
          <w:szCs w:val="21"/>
        </w:rPr>
        <w:t>1.产品类型、募集信息、产品净值、产品规模、托管安排；</w:t>
      </w:r>
    </w:p>
    <w:p w14:paraId="0D9503BD">
      <w:pPr>
        <w:spacing w:line="360" w:lineRule="auto"/>
        <w:ind w:firstLine="411" w:firstLineChars="196"/>
        <w:rPr>
          <w:rFonts w:ascii="宋体" w:hAnsi="宋体" w:cs="宋体"/>
          <w:szCs w:val="21"/>
        </w:rPr>
      </w:pPr>
      <w:r>
        <w:rPr>
          <w:rFonts w:ascii="宋体" w:hAnsi="宋体" w:cs="宋体"/>
          <w:szCs w:val="21"/>
        </w:rPr>
        <w:t>2.产品底层资产类别、投资比例、持仓情况</w:t>
      </w:r>
      <w:r>
        <w:rPr>
          <w:rFonts w:hint="eastAsia" w:ascii="宋体" w:hAnsi="宋体" w:cs="宋体"/>
          <w:szCs w:val="21"/>
        </w:rPr>
        <w:t>、</w:t>
      </w:r>
      <w:r>
        <w:rPr>
          <w:rFonts w:ascii="宋体" w:hAnsi="宋体" w:cs="宋体"/>
          <w:szCs w:val="21"/>
        </w:rPr>
        <w:t>杠杆水平</w:t>
      </w:r>
      <w:r>
        <w:rPr>
          <w:rFonts w:hint="eastAsia" w:ascii="宋体" w:hAnsi="宋体" w:cs="宋体"/>
          <w:szCs w:val="21"/>
        </w:rPr>
        <w:t>以及流动性风险分析</w:t>
      </w:r>
      <w:r>
        <w:rPr>
          <w:rFonts w:ascii="宋体" w:hAnsi="宋体" w:cs="宋体"/>
          <w:szCs w:val="21"/>
        </w:rPr>
        <w:t>；</w:t>
      </w:r>
    </w:p>
    <w:p w14:paraId="3E5150E5">
      <w:pPr>
        <w:spacing w:line="360" w:lineRule="auto"/>
        <w:ind w:firstLine="411" w:firstLineChars="196"/>
        <w:rPr>
          <w:rFonts w:ascii="宋体" w:hAnsi="宋体" w:cs="宋体"/>
          <w:szCs w:val="21"/>
        </w:rPr>
      </w:pPr>
      <w:r>
        <w:rPr>
          <w:rFonts w:ascii="宋体" w:hAnsi="宋体" w:cs="宋体"/>
          <w:szCs w:val="21"/>
        </w:rPr>
        <w:t>3.产品估值方法、托管安排及投资账户信息；</w:t>
      </w:r>
    </w:p>
    <w:p w14:paraId="11161A00">
      <w:pPr>
        <w:spacing w:line="360" w:lineRule="auto"/>
        <w:ind w:firstLine="411" w:firstLineChars="196"/>
        <w:rPr>
          <w:rFonts w:ascii="宋体" w:hAnsi="宋体" w:cs="宋体"/>
          <w:szCs w:val="21"/>
        </w:rPr>
      </w:pPr>
      <w:r>
        <w:rPr>
          <w:rFonts w:ascii="宋体" w:hAnsi="宋体" w:cs="宋体"/>
          <w:szCs w:val="21"/>
        </w:rPr>
        <w:t>4.产品收益分配、各项费用情况及主要投资风险；</w:t>
      </w:r>
    </w:p>
    <w:p w14:paraId="01C40E2A">
      <w:pPr>
        <w:spacing w:line="360" w:lineRule="auto"/>
        <w:ind w:firstLine="411" w:firstLineChars="196"/>
        <w:rPr>
          <w:rFonts w:ascii="宋体" w:hAnsi="宋体" w:cs="宋体"/>
          <w:szCs w:val="21"/>
        </w:rPr>
      </w:pPr>
      <w:r>
        <w:rPr>
          <w:rFonts w:hint="eastAsia" w:ascii="宋体" w:hAnsi="宋体" w:cs="宋体"/>
          <w:szCs w:val="21"/>
        </w:rPr>
        <w:t>5</w:t>
      </w:r>
      <w:r>
        <w:rPr>
          <w:rFonts w:ascii="宋体" w:hAnsi="宋体" w:cs="宋体"/>
          <w:szCs w:val="21"/>
        </w:rPr>
        <w:t>.产品涉及的</w:t>
      </w:r>
      <w:r>
        <w:rPr>
          <w:rFonts w:hint="eastAsia" w:ascii="宋体" w:hAnsi="宋体" w:cs="宋体"/>
          <w:szCs w:val="21"/>
        </w:rPr>
        <w:t>关联交易；</w:t>
      </w:r>
    </w:p>
    <w:p w14:paraId="65E68A8E">
      <w:pPr>
        <w:spacing w:line="360" w:lineRule="auto"/>
        <w:ind w:firstLine="411" w:firstLineChars="196"/>
        <w:rPr>
          <w:rFonts w:ascii="宋体" w:hAnsi="宋体" w:cs="宋体"/>
          <w:szCs w:val="21"/>
        </w:rPr>
      </w:pPr>
      <w:r>
        <w:rPr>
          <w:rFonts w:hint="eastAsia" w:ascii="宋体" w:hAnsi="宋体" w:cs="宋体"/>
          <w:szCs w:val="21"/>
        </w:rPr>
        <w:t>6</w:t>
      </w:r>
      <w:r>
        <w:rPr>
          <w:rFonts w:ascii="宋体" w:hAnsi="宋体" w:cs="宋体"/>
          <w:szCs w:val="21"/>
        </w:rPr>
        <w:t>.</w:t>
      </w:r>
      <w:r>
        <w:rPr>
          <w:rFonts w:hint="eastAsia" w:ascii="宋体" w:hAnsi="宋体" w:cs="宋体"/>
          <w:szCs w:val="21"/>
        </w:rPr>
        <w:t>其他影响本产品投资运作的重大事项、突发事件、临时性信息披露等。</w:t>
      </w:r>
    </w:p>
    <w:p w14:paraId="4402DB99">
      <w:pPr>
        <w:spacing w:line="360" w:lineRule="auto"/>
        <w:ind w:firstLine="413" w:firstLineChars="196"/>
        <w:outlineLvl w:val="1"/>
        <w:rPr>
          <w:rFonts w:ascii="宋体" w:hAnsi="宋体" w:cs="宋体"/>
          <w:b/>
          <w:bCs/>
          <w:szCs w:val="21"/>
        </w:rPr>
      </w:pPr>
      <w:r>
        <w:rPr>
          <w:rFonts w:hint="eastAsia" w:ascii="宋体" w:hAnsi="宋体" w:cs="宋体"/>
          <w:b/>
          <w:bCs/>
          <w:szCs w:val="21"/>
        </w:rPr>
        <w:t>（二）信息披露频率</w:t>
      </w:r>
    </w:p>
    <w:p w14:paraId="2D828B2E">
      <w:pPr>
        <w:spacing w:line="360" w:lineRule="auto"/>
        <w:ind w:firstLine="411" w:firstLineChars="196"/>
        <w:rPr>
          <w:rFonts w:ascii="宋体" w:hAnsi="宋体" w:cs="宋体"/>
          <w:szCs w:val="21"/>
        </w:rPr>
      </w:pPr>
      <w:r>
        <w:rPr>
          <w:rFonts w:ascii="宋体" w:hAnsi="宋体" w:cs="宋体"/>
          <w:szCs w:val="21"/>
        </w:rPr>
        <w:t>1.</w:t>
      </w:r>
      <w:bookmarkStart w:id="16" w:name="_Hlk75179365"/>
      <w:r>
        <w:rPr>
          <w:rFonts w:hint="eastAsia" w:ascii="宋体" w:hAnsi="宋体" w:cs="宋体"/>
          <w:szCs w:val="21"/>
        </w:rPr>
        <w:t>发行公告：本产品成立后</w:t>
      </w:r>
      <w:r>
        <w:rPr>
          <w:rFonts w:ascii="宋体" w:hAnsi="宋体" w:cs="宋体"/>
          <w:szCs w:val="21"/>
        </w:rPr>
        <w:t>5个工作日内，披露本产品成立公告，包括理财产品成立日期和募集规模等信息。</w:t>
      </w:r>
      <w:bookmarkEnd w:id="16"/>
    </w:p>
    <w:p w14:paraId="1906D32A">
      <w:pPr>
        <w:spacing w:line="360" w:lineRule="auto"/>
        <w:ind w:firstLine="411" w:firstLineChars="196"/>
        <w:rPr>
          <w:rFonts w:ascii="宋体" w:hAnsi="宋体" w:cs="宋体"/>
          <w:szCs w:val="21"/>
        </w:rPr>
      </w:pPr>
      <w:r>
        <w:rPr>
          <w:rFonts w:ascii="宋体" w:hAnsi="宋体" w:cs="宋体"/>
          <w:szCs w:val="21"/>
        </w:rPr>
        <w:t>2.定期公告：本产品在每个季度结束之日起15个工作日内、上半年结束之日起60个工作日内、每年结束之日起90个工作日内，披露本产品季度、半年和年度报告等定期报告。产品成立不足90个工作日或者剩余存续期不超过90个工作日的，将不编制本产品当期的季度、半年和年度报告。</w:t>
      </w:r>
      <w:r>
        <w:rPr>
          <w:rFonts w:hint="eastAsia" w:ascii="宋体" w:hAnsi="宋体" w:cs="宋体"/>
          <w:szCs w:val="21"/>
        </w:rPr>
        <w:t>定期报告将披露理财产品组合资产情况及其流动性风险分析等。</w:t>
      </w:r>
    </w:p>
    <w:p w14:paraId="5BDCB06D">
      <w:pPr>
        <w:spacing w:line="360" w:lineRule="auto"/>
        <w:ind w:firstLine="411" w:firstLineChars="196"/>
        <w:rPr>
          <w:rFonts w:ascii="宋体" w:hAnsi="宋体" w:cs="宋体"/>
          <w:szCs w:val="21"/>
        </w:rPr>
      </w:pPr>
      <w:r>
        <w:rPr>
          <w:rFonts w:ascii="宋体" w:hAnsi="宋体" w:cs="宋体"/>
          <w:szCs w:val="21"/>
        </w:rPr>
        <w:t>3.到期公告：本产品在终止后5个工作日内，披露本产品到期公告，包括理财产品的存续期限、终止日期、收费情况和收益分配情况等信息。</w:t>
      </w:r>
    </w:p>
    <w:p w14:paraId="27FE2E16">
      <w:pPr>
        <w:spacing w:line="360" w:lineRule="auto"/>
        <w:ind w:firstLine="411" w:firstLineChars="196"/>
        <w:rPr>
          <w:rFonts w:ascii="宋体" w:hAnsi="宋体" w:cs="宋体"/>
          <w:szCs w:val="21"/>
        </w:rPr>
      </w:pPr>
      <w:r>
        <w:rPr>
          <w:rFonts w:ascii="宋体" w:hAnsi="宋体" w:cs="宋体"/>
          <w:szCs w:val="21"/>
        </w:rPr>
        <w:t>4.重大事项公告：在发生可能对理财产品投资者或者理财产品收益产生重大事项的事件后2个工作日内发布重大事项公告。</w:t>
      </w:r>
    </w:p>
    <w:p w14:paraId="3E4196F8">
      <w:pPr>
        <w:spacing w:line="360" w:lineRule="auto"/>
        <w:ind w:firstLine="411" w:firstLineChars="196"/>
        <w:rPr>
          <w:rFonts w:ascii="宋体" w:hAnsi="宋体" w:cs="宋体"/>
          <w:szCs w:val="21"/>
        </w:rPr>
      </w:pPr>
      <w:r>
        <w:rPr>
          <w:rFonts w:ascii="宋体" w:hAnsi="宋体" w:cs="宋体"/>
          <w:szCs w:val="21"/>
        </w:rPr>
        <w:t>5.产品净值公</w:t>
      </w:r>
      <w:r>
        <w:rPr>
          <w:rFonts w:hint="eastAsia" w:ascii="宋体" w:hAnsi="宋体" w:cs="宋体"/>
          <w:szCs w:val="21"/>
        </w:rPr>
        <w:t>布</w:t>
      </w:r>
      <w:r>
        <w:rPr>
          <w:rFonts w:ascii="宋体" w:hAnsi="宋体" w:cs="宋体"/>
          <w:szCs w:val="21"/>
        </w:rPr>
        <w:t>：</w:t>
      </w:r>
      <w:r>
        <w:rPr>
          <w:rFonts w:hint="eastAsia" w:ascii="宋体" w:hAnsi="宋体" w:cs="宋体"/>
          <w:szCs w:val="21"/>
        </w:rPr>
        <w:t>本产品成立后，每个开放日结束后2</w:t>
      </w:r>
      <w:r>
        <w:rPr>
          <w:rFonts w:ascii="宋体" w:hAnsi="宋体" w:cs="宋体"/>
          <w:szCs w:val="21"/>
        </w:rPr>
        <w:t>个工作日内</w:t>
      </w:r>
      <w:r>
        <w:rPr>
          <w:rFonts w:hint="eastAsia" w:ascii="宋体" w:hAnsi="宋体" w:cs="宋体"/>
          <w:szCs w:val="21"/>
        </w:rPr>
        <w:t>公布一次各类份额</w:t>
      </w:r>
      <w:r>
        <w:rPr>
          <w:rFonts w:hint="eastAsia" w:ascii="宋体" w:hAnsi="宋体" w:cs="宋体"/>
          <w:szCs w:val="21"/>
          <w:lang w:eastAsia="zh-Hans"/>
        </w:rPr>
        <w:t>的产品</w:t>
      </w:r>
      <w:r>
        <w:rPr>
          <w:rFonts w:hint="eastAsia" w:ascii="宋体" w:hAnsi="宋体" w:cs="宋体"/>
          <w:szCs w:val="21"/>
        </w:rPr>
        <w:t>净值。</w:t>
      </w:r>
    </w:p>
    <w:p w14:paraId="161A40F7">
      <w:pPr>
        <w:spacing w:line="360" w:lineRule="auto"/>
        <w:ind w:firstLine="411" w:firstLineChars="196"/>
        <w:rPr>
          <w:rFonts w:ascii="宋体" w:hAnsi="宋体" w:cs="宋体"/>
          <w:szCs w:val="21"/>
        </w:rPr>
      </w:pPr>
      <w:r>
        <w:rPr>
          <w:rFonts w:ascii="宋体" w:hAnsi="宋体" w:cs="宋体"/>
          <w:szCs w:val="21"/>
        </w:rPr>
        <w:t>6.临时性信息披露：及时披露</w:t>
      </w:r>
      <w:r>
        <w:rPr>
          <w:rFonts w:hint="eastAsia" w:ascii="宋体" w:hAnsi="宋体" w:cs="宋体"/>
          <w:szCs w:val="21"/>
          <w:lang w:val="en-US" w:eastAsia="zh-CN"/>
        </w:rPr>
        <w:t>监管机构</w:t>
      </w:r>
      <w:r>
        <w:rPr>
          <w:rFonts w:ascii="宋体" w:hAnsi="宋体" w:cs="宋体"/>
          <w:szCs w:val="21"/>
        </w:rPr>
        <w:t>规定的其他信息或除重大事项事件以外的其他信息</w:t>
      </w:r>
      <w:r>
        <w:rPr>
          <w:rFonts w:hint="eastAsia" w:ascii="宋体" w:hAnsi="宋体" w:cs="宋体"/>
          <w:szCs w:val="21"/>
        </w:rPr>
        <w:t>，如发生涉及理财产品认（申）购、赎回事项调整或潜在影响投资者赎回等事项</w:t>
      </w:r>
      <w:r>
        <w:rPr>
          <w:rFonts w:ascii="宋体" w:hAnsi="宋体" w:cs="宋体"/>
          <w:szCs w:val="21"/>
        </w:rPr>
        <w:t>。</w:t>
      </w:r>
      <w:r>
        <w:rPr>
          <w:rFonts w:hint="eastAsia" w:ascii="宋体" w:hAnsi="宋体" w:cs="宋体"/>
          <w:szCs w:val="21"/>
        </w:rPr>
        <w:t>按照理财产品说明书中约定的信息披露方式，在运用收取短期赎回费、摆动定价等措施后，3个交易日内告知本理财产品的投资者；在运用暂停认（申）购、延期办理巨额赎回申请、暂停接受赎回申请、延缓支付赎回款项、暂停理财产品估值等措施后，将在3个交易所工作日内告知本理财产品的投资者，并将说明运用相关措施的原因、拟采取的应对安排等</w:t>
      </w:r>
      <w:r>
        <w:rPr>
          <w:rFonts w:ascii="宋体" w:hAnsi="宋体" w:cs="宋体"/>
          <w:szCs w:val="21"/>
        </w:rPr>
        <w:t>。</w:t>
      </w:r>
    </w:p>
    <w:p w14:paraId="35A9E14F">
      <w:pPr>
        <w:spacing w:line="360" w:lineRule="auto"/>
        <w:ind w:firstLine="411" w:firstLineChars="196"/>
        <w:rPr>
          <w:rFonts w:ascii="宋体" w:hAnsi="宋体" w:cs="宋体"/>
          <w:szCs w:val="21"/>
        </w:rPr>
      </w:pPr>
      <w:r>
        <w:rPr>
          <w:rFonts w:ascii="宋体" w:hAnsi="宋体" w:cs="宋体"/>
          <w:szCs w:val="21"/>
        </w:rPr>
        <w:t>7.半年度整体报告：每半年披露从事理财业务活动的有关信息。</w:t>
      </w:r>
    </w:p>
    <w:p w14:paraId="4A042F18">
      <w:pPr>
        <w:spacing w:line="360" w:lineRule="auto"/>
        <w:ind w:firstLine="413" w:firstLineChars="196"/>
        <w:outlineLvl w:val="1"/>
        <w:rPr>
          <w:rFonts w:ascii="宋体" w:hAnsi="宋体" w:cs="宋体"/>
          <w:b/>
          <w:bCs/>
          <w:szCs w:val="21"/>
        </w:rPr>
      </w:pPr>
      <w:r>
        <w:rPr>
          <w:rFonts w:hint="eastAsia" w:ascii="宋体" w:hAnsi="宋体" w:cs="宋体"/>
          <w:b/>
          <w:bCs/>
          <w:szCs w:val="21"/>
        </w:rPr>
        <w:t>（三）信息披露方式</w:t>
      </w:r>
    </w:p>
    <w:p w14:paraId="500FC311">
      <w:pPr>
        <w:spacing w:line="360" w:lineRule="auto"/>
        <w:ind w:firstLine="413" w:firstLineChars="196"/>
        <w:rPr>
          <w:rFonts w:ascii="宋体" w:hAnsi="宋体" w:cs="宋体"/>
          <w:b/>
          <w:szCs w:val="21"/>
        </w:rPr>
      </w:pPr>
      <w:r>
        <w:rPr>
          <w:rFonts w:hint="eastAsia" w:ascii="宋体" w:hAnsi="宋体" w:cs="宋体"/>
          <w:b/>
          <w:bCs w:val="0"/>
          <w:szCs w:val="21"/>
        </w:rPr>
        <w:t>本产品信息将通过产品管理人官方网站或销售服务机构网上销售平台进行披露，请投资者及时关注。若由于投资者原因未能及时登陆产品管理人官方网站或销售服务机构网上销售平台获取披露信息，所造成的后果将由投资者自行承担，请审慎决定。</w:t>
      </w:r>
    </w:p>
    <w:p w14:paraId="24CE5498">
      <w:pPr>
        <w:spacing w:line="360" w:lineRule="auto"/>
        <w:ind w:firstLine="413" w:firstLineChars="196"/>
        <w:rPr>
          <w:rFonts w:ascii="宋体" w:hAnsi="宋体" w:cs="宋体"/>
          <w:b/>
          <w:szCs w:val="21"/>
        </w:rPr>
      </w:pPr>
      <w:r>
        <w:rPr>
          <w:rFonts w:hint="eastAsia" w:ascii="宋体" w:hAnsi="宋体" w:cs="宋体"/>
          <w:b/>
          <w:bCs w:val="0"/>
          <w:szCs w:val="21"/>
        </w:rPr>
        <w:t>投资者可通过销售服务机构网上销售平台在公募产品存续期内每月查询所持有的净值型理财产品账单。</w:t>
      </w:r>
    </w:p>
    <w:p w14:paraId="25547493">
      <w:pPr>
        <w:spacing w:line="360" w:lineRule="auto"/>
        <w:jc w:val="left"/>
        <w:rPr>
          <w:rFonts w:ascii="宋体" w:hAnsi="宋体" w:cs="宋体"/>
          <w:bCs/>
          <w:sz w:val="22"/>
        </w:rPr>
      </w:pPr>
    </w:p>
    <w:p w14:paraId="21030872">
      <w:pPr>
        <w:spacing w:line="360" w:lineRule="auto"/>
        <w:jc w:val="center"/>
        <w:outlineLvl w:val="0"/>
        <w:rPr>
          <w:rFonts w:ascii="宋体" w:hAnsi="宋体" w:cs="宋体"/>
          <w:b/>
          <w:bCs/>
          <w:sz w:val="28"/>
          <w:szCs w:val="28"/>
        </w:rPr>
      </w:pPr>
      <w:r>
        <w:rPr>
          <w:rFonts w:hint="eastAsia" w:ascii="宋体" w:hAnsi="宋体" w:cs="宋体"/>
          <w:b/>
          <w:bCs/>
          <w:sz w:val="28"/>
          <w:szCs w:val="28"/>
        </w:rPr>
        <w:t>十、其他</w:t>
      </w:r>
    </w:p>
    <w:p w14:paraId="51B5E979">
      <w:pPr>
        <w:spacing w:line="360" w:lineRule="auto"/>
        <w:ind w:firstLine="413" w:firstLineChars="196"/>
        <w:outlineLvl w:val="1"/>
        <w:rPr>
          <w:rFonts w:ascii="宋体" w:hAnsi="宋体" w:cs="宋体"/>
          <w:b/>
          <w:bCs/>
          <w:szCs w:val="21"/>
        </w:rPr>
      </w:pPr>
      <w:r>
        <w:rPr>
          <w:rFonts w:hint="eastAsia" w:ascii="宋体" w:hAnsi="宋体" w:cs="宋体"/>
          <w:b/>
          <w:bCs/>
          <w:szCs w:val="21"/>
        </w:rPr>
        <w:t>（一）追索条款</w:t>
      </w:r>
    </w:p>
    <w:p w14:paraId="399D94B8">
      <w:pPr>
        <w:spacing w:line="360" w:lineRule="auto"/>
        <w:ind w:firstLine="413" w:firstLineChars="196"/>
        <w:rPr>
          <w:rFonts w:ascii="宋体" w:hAnsi="宋体" w:cs="宋体"/>
          <w:b/>
          <w:szCs w:val="21"/>
        </w:rPr>
      </w:pPr>
      <w:r>
        <w:rPr>
          <w:rFonts w:hint="eastAsia" w:ascii="宋体" w:hAnsi="宋体" w:cs="宋体"/>
          <w:b/>
          <w:szCs w:val="21"/>
        </w:rPr>
        <w:t>若本理财产品所投资的金融资产到期不能全部偿付导致资产减值甚至本金大幅损失，则光大理财将以管理人名义，代表投资者利益行使诉讼权利或者实施其他法律行为。</w:t>
      </w:r>
    </w:p>
    <w:p w14:paraId="379FE563">
      <w:pPr>
        <w:spacing w:line="360" w:lineRule="auto"/>
        <w:ind w:firstLine="413" w:firstLineChars="196"/>
        <w:outlineLvl w:val="1"/>
        <w:rPr>
          <w:rFonts w:ascii="宋体" w:hAnsi="宋体" w:cs="宋体"/>
          <w:b/>
          <w:bCs/>
          <w:szCs w:val="21"/>
        </w:rPr>
      </w:pPr>
      <w:r>
        <w:rPr>
          <w:rFonts w:hint="eastAsia" w:ascii="宋体" w:hAnsi="宋体" w:cs="宋体"/>
          <w:b/>
          <w:bCs/>
          <w:szCs w:val="21"/>
        </w:rPr>
        <w:t>（二）信息安全</w:t>
      </w:r>
    </w:p>
    <w:p w14:paraId="284FBDA7">
      <w:pPr>
        <w:spacing w:line="360" w:lineRule="auto"/>
        <w:ind w:firstLine="413" w:firstLineChars="196"/>
        <w:rPr>
          <w:rFonts w:ascii="宋体" w:hAnsi="宋体" w:cs="宋体"/>
          <w:b/>
          <w:szCs w:val="21"/>
        </w:rPr>
      </w:pPr>
      <w:r>
        <w:rPr>
          <w:rFonts w:ascii="宋体" w:hAnsi="宋体" w:cs="宋体"/>
          <w:b/>
          <w:szCs w:val="21"/>
        </w:rPr>
        <w:t>产品管理人将按照法律法规规定收集、使用投资者信息，遵循</w:t>
      </w:r>
      <w:r>
        <w:rPr>
          <w:rFonts w:hint="eastAsia" w:ascii="宋体" w:hAnsi="宋体" w:cs="宋体"/>
          <w:b/>
          <w:szCs w:val="21"/>
          <w:lang w:val="en-US" w:eastAsia="zh-CN"/>
        </w:rPr>
        <w:t>合法</w:t>
      </w:r>
      <w:r>
        <w:rPr>
          <w:rFonts w:ascii="宋体" w:hAnsi="宋体" w:cs="宋体"/>
          <w:b/>
          <w:szCs w:val="21"/>
        </w:rPr>
        <w:t>正当、必要</w:t>
      </w:r>
      <w:r>
        <w:rPr>
          <w:rFonts w:hint="eastAsia" w:ascii="宋体" w:hAnsi="宋体" w:cs="宋体"/>
          <w:b/>
          <w:szCs w:val="21"/>
          <w:lang w:val="en-US" w:eastAsia="zh-CN"/>
        </w:rPr>
        <w:t>诚信</w:t>
      </w:r>
      <w:r>
        <w:rPr>
          <w:rFonts w:ascii="宋体" w:hAnsi="宋体" w:cs="宋体"/>
          <w:b/>
          <w:szCs w:val="21"/>
        </w:rPr>
        <w:t>的原则，保证信息处理的安全性和合法性。未经投资者专门授权，不得将投资者信息及相关理财产品销售信息提供其他第三方机构和个人，法律、行政法规和</w:t>
      </w:r>
      <w:r>
        <w:rPr>
          <w:rFonts w:hint="eastAsia" w:ascii="宋体" w:hAnsi="宋体" w:cs="宋体"/>
          <w:b/>
          <w:szCs w:val="21"/>
        </w:rPr>
        <w:t>监管机构</w:t>
      </w:r>
      <w:r>
        <w:rPr>
          <w:rFonts w:ascii="宋体" w:hAnsi="宋体" w:cs="宋体"/>
          <w:b/>
          <w:szCs w:val="21"/>
        </w:rPr>
        <w:t>另有规定的除外。产品管理人应就理财产品销售过程中获知的投资者信息承担保密义务。投资者在此同意并授权，产品管理人可根据监管要求，为理财产品登记等需要，向登记部门或监管机构提供投资者相关信息。</w:t>
      </w:r>
    </w:p>
    <w:p w14:paraId="3D335F85">
      <w:pPr>
        <w:spacing w:line="360" w:lineRule="auto"/>
        <w:ind w:firstLine="413" w:firstLineChars="196"/>
        <w:outlineLvl w:val="1"/>
        <w:rPr>
          <w:rFonts w:ascii="宋体" w:hAnsi="宋体" w:cs="宋体"/>
          <w:b/>
          <w:bCs/>
          <w:szCs w:val="21"/>
        </w:rPr>
      </w:pPr>
      <w:r>
        <w:rPr>
          <w:rFonts w:hint="eastAsia" w:ascii="宋体" w:hAnsi="宋体" w:cs="宋体"/>
          <w:b/>
          <w:bCs/>
          <w:szCs w:val="21"/>
        </w:rPr>
        <w:t>（三）争议解决</w:t>
      </w:r>
    </w:p>
    <w:p w14:paraId="35E1580E">
      <w:pPr>
        <w:spacing w:line="360" w:lineRule="auto"/>
        <w:ind w:firstLine="413" w:firstLineChars="196"/>
        <w:rPr>
          <w:rFonts w:ascii="宋体" w:hAnsi="宋体" w:cs="宋体"/>
          <w:b/>
          <w:szCs w:val="21"/>
        </w:rPr>
      </w:pPr>
      <w:bookmarkStart w:id="17" w:name="_Hlk508966639"/>
      <w:r>
        <w:rPr>
          <w:rFonts w:ascii="宋体" w:hAnsi="宋体" w:cs="宋体"/>
          <w:b/>
          <w:szCs w:val="21"/>
        </w:rPr>
        <w:t>本</w:t>
      </w:r>
      <w:r>
        <w:rPr>
          <w:rFonts w:hint="eastAsia" w:ascii="宋体" w:hAnsi="宋体" w:cs="宋体"/>
          <w:b/>
          <w:szCs w:val="21"/>
        </w:rPr>
        <w:t>说明书</w:t>
      </w:r>
      <w:r>
        <w:rPr>
          <w:rFonts w:ascii="宋体" w:hAnsi="宋体" w:cs="宋体"/>
          <w:b/>
          <w:szCs w:val="21"/>
        </w:rPr>
        <w:t>的订立、生效、履行、解释、修改和终止等事项均适用中华人民共和国（为本</w:t>
      </w:r>
      <w:r>
        <w:rPr>
          <w:rFonts w:hint="eastAsia" w:ascii="宋体" w:hAnsi="宋体" w:cs="宋体"/>
          <w:b/>
          <w:szCs w:val="21"/>
        </w:rPr>
        <w:t>说明书</w:t>
      </w:r>
      <w:r>
        <w:rPr>
          <w:rFonts w:ascii="宋体" w:hAnsi="宋体" w:cs="宋体"/>
          <w:b/>
          <w:szCs w:val="21"/>
        </w:rPr>
        <w:t>之目的，不含港澳台）法律。因本</w:t>
      </w:r>
      <w:r>
        <w:rPr>
          <w:rFonts w:hint="eastAsia" w:ascii="宋体" w:hAnsi="宋体" w:cs="宋体"/>
          <w:b/>
          <w:szCs w:val="21"/>
        </w:rPr>
        <w:t>说明书</w:t>
      </w:r>
      <w:r>
        <w:rPr>
          <w:rFonts w:ascii="宋体" w:hAnsi="宋体" w:cs="宋体"/>
          <w:b/>
          <w:szCs w:val="21"/>
        </w:rPr>
        <w:t>引起的或与本</w:t>
      </w:r>
      <w:r>
        <w:rPr>
          <w:rFonts w:hint="eastAsia" w:ascii="宋体" w:hAnsi="宋体" w:cs="宋体"/>
          <w:b/>
          <w:szCs w:val="21"/>
        </w:rPr>
        <w:t>说明书</w:t>
      </w:r>
      <w:r>
        <w:rPr>
          <w:rFonts w:ascii="宋体" w:hAnsi="宋体" w:cs="宋体"/>
          <w:b/>
          <w:szCs w:val="21"/>
        </w:rPr>
        <w:t>有关的任何争议，应当首先通过双方之间的友好协商解决；协商不成的，双方均有权提交产品管理人所在地有管辖权的人民法院诉讼解决。</w:t>
      </w:r>
      <w:bookmarkEnd w:id="17"/>
    </w:p>
    <w:p w14:paraId="7D38D4CC">
      <w:pPr>
        <w:spacing w:line="360" w:lineRule="auto"/>
        <w:ind w:firstLine="413" w:firstLineChars="196"/>
        <w:rPr>
          <w:rFonts w:ascii="宋体" w:hAnsi="宋体" w:cs="宋体"/>
          <w:b/>
          <w:szCs w:val="21"/>
        </w:rPr>
      </w:pPr>
      <w:r>
        <w:rPr>
          <w:rFonts w:ascii="宋体" w:hAnsi="宋体" w:cs="宋体"/>
          <w:b/>
          <w:szCs w:val="21"/>
        </w:rPr>
        <w:t>产品管理人将恪守勤勉尽责的原则，合理配置资产组合，为</w:t>
      </w:r>
      <w:r>
        <w:rPr>
          <w:rFonts w:hint="eastAsia" w:ascii="宋体" w:hAnsi="宋体" w:cs="宋体"/>
          <w:b/>
          <w:szCs w:val="21"/>
        </w:rPr>
        <w:t>投资者</w:t>
      </w:r>
      <w:r>
        <w:rPr>
          <w:rFonts w:ascii="宋体" w:hAnsi="宋体" w:cs="宋体"/>
          <w:b/>
          <w:szCs w:val="21"/>
        </w:rPr>
        <w:t>提供专业化的理财服务。</w:t>
      </w:r>
      <w:r>
        <w:rPr>
          <w:rFonts w:hint="eastAsia" w:ascii="宋体" w:hAnsi="宋体" w:cs="宋体"/>
          <w:b/>
          <w:szCs w:val="21"/>
        </w:rPr>
        <w:t>投资者</w:t>
      </w:r>
      <w:r>
        <w:rPr>
          <w:rFonts w:ascii="宋体" w:hAnsi="宋体" w:cs="宋体"/>
          <w:b/>
          <w:szCs w:val="21"/>
        </w:rPr>
        <w:t>应密切关注产品管理人与本产品有关的信息公告，以免造成不必要的损失。</w:t>
      </w:r>
    </w:p>
    <w:p w14:paraId="21B935A9">
      <w:pPr>
        <w:spacing w:line="360" w:lineRule="auto"/>
        <w:rPr>
          <w:rFonts w:ascii="宋体" w:hAnsi="宋体" w:cs="宋体"/>
          <w:color w:val="000000"/>
          <w:szCs w:val="21"/>
        </w:rPr>
      </w:pPr>
    </w:p>
    <w:p w14:paraId="4183EF15">
      <w:pPr>
        <w:spacing w:line="360" w:lineRule="auto"/>
        <w:ind w:firstLine="413" w:firstLineChars="196"/>
        <w:rPr>
          <w:rFonts w:ascii="宋体" w:hAnsi="宋体" w:cs="宋体"/>
          <w:b/>
          <w:szCs w:val="21"/>
        </w:rPr>
      </w:pPr>
      <w:r>
        <w:rPr>
          <w:rFonts w:ascii="宋体" w:hAnsi="宋体" w:cs="宋体"/>
          <w:b/>
          <w:szCs w:val="21"/>
        </w:rPr>
        <w:t>投资者已阅读并领取《光大理财“</w:t>
      </w:r>
      <w:r>
        <w:rPr>
          <w:rFonts w:hint="eastAsia" w:ascii="宋体" w:hAnsi="宋体" w:cs="宋体"/>
          <w:b/>
          <w:szCs w:val="21"/>
          <w:lang w:eastAsia="zh-CN"/>
        </w:rPr>
        <w:t>阳光金增利稳健天天购35号（30天最低持有）</w:t>
      </w:r>
      <w:r>
        <w:rPr>
          <w:rFonts w:ascii="宋体" w:hAnsi="宋体" w:cs="宋体"/>
          <w:b/>
          <w:szCs w:val="21"/>
        </w:rPr>
        <w:t>”理财产品说明书》，充分了解本</w:t>
      </w:r>
      <w:r>
        <w:rPr>
          <w:rFonts w:hint="eastAsia" w:ascii="宋体" w:hAnsi="宋体" w:cs="宋体"/>
          <w:b/>
          <w:szCs w:val="21"/>
        </w:rPr>
        <w:t>理财</w:t>
      </w:r>
      <w:r>
        <w:rPr>
          <w:rFonts w:ascii="宋体" w:hAnsi="宋体" w:cs="宋体"/>
          <w:b/>
          <w:szCs w:val="21"/>
        </w:rPr>
        <w:t>产品的收益和风险，自愿购买。投资者对于产品管理人官方网站（http://www.cebwm.com）或销售服务机构网上销售平台公布的信息应及时浏览和阅读，该行为视为投资者已获取该信息。产品管理人或销售服务机构将通过</w:t>
      </w:r>
      <w:r>
        <w:rPr>
          <w:rFonts w:hint="eastAsia" w:ascii="宋体" w:hAnsi="宋体" w:cs="宋体"/>
          <w:b/>
          <w:szCs w:val="21"/>
        </w:rPr>
        <w:t>理财</w:t>
      </w:r>
      <w:r>
        <w:rPr>
          <w:rFonts w:ascii="宋体" w:hAnsi="宋体" w:cs="宋体"/>
          <w:b/>
          <w:szCs w:val="21"/>
        </w:rPr>
        <w:t>产品</w:t>
      </w:r>
      <w:r>
        <w:rPr>
          <w:rFonts w:hint="eastAsia" w:ascii="宋体" w:hAnsi="宋体" w:cs="宋体"/>
          <w:b/>
          <w:szCs w:val="21"/>
        </w:rPr>
        <w:t>销售文件</w:t>
      </w:r>
      <w:r>
        <w:rPr>
          <w:rFonts w:ascii="宋体" w:hAnsi="宋体" w:cs="宋体"/>
          <w:b/>
          <w:szCs w:val="21"/>
        </w:rPr>
        <w:t>中的联系方式告知投资者产品重要信息。若投资者联系方式变更，投资者需主动告知产品管理人或销售服务机构。如投资者未将联系方式变更及时通知产品管理人或销售服务机构，因此导致的产品信息无法告知或告知不及时，产品管理人和销售服务机构不承担由此产生的后果。</w:t>
      </w:r>
    </w:p>
    <w:p w14:paraId="316F4498">
      <w:pPr>
        <w:spacing w:line="360" w:lineRule="auto"/>
        <w:ind w:firstLine="422" w:firstLineChars="200"/>
        <w:rPr>
          <w:rFonts w:ascii="宋体" w:hAnsi="宋体" w:cs="宋体"/>
          <w:b/>
          <w:szCs w:val="21"/>
        </w:rPr>
      </w:pPr>
      <w:r>
        <w:rPr>
          <w:rFonts w:hint="eastAsia" w:ascii="宋体" w:hAnsi="宋体" w:cs="宋体"/>
          <w:b/>
          <w:szCs w:val="21"/>
        </w:rPr>
        <w:t>▲▲▲投资者本人</w:t>
      </w:r>
      <w:r>
        <w:rPr>
          <w:rFonts w:hint="eastAsia" w:ascii="宋体" w:hAnsi="宋体" w:cs="宋体"/>
          <w:b/>
          <w:szCs w:val="21"/>
          <w:lang w:val="en-US" w:eastAsia="zh-CN"/>
        </w:rPr>
        <w:t>/本机构</w:t>
      </w:r>
      <w:r>
        <w:rPr>
          <w:rFonts w:hint="eastAsia" w:ascii="宋体" w:hAnsi="宋体" w:cs="宋体"/>
          <w:b/>
          <w:szCs w:val="21"/>
        </w:rPr>
        <w:t>已仔细阅读理财产品完整销售文件（包括理财产品投资协议书、销售（代理销售）协议书、理财产品说明书、风险揭示书、投资者权益须知等），已完全理解理财产品投资的性质和面临的风险，投资者本人</w:t>
      </w:r>
      <w:r>
        <w:rPr>
          <w:rFonts w:hint="eastAsia" w:ascii="宋体" w:hAnsi="宋体" w:cs="宋体"/>
          <w:b/>
          <w:szCs w:val="21"/>
          <w:lang w:val="en-US" w:eastAsia="zh-CN"/>
        </w:rPr>
        <w:t>/本机构</w:t>
      </w:r>
      <w:r>
        <w:rPr>
          <w:rFonts w:hint="eastAsia" w:ascii="宋体" w:hAnsi="宋体" w:cs="宋体"/>
          <w:b/>
          <w:szCs w:val="21"/>
        </w:rPr>
        <w:t>确认产品管理人或销售服务机构相关业务人员对于理财产品销售文件中限制本人</w:t>
      </w:r>
      <w:r>
        <w:rPr>
          <w:rFonts w:hint="eastAsia" w:ascii="宋体" w:hAnsi="宋体" w:cs="宋体"/>
          <w:b/>
          <w:szCs w:val="21"/>
          <w:lang w:val="en-US" w:eastAsia="zh-CN"/>
        </w:rPr>
        <w:t>/本机构</w:t>
      </w:r>
      <w:r>
        <w:rPr>
          <w:rFonts w:hint="eastAsia" w:ascii="宋体" w:hAnsi="宋体" w:cs="宋体"/>
          <w:b/>
          <w:szCs w:val="21"/>
        </w:rPr>
        <w:t>权利、增加本人</w:t>
      </w:r>
      <w:r>
        <w:rPr>
          <w:rFonts w:hint="eastAsia" w:ascii="宋体" w:hAnsi="宋体" w:cs="宋体"/>
          <w:b/>
          <w:szCs w:val="21"/>
          <w:lang w:val="en-US" w:eastAsia="zh-CN"/>
        </w:rPr>
        <w:t>/本机构</w:t>
      </w:r>
      <w:r>
        <w:rPr>
          <w:rFonts w:hint="eastAsia" w:ascii="宋体" w:hAnsi="宋体" w:cs="宋体"/>
          <w:b/>
          <w:szCs w:val="21"/>
        </w:rPr>
        <w:t>义务以及有关免除、限制产品管理人责任或产品管理人单方面拥有某些权利的条款已向本人</w:t>
      </w:r>
      <w:r>
        <w:rPr>
          <w:rFonts w:hint="eastAsia" w:ascii="宋体" w:hAnsi="宋体" w:cs="宋体"/>
          <w:b/>
          <w:szCs w:val="21"/>
          <w:lang w:val="en-US" w:eastAsia="zh-CN"/>
        </w:rPr>
        <w:t>/本机构</w:t>
      </w:r>
      <w:r>
        <w:rPr>
          <w:rFonts w:hint="eastAsia" w:ascii="宋体" w:hAnsi="宋体" w:cs="宋体"/>
          <w:b/>
          <w:szCs w:val="21"/>
        </w:rPr>
        <w:t>予以说明，本人</w:t>
      </w:r>
      <w:r>
        <w:rPr>
          <w:rFonts w:hint="eastAsia" w:ascii="宋体" w:hAnsi="宋体" w:cs="宋体"/>
          <w:b/>
          <w:szCs w:val="21"/>
          <w:lang w:val="en-US" w:eastAsia="zh-CN"/>
        </w:rPr>
        <w:t>/本机构</w:t>
      </w:r>
      <w:r>
        <w:rPr>
          <w:rFonts w:hint="eastAsia" w:ascii="宋体" w:hAnsi="宋体" w:cs="宋体"/>
          <w:b/>
          <w:szCs w:val="21"/>
        </w:rPr>
        <w:t>完全理解并自愿接受。</w:t>
      </w:r>
    </w:p>
    <w:p w14:paraId="1BF7175E">
      <w:pPr>
        <w:spacing w:line="360" w:lineRule="auto"/>
        <w:ind w:firstLine="422" w:firstLineChars="200"/>
        <w:rPr>
          <w:rFonts w:ascii="宋体" w:hAnsi="宋体" w:cs="宋体"/>
          <w:b/>
          <w:szCs w:val="21"/>
        </w:rPr>
      </w:pPr>
    </w:p>
    <w:p w14:paraId="594186EF">
      <w:pPr>
        <w:tabs>
          <w:tab w:val="left" w:pos="6946"/>
        </w:tabs>
        <w:spacing w:line="360" w:lineRule="auto"/>
        <w:rPr>
          <w:rFonts w:ascii="宋体" w:hAnsi="宋体" w:cs="宋体"/>
          <w:b/>
          <w:bCs/>
          <w:snapToGrid w:val="0"/>
          <w:szCs w:val="21"/>
        </w:rPr>
      </w:pPr>
      <w:r>
        <w:rPr>
          <w:rFonts w:hint="eastAsia" w:ascii="宋体" w:hAnsi="宋体" w:cs="宋体"/>
          <w:b/>
          <w:bCs/>
          <w:snapToGrid w:val="0"/>
          <w:szCs w:val="21"/>
        </w:rPr>
        <w:t>个人投资者签字：</w:t>
      </w:r>
      <w:r>
        <w:rPr>
          <w:rFonts w:ascii="宋体" w:hAnsi="宋体" w:cs="宋体"/>
          <w:b/>
          <w:bCs/>
          <w:snapToGrid w:val="0"/>
          <w:szCs w:val="21"/>
        </w:rPr>
        <w:tab/>
      </w:r>
      <w:r>
        <w:rPr>
          <w:rFonts w:hint="eastAsia" w:ascii="宋体" w:hAnsi="宋体" w:cs="宋体"/>
          <w:b/>
          <w:bCs/>
          <w:snapToGrid w:val="0"/>
          <w:szCs w:val="21"/>
        </w:rPr>
        <w:t>日期：</w:t>
      </w:r>
    </w:p>
    <w:p w14:paraId="3821AF3E">
      <w:pPr>
        <w:spacing w:line="360" w:lineRule="auto"/>
        <w:rPr>
          <w:rFonts w:ascii="宋体" w:hAnsi="宋体" w:cs="宋体"/>
          <w:b/>
          <w:bCs/>
          <w:snapToGrid w:val="0"/>
          <w:szCs w:val="21"/>
        </w:rPr>
      </w:pPr>
    </w:p>
    <w:p w14:paraId="43A4CE94">
      <w:pPr>
        <w:spacing w:line="360" w:lineRule="auto"/>
        <w:rPr>
          <w:rFonts w:ascii="宋体" w:hAnsi="宋体" w:cs="宋体"/>
          <w:b/>
          <w:bCs/>
          <w:snapToGrid w:val="0"/>
          <w:szCs w:val="21"/>
        </w:rPr>
      </w:pPr>
      <w:r>
        <w:rPr>
          <w:rFonts w:hint="eastAsia" w:ascii="宋体" w:hAnsi="宋体" w:cs="宋体"/>
          <w:b/>
          <w:bCs/>
          <w:snapToGrid w:val="0"/>
          <w:szCs w:val="21"/>
        </w:rPr>
        <w:t>机构投资者（盖章）：</w:t>
      </w:r>
    </w:p>
    <w:p w14:paraId="044ACAD5">
      <w:pPr>
        <w:tabs>
          <w:tab w:val="left" w:pos="6946"/>
        </w:tabs>
        <w:spacing w:line="360" w:lineRule="auto"/>
        <w:rPr>
          <w:rFonts w:ascii="宋体" w:hAnsi="宋体" w:cs="宋体"/>
          <w:b/>
          <w:bCs/>
          <w:snapToGrid w:val="0"/>
          <w:szCs w:val="21"/>
        </w:rPr>
      </w:pPr>
      <w:r>
        <w:rPr>
          <w:rFonts w:hint="eastAsia" w:ascii="宋体" w:hAnsi="宋体" w:cs="宋体"/>
          <w:b/>
          <w:bCs/>
          <w:snapToGrid w:val="0"/>
          <w:szCs w:val="21"/>
        </w:rPr>
        <w:t>机构投资者法定代表人或授权代表（签字或盖章）：</w:t>
      </w:r>
      <w:r>
        <w:rPr>
          <w:rFonts w:ascii="宋体" w:hAnsi="宋体" w:cs="宋体"/>
          <w:b/>
          <w:bCs/>
          <w:snapToGrid w:val="0"/>
          <w:szCs w:val="21"/>
        </w:rPr>
        <w:tab/>
      </w:r>
      <w:r>
        <w:rPr>
          <w:rFonts w:hint="eastAsia" w:ascii="宋体" w:hAnsi="宋体" w:cs="宋体"/>
          <w:b/>
          <w:bCs/>
          <w:snapToGrid w:val="0"/>
          <w:szCs w:val="21"/>
        </w:rPr>
        <w:t>日期：</w:t>
      </w:r>
    </w:p>
    <w:p w14:paraId="6F9B4ABC">
      <w:bookmarkStart w:id="18" w:name="_GoBack"/>
      <w:bookmarkEnd w:id="18"/>
    </w:p>
    <w:sectPr>
      <w:headerReference r:id="rId3" w:type="default"/>
      <w:footerReference r:id="rId4" w:type="default"/>
      <w:pgSz w:w="11906" w:h="16838"/>
      <w:pgMar w:top="1440" w:right="1558"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宋体 (标题)">
    <w:altName w:val="宋体"/>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2B85A6">
    <w:pPr>
      <w:pStyle w:val="6"/>
      <w:jc w:val="center"/>
    </w:pPr>
    <w:r>
      <w:rPr>
        <w:b/>
        <w:sz w:val="24"/>
        <w:szCs w:val="24"/>
      </w:rPr>
      <w:fldChar w:fldCharType="begin"/>
    </w:r>
    <w:r>
      <w:rPr>
        <w:b/>
      </w:rPr>
      <w:instrText xml:space="preserve">PAGE</w:instrText>
    </w:r>
    <w:r>
      <w:rPr>
        <w:b/>
        <w:sz w:val="24"/>
        <w:szCs w:val="24"/>
      </w:rPr>
      <w:fldChar w:fldCharType="separate"/>
    </w:r>
    <w:r>
      <w:rPr>
        <w:b/>
      </w:rPr>
      <w:t>13</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40</w:t>
    </w:r>
    <w:r>
      <w:rPr>
        <w:b/>
        <w:sz w:val="24"/>
        <w:szCs w:val="24"/>
      </w:rPr>
      <w:fldChar w:fldCharType="end"/>
    </w:r>
  </w:p>
  <w:p w14:paraId="4D9FC25E">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4AFBFF">
    <w:pPr>
      <w:pStyle w:val="7"/>
      <w:tabs>
        <w:tab w:val="clear" w:pos="4153"/>
      </w:tabs>
      <w:rPr>
        <w:rFonts w:ascii="宋体" w:hAnsi="宋体" w:cs="宋体"/>
        <w:b/>
        <w:bCs/>
        <w:sz w:val="30"/>
        <w:szCs w:val="30"/>
      </w:rPr>
    </w:pPr>
    <w:r>
      <w:rPr>
        <w:rFonts w:hint="eastAsia" w:ascii="黑体" w:hAnsi="黑体" w:eastAsia="黑体" w:cs="黑体"/>
        <w:b/>
        <w:bCs/>
        <w:sz w:val="30"/>
        <w:szCs w:val="30"/>
      </w:rPr>
      <w:t>光大理财</w:t>
    </w:r>
    <w:r>
      <w:rPr>
        <w:rFonts w:ascii="黑体" w:hAnsi="黑体" w:eastAsia="黑体" w:cs="黑体"/>
        <w:b/>
        <w:bCs/>
        <w:sz w:val="30"/>
        <w:szCs w:val="30"/>
      </w:rPr>
      <w:tab/>
    </w:r>
    <w:r>
      <w:rPr>
        <w:rFonts w:hint="eastAsia" w:ascii="黑体" w:hAnsi="黑体" w:eastAsia="黑体" w:cs="黑体"/>
        <w:b/>
        <w:bCs/>
        <w:sz w:val="30"/>
        <w:szCs w:val="30"/>
      </w:rPr>
      <w:t>理财非存款、产品有风险、投资须谨慎</w:t>
    </w:r>
  </w:p>
  <w:p w14:paraId="40C9E804">
    <w:pPr>
      <w:pStyle w:val="7"/>
    </w:pPr>
  </w:p>
  <w:p w14:paraId="50D7D54F">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12FDEC"/>
    <w:multiLevelType w:val="singleLevel"/>
    <w:tmpl w:val="9912FDEC"/>
    <w:lvl w:ilvl="0" w:tentative="0">
      <w:start w:val="2"/>
      <w:numFmt w:val="decimal"/>
      <w:suff w:val="nothing"/>
      <w:lvlText w:val="（%1）"/>
      <w:lvlJc w:val="left"/>
    </w:lvl>
  </w:abstractNum>
  <w:abstractNum w:abstractNumId="1">
    <w:nsid w:val="0A6C09B7"/>
    <w:multiLevelType w:val="multilevel"/>
    <w:tmpl w:val="0A6C09B7"/>
    <w:lvl w:ilvl="0" w:tentative="0">
      <w:start w:val="1"/>
      <w:numFmt w:val="decimal"/>
      <w:lvlText w:val="%1"/>
      <w:lvlJc w:val="left"/>
      <w:pPr>
        <w:tabs>
          <w:tab w:val="left" w:pos="567"/>
        </w:tabs>
        <w:ind w:left="567" w:firstLine="0"/>
      </w:pPr>
      <w:rPr>
        <w:rFonts w:hint="eastAsia"/>
      </w:rPr>
    </w:lvl>
    <w:lvl w:ilvl="1" w:tentative="0">
      <w:start w:val="1"/>
      <w:numFmt w:val="decimal"/>
      <w:pStyle w:val="2"/>
      <w:lvlText w:val="%1.%2"/>
      <w:lvlJc w:val="left"/>
      <w:pPr>
        <w:tabs>
          <w:tab w:val="left" w:pos="540"/>
        </w:tabs>
        <w:ind w:left="540" w:firstLine="0"/>
      </w:pPr>
      <w:rPr>
        <w:rFonts w:hint="default" w:ascii="Times New Roman" w:hAnsi="Times New Roman" w:cs="Times New Roman"/>
        <w:sz w:val="32"/>
        <w:szCs w:val="32"/>
      </w:rPr>
    </w:lvl>
    <w:lvl w:ilvl="2" w:tentative="0">
      <w:start w:val="1"/>
      <w:numFmt w:val="decimal"/>
      <w:lvlText w:val="%1.%2.%3"/>
      <w:lvlJc w:val="left"/>
      <w:pPr>
        <w:tabs>
          <w:tab w:val="left" w:pos="567"/>
        </w:tabs>
        <w:ind w:left="567" w:firstLine="0"/>
      </w:pPr>
      <w:rPr>
        <w:rFonts w:hint="default" w:ascii="Times New Roman" w:hAnsi="Times New Roman" w:eastAsia="宋体" w:cs="Times New Roman"/>
        <w:sz w:val="32"/>
        <w:szCs w:val="32"/>
      </w:rPr>
    </w:lvl>
    <w:lvl w:ilvl="3" w:tentative="0">
      <w:start w:val="1"/>
      <w:numFmt w:val="decimal"/>
      <w:lvlText w:val="%1.%2.%3.%4"/>
      <w:lvlJc w:val="left"/>
      <w:pPr>
        <w:tabs>
          <w:tab w:val="left" w:pos="567"/>
        </w:tabs>
        <w:ind w:left="567" w:firstLine="0"/>
      </w:pPr>
      <w:rPr>
        <w:rFonts w:hint="default" w:ascii="Times New Roman" w:hAnsi="Times New Roman" w:eastAsia="宋体" w:cs="Times New Roman"/>
        <w:b/>
        <w:bCs/>
        <w:i w:val="0"/>
        <w:iCs w:val="0"/>
        <w:caps w:val="0"/>
        <w:smallCaps w:val="0"/>
        <w:strike w:val="0"/>
        <w:dstrike w:val="0"/>
        <w:color w:val="000000"/>
        <w:spacing w:val="0"/>
        <w:w w:val="100"/>
        <w:kern w:val="2"/>
        <w:position w:val="0"/>
        <w:sz w:val="28"/>
        <w:szCs w:val="28"/>
        <w:u w:val="none"/>
        <w:shd w:val="clear" w:color="auto" w:fill="auto"/>
      </w:rPr>
    </w:lvl>
    <w:lvl w:ilvl="4" w:tentative="0">
      <w:start w:val="1"/>
      <w:numFmt w:val="decimal"/>
      <w:lvlText w:val="%1.%2.%3.%4.%5"/>
      <w:lvlJc w:val="left"/>
      <w:pPr>
        <w:tabs>
          <w:tab w:val="left" w:pos="1908"/>
        </w:tabs>
        <w:ind w:left="1908" w:hanging="1008"/>
      </w:pPr>
      <w:rPr>
        <w:rFonts w:hint="eastAsia"/>
      </w:rPr>
    </w:lvl>
    <w:lvl w:ilvl="5" w:tentative="0">
      <w:start w:val="1"/>
      <w:numFmt w:val="decimal"/>
      <w:lvlText w:val="%1.%2.%3.%4.%5.%6"/>
      <w:lvlJc w:val="left"/>
      <w:pPr>
        <w:tabs>
          <w:tab w:val="left" w:pos="2052"/>
        </w:tabs>
        <w:ind w:left="2052" w:hanging="1152"/>
      </w:pPr>
      <w:rPr>
        <w:rFonts w:hint="eastAsia"/>
      </w:rPr>
    </w:lvl>
    <w:lvl w:ilvl="6" w:tentative="0">
      <w:start w:val="1"/>
      <w:numFmt w:val="decimal"/>
      <w:lvlText w:val="%1.%2.%3.%4.%5.%6.%7"/>
      <w:lvlJc w:val="left"/>
      <w:pPr>
        <w:tabs>
          <w:tab w:val="left" w:pos="2196"/>
        </w:tabs>
        <w:ind w:left="2196" w:hanging="1296"/>
      </w:pPr>
      <w:rPr>
        <w:rFonts w:hint="eastAsia"/>
      </w:rPr>
    </w:lvl>
    <w:lvl w:ilvl="7" w:tentative="0">
      <w:start w:val="1"/>
      <w:numFmt w:val="decimal"/>
      <w:lvlText w:val="%1.%2.%3.%4.%5.%6.%7.%8"/>
      <w:lvlJc w:val="left"/>
      <w:pPr>
        <w:tabs>
          <w:tab w:val="left" w:pos="2340"/>
        </w:tabs>
        <w:ind w:left="2340" w:hanging="1440"/>
      </w:pPr>
      <w:rPr>
        <w:rFonts w:hint="eastAsia"/>
      </w:rPr>
    </w:lvl>
    <w:lvl w:ilvl="8" w:tentative="0">
      <w:start w:val="1"/>
      <w:numFmt w:val="decimal"/>
      <w:lvlText w:val="%1.%2.%3.%4.%5.%6.%7.%8.%9"/>
      <w:lvlJc w:val="left"/>
      <w:pPr>
        <w:tabs>
          <w:tab w:val="left" w:pos="2484"/>
        </w:tabs>
        <w:ind w:left="2484" w:hanging="1584"/>
      </w:pPr>
      <w:rPr>
        <w:rFonts w:hint="eastAsia"/>
      </w:rPr>
    </w:lvl>
  </w:abstractNum>
  <w:abstractNum w:abstractNumId="2">
    <w:nsid w:val="21BB4138"/>
    <w:multiLevelType w:val="multilevel"/>
    <w:tmpl w:val="21BB413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0NDdmZDM0OTk0ZDk5MWUxZWI5MTkyNTA4N2E2OTIifQ=="/>
    <w:docVar w:name="KSO_WPS_MARK_KEY" w:val="9be8fed9-f863-42aa-b2e0-537a9ba0feb9"/>
  </w:docVars>
  <w:rsids>
    <w:rsidRoot w:val="00172A27"/>
    <w:rsid w:val="00002CE9"/>
    <w:rsid w:val="00002FF2"/>
    <w:rsid w:val="00004A5F"/>
    <w:rsid w:val="00005153"/>
    <w:rsid w:val="000135D0"/>
    <w:rsid w:val="000141B0"/>
    <w:rsid w:val="000170AF"/>
    <w:rsid w:val="000206CD"/>
    <w:rsid w:val="0003032E"/>
    <w:rsid w:val="0003174D"/>
    <w:rsid w:val="00031F09"/>
    <w:rsid w:val="0003211F"/>
    <w:rsid w:val="00034FFD"/>
    <w:rsid w:val="00045C94"/>
    <w:rsid w:val="00050BAA"/>
    <w:rsid w:val="0005134F"/>
    <w:rsid w:val="000556FA"/>
    <w:rsid w:val="00056B33"/>
    <w:rsid w:val="000575EF"/>
    <w:rsid w:val="00061680"/>
    <w:rsid w:val="0006707B"/>
    <w:rsid w:val="000670FC"/>
    <w:rsid w:val="00074563"/>
    <w:rsid w:val="000749F5"/>
    <w:rsid w:val="00074B49"/>
    <w:rsid w:val="0008269D"/>
    <w:rsid w:val="000861C9"/>
    <w:rsid w:val="00090424"/>
    <w:rsid w:val="000933F2"/>
    <w:rsid w:val="00093AA1"/>
    <w:rsid w:val="00096DE9"/>
    <w:rsid w:val="00097550"/>
    <w:rsid w:val="000A083B"/>
    <w:rsid w:val="000A1087"/>
    <w:rsid w:val="000A6DAD"/>
    <w:rsid w:val="000B013C"/>
    <w:rsid w:val="000B093E"/>
    <w:rsid w:val="000B09EE"/>
    <w:rsid w:val="000B0AAF"/>
    <w:rsid w:val="000B1031"/>
    <w:rsid w:val="000B3E13"/>
    <w:rsid w:val="000B7C2C"/>
    <w:rsid w:val="000C123D"/>
    <w:rsid w:val="000C1EB7"/>
    <w:rsid w:val="000C49AB"/>
    <w:rsid w:val="000C55DB"/>
    <w:rsid w:val="000C614E"/>
    <w:rsid w:val="000D16EE"/>
    <w:rsid w:val="000E094F"/>
    <w:rsid w:val="000E10FB"/>
    <w:rsid w:val="000E153A"/>
    <w:rsid w:val="000E17EB"/>
    <w:rsid w:val="000E35F5"/>
    <w:rsid w:val="000F0A03"/>
    <w:rsid w:val="000F2592"/>
    <w:rsid w:val="00102A57"/>
    <w:rsid w:val="00104EBF"/>
    <w:rsid w:val="00105DEC"/>
    <w:rsid w:val="00120AE7"/>
    <w:rsid w:val="00120D39"/>
    <w:rsid w:val="00121781"/>
    <w:rsid w:val="00133FC8"/>
    <w:rsid w:val="0013727A"/>
    <w:rsid w:val="0014158F"/>
    <w:rsid w:val="001435DD"/>
    <w:rsid w:val="00143BCC"/>
    <w:rsid w:val="00145FB8"/>
    <w:rsid w:val="00146590"/>
    <w:rsid w:val="00151799"/>
    <w:rsid w:val="0015234B"/>
    <w:rsid w:val="00164733"/>
    <w:rsid w:val="00170448"/>
    <w:rsid w:val="001705AC"/>
    <w:rsid w:val="00172A27"/>
    <w:rsid w:val="0017585A"/>
    <w:rsid w:val="001774FC"/>
    <w:rsid w:val="001778A7"/>
    <w:rsid w:val="001821E4"/>
    <w:rsid w:val="00182870"/>
    <w:rsid w:val="0018425C"/>
    <w:rsid w:val="001845AB"/>
    <w:rsid w:val="0018577A"/>
    <w:rsid w:val="00185DF8"/>
    <w:rsid w:val="00191961"/>
    <w:rsid w:val="00192AC9"/>
    <w:rsid w:val="001937E6"/>
    <w:rsid w:val="001A35BA"/>
    <w:rsid w:val="001A5DC5"/>
    <w:rsid w:val="001A6451"/>
    <w:rsid w:val="001B00B3"/>
    <w:rsid w:val="001B0B21"/>
    <w:rsid w:val="001B33B9"/>
    <w:rsid w:val="001C09B4"/>
    <w:rsid w:val="001D11B2"/>
    <w:rsid w:val="001D234B"/>
    <w:rsid w:val="001D2C5E"/>
    <w:rsid w:val="001D3600"/>
    <w:rsid w:val="001D5199"/>
    <w:rsid w:val="001D65D5"/>
    <w:rsid w:val="001E0C26"/>
    <w:rsid w:val="001E2212"/>
    <w:rsid w:val="001F36DC"/>
    <w:rsid w:val="001F3AAC"/>
    <w:rsid w:val="001F7646"/>
    <w:rsid w:val="00202081"/>
    <w:rsid w:val="002045CC"/>
    <w:rsid w:val="002078A2"/>
    <w:rsid w:val="00217575"/>
    <w:rsid w:val="002204D4"/>
    <w:rsid w:val="00220BBE"/>
    <w:rsid w:val="00222A1C"/>
    <w:rsid w:val="00224C44"/>
    <w:rsid w:val="00225420"/>
    <w:rsid w:val="00227544"/>
    <w:rsid w:val="00231620"/>
    <w:rsid w:val="00236BE9"/>
    <w:rsid w:val="0024106A"/>
    <w:rsid w:val="00241F5C"/>
    <w:rsid w:val="0024519E"/>
    <w:rsid w:val="002467E0"/>
    <w:rsid w:val="00253315"/>
    <w:rsid w:val="00257FB7"/>
    <w:rsid w:val="00261485"/>
    <w:rsid w:val="00272289"/>
    <w:rsid w:val="00272376"/>
    <w:rsid w:val="002737F3"/>
    <w:rsid w:val="00274376"/>
    <w:rsid w:val="00274E57"/>
    <w:rsid w:val="002763FD"/>
    <w:rsid w:val="002766E0"/>
    <w:rsid w:val="00280598"/>
    <w:rsid w:val="00282568"/>
    <w:rsid w:val="002866B1"/>
    <w:rsid w:val="00286C35"/>
    <w:rsid w:val="0029030E"/>
    <w:rsid w:val="00292F93"/>
    <w:rsid w:val="00294254"/>
    <w:rsid w:val="00295C90"/>
    <w:rsid w:val="002A222A"/>
    <w:rsid w:val="002A2301"/>
    <w:rsid w:val="002A3192"/>
    <w:rsid w:val="002A3A3B"/>
    <w:rsid w:val="002B1001"/>
    <w:rsid w:val="002B4298"/>
    <w:rsid w:val="002B7440"/>
    <w:rsid w:val="002B78B0"/>
    <w:rsid w:val="002C1646"/>
    <w:rsid w:val="002C28CB"/>
    <w:rsid w:val="002C4163"/>
    <w:rsid w:val="002C4EC0"/>
    <w:rsid w:val="002D123E"/>
    <w:rsid w:val="002D2A0E"/>
    <w:rsid w:val="002D6810"/>
    <w:rsid w:val="002D695C"/>
    <w:rsid w:val="002E2119"/>
    <w:rsid w:val="002E34CD"/>
    <w:rsid w:val="002E5313"/>
    <w:rsid w:val="002F5C50"/>
    <w:rsid w:val="002F7DC4"/>
    <w:rsid w:val="0030007F"/>
    <w:rsid w:val="0030741F"/>
    <w:rsid w:val="003100A4"/>
    <w:rsid w:val="003110F7"/>
    <w:rsid w:val="00311538"/>
    <w:rsid w:val="0031762E"/>
    <w:rsid w:val="00321F5D"/>
    <w:rsid w:val="00324D18"/>
    <w:rsid w:val="00326582"/>
    <w:rsid w:val="00327299"/>
    <w:rsid w:val="00327577"/>
    <w:rsid w:val="0033394C"/>
    <w:rsid w:val="00333B8F"/>
    <w:rsid w:val="003471C4"/>
    <w:rsid w:val="00355DE3"/>
    <w:rsid w:val="0036036D"/>
    <w:rsid w:val="0036189E"/>
    <w:rsid w:val="00361A2F"/>
    <w:rsid w:val="00362B0E"/>
    <w:rsid w:val="003637F5"/>
    <w:rsid w:val="00363BC9"/>
    <w:rsid w:val="00365317"/>
    <w:rsid w:val="00371EBD"/>
    <w:rsid w:val="00372A25"/>
    <w:rsid w:val="00390BC9"/>
    <w:rsid w:val="00390C20"/>
    <w:rsid w:val="00390C38"/>
    <w:rsid w:val="00392097"/>
    <w:rsid w:val="00392F12"/>
    <w:rsid w:val="00392FE1"/>
    <w:rsid w:val="0039358C"/>
    <w:rsid w:val="00394176"/>
    <w:rsid w:val="003A0AAB"/>
    <w:rsid w:val="003A17E8"/>
    <w:rsid w:val="003A3361"/>
    <w:rsid w:val="003A4418"/>
    <w:rsid w:val="003B2B20"/>
    <w:rsid w:val="003B5B83"/>
    <w:rsid w:val="003B70F1"/>
    <w:rsid w:val="003C044E"/>
    <w:rsid w:val="003C28F8"/>
    <w:rsid w:val="003C2D1F"/>
    <w:rsid w:val="003C6049"/>
    <w:rsid w:val="003D02F9"/>
    <w:rsid w:val="003D0D0B"/>
    <w:rsid w:val="003D1BBD"/>
    <w:rsid w:val="003D2391"/>
    <w:rsid w:val="003D3FFB"/>
    <w:rsid w:val="003D41ED"/>
    <w:rsid w:val="003E1BA4"/>
    <w:rsid w:val="003E1C75"/>
    <w:rsid w:val="003E1EED"/>
    <w:rsid w:val="003E246C"/>
    <w:rsid w:val="003E475B"/>
    <w:rsid w:val="003E55C7"/>
    <w:rsid w:val="003E6B2C"/>
    <w:rsid w:val="003F2DA9"/>
    <w:rsid w:val="003F6162"/>
    <w:rsid w:val="003F71F9"/>
    <w:rsid w:val="004000D0"/>
    <w:rsid w:val="00406F62"/>
    <w:rsid w:val="00410E54"/>
    <w:rsid w:val="0041329C"/>
    <w:rsid w:val="0041597C"/>
    <w:rsid w:val="0042166E"/>
    <w:rsid w:val="00421B8F"/>
    <w:rsid w:val="00422D77"/>
    <w:rsid w:val="004324A3"/>
    <w:rsid w:val="00437809"/>
    <w:rsid w:val="00441A10"/>
    <w:rsid w:val="00442166"/>
    <w:rsid w:val="0044552C"/>
    <w:rsid w:val="00450CFA"/>
    <w:rsid w:val="004514A1"/>
    <w:rsid w:val="00452DEF"/>
    <w:rsid w:val="00457C04"/>
    <w:rsid w:val="00461AC2"/>
    <w:rsid w:val="00466F3B"/>
    <w:rsid w:val="00467906"/>
    <w:rsid w:val="00470F08"/>
    <w:rsid w:val="00472100"/>
    <w:rsid w:val="004722AF"/>
    <w:rsid w:val="00472CF2"/>
    <w:rsid w:val="004804F3"/>
    <w:rsid w:val="00481441"/>
    <w:rsid w:val="0048430A"/>
    <w:rsid w:val="004915CB"/>
    <w:rsid w:val="004A010F"/>
    <w:rsid w:val="004A0FF5"/>
    <w:rsid w:val="004B2873"/>
    <w:rsid w:val="004B5FE5"/>
    <w:rsid w:val="004B61AE"/>
    <w:rsid w:val="004C53C2"/>
    <w:rsid w:val="004D0801"/>
    <w:rsid w:val="004D10C1"/>
    <w:rsid w:val="004D1204"/>
    <w:rsid w:val="004D7C8C"/>
    <w:rsid w:val="004E49EC"/>
    <w:rsid w:val="004E78DC"/>
    <w:rsid w:val="004F039D"/>
    <w:rsid w:val="004F0E97"/>
    <w:rsid w:val="004F3B10"/>
    <w:rsid w:val="004F3B9C"/>
    <w:rsid w:val="004F4676"/>
    <w:rsid w:val="004F5B31"/>
    <w:rsid w:val="00501DD4"/>
    <w:rsid w:val="00507A55"/>
    <w:rsid w:val="00510DB3"/>
    <w:rsid w:val="0051355B"/>
    <w:rsid w:val="005213C8"/>
    <w:rsid w:val="00521FCD"/>
    <w:rsid w:val="00523CB1"/>
    <w:rsid w:val="00525711"/>
    <w:rsid w:val="005343CB"/>
    <w:rsid w:val="00542922"/>
    <w:rsid w:val="00543419"/>
    <w:rsid w:val="00550565"/>
    <w:rsid w:val="00551985"/>
    <w:rsid w:val="00553AB3"/>
    <w:rsid w:val="00557123"/>
    <w:rsid w:val="00561685"/>
    <w:rsid w:val="005618C8"/>
    <w:rsid w:val="005624B3"/>
    <w:rsid w:val="005645E0"/>
    <w:rsid w:val="00565CE1"/>
    <w:rsid w:val="005700B3"/>
    <w:rsid w:val="00582505"/>
    <w:rsid w:val="00584423"/>
    <w:rsid w:val="00591EC1"/>
    <w:rsid w:val="00593DC5"/>
    <w:rsid w:val="0059580A"/>
    <w:rsid w:val="00596858"/>
    <w:rsid w:val="00597B2B"/>
    <w:rsid w:val="005A02FC"/>
    <w:rsid w:val="005A30AB"/>
    <w:rsid w:val="005A3AE2"/>
    <w:rsid w:val="005B5A64"/>
    <w:rsid w:val="005B5F93"/>
    <w:rsid w:val="005B69E5"/>
    <w:rsid w:val="005C4386"/>
    <w:rsid w:val="005C52B7"/>
    <w:rsid w:val="005C5612"/>
    <w:rsid w:val="005C5746"/>
    <w:rsid w:val="005C5A99"/>
    <w:rsid w:val="005C5C90"/>
    <w:rsid w:val="005D0DDC"/>
    <w:rsid w:val="005D490B"/>
    <w:rsid w:val="005D5D20"/>
    <w:rsid w:val="005E4339"/>
    <w:rsid w:val="005E4DFC"/>
    <w:rsid w:val="005E68B4"/>
    <w:rsid w:val="005F58D3"/>
    <w:rsid w:val="00601BB1"/>
    <w:rsid w:val="00602207"/>
    <w:rsid w:val="006101C5"/>
    <w:rsid w:val="00615F74"/>
    <w:rsid w:val="0062139D"/>
    <w:rsid w:val="0062275A"/>
    <w:rsid w:val="00624CAB"/>
    <w:rsid w:val="00630A91"/>
    <w:rsid w:val="00634C1B"/>
    <w:rsid w:val="0063774A"/>
    <w:rsid w:val="006404C2"/>
    <w:rsid w:val="00641704"/>
    <w:rsid w:val="00643D81"/>
    <w:rsid w:val="00656599"/>
    <w:rsid w:val="00663452"/>
    <w:rsid w:val="006644FA"/>
    <w:rsid w:val="006647A1"/>
    <w:rsid w:val="00676DA9"/>
    <w:rsid w:val="00681169"/>
    <w:rsid w:val="00681919"/>
    <w:rsid w:val="006826C7"/>
    <w:rsid w:val="00685342"/>
    <w:rsid w:val="00690CB1"/>
    <w:rsid w:val="006921EF"/>
    <w:rsid w:val="00697976"/>
    <w:rsid w:val="006A3EA3"/>
    <w:rsid w:val="006A4CB0"/>
    <w:rsid w:val="006B7D5D"/>
    <w:rsid w:val="006C008E"/>
    <w:rsid w:val="006C3938"/>
    <w:rsid w:val="006C3E6F"/>
    <w:rsid w:val="006C467C"/>
    <w:rsid w:val="006C5BDA"/>
    <w:rsid w:val="006D1943"/>
    <w:rsid w:val="006E471E"/>
    <w:rsid w:val="006E7960"/>
    <w:rsid w:val="006F4140"/>
    <w:rsid w:val="006F7BD3"/>
    <w:rsid w:val="0070253A"/>
    <w:rsid w:val="00703B66"/>
    <w:rsid w:val="007115A3"/>
    <w:rsid w:val="00713557"/>
    <w:rsid w:val="007155C7"/>
    <w:rsid w:val="0071782F"/>
    <w:rsid w:val="0072323C"/>
    <w:rsid w:val="00725902"/>
    <w:rsid w:val="007272F8"/>
    <w:rsid w:val="007300DE"/>
    <w:rsid w:val="00735A7E"/>
    <w:rsid w:val="00741FF2"/>
    <w:rsid w:val="007459DD"/>
    <w:rsid w:val="00746DF9"/>
    <w:rsid w:val="00756D51"/>
    <w:rsid w:val="00757DB2"/>
    <w:rsid w:val="0076089F"/>
    <w:rsid w:val="00761DC8"/>
    <w:rsid w:val="0076533C"/>
    <w:rsid w:val="00770F07"/>
    <w:rsid w:val="00775C4B"/>
    <w:rsid w:val="00776DF2"/>
    <w:rsid w:val="00780CBB"/>
    <w:rsid w:val="00782001"/>
    <w:rsid w:val="00782651"/>
    <w:rsid w:val="0078799C"/>
    <w:rsid w:val="007928B5"/>
    <w:rsid w:val="00794C9C"/>
    <w:rsid w:val="007973C9"/>
    <w:rsid w:val="007A07ED"/>
    <w:rsid w:val="007A22A9"/>
    <w:rsid w:val="007A7B1E"/>
    <w:rsid w:val="007B18CF"/>
    <w:rsid w:val="007B1DFD"/>
    <w:rsid w:val="007C1407"/>
    <w:rsid w:val="007C1929"/>
    <w:rsid w:val="007C3A24"/>
    <w:rsid w:val="007C5BF0"/>
    <w:rsid w:val="007C6083"/>
    <w:rsid w:val="007D0853"/>
    <w:rsid w:val="007D5A02"/>
    <w:rsid w:val="007E0983"/>
    <w:rsid w:val="007E3284"/>
    <w:rsid w:val="007E4241"/>
    <w:rsid w:val="007E6DC9"/>
    <w:rsid w:val="007E7FCA"/>
    <w:rsid w:val="007F10D7"/>
    <w:rsid w:val="007F262B"/>
    <w:rsid w:val="00800F19"/>
    <w:rsid w:val="00804C06"/>
    <w:rsid w:val="00807A54"/>
    <w:rsid w:val="0081111C"/>
    <w:rsid w:val="008129BA"/>
    <w:rsid w:val="00820042"/>
    <w:rsid w:val="00822F1F"/>
    <w:rsid w:val="00823C71"/>
    <w:rsid w:val="008240F7"/>
    <w:rsid w:val="00825D26"/>
    <w:rsid w:val="00826D6C"/>
    <w:rsid w:val="008319CE"/>
    <w:rsid w:val="008322B5"/>
    <w:rsid w:val="008376C8"/>
    <w:rsid w:val="00841329"/>
    <w:rsid w:val="0084456F"/>
    <w:rsid w:val="00845D0D"/>
    <w:rsid w:val="00851334"/>
    <w:rsid w:val="00860693"/>
    <w:rsid w:val="0086127C"/>
    <w:rsid w:val="008625FB"/>
    <w:rsid w:val="0086627C"/>
    <w:rsid w:val="00867B59"/>
    <w:rsid w:val="00873243"/>
    <w:rsid w:val="00874855"/>
    <w:rsid w:val="008811ED"/>
    <w:rsid w:val="0088164F"/>
    <w:rsid w:val="00884ED4"/>
    <w:rsid w:val="00887CF4"/>
    <w:rsid w:val="00893F73"/>
    <w:rsid w:val="00895913"/>
    <w:rsid w:val="008A42BD"/>
    <w:rsid w:val="008A72A0"/>
    <w:rsid w:val="008B1B19"/>
    <w:rsid w:val="008B2D32"/>
    <w:rsid w:val="008B36B1"/>
    <w:rsid w:val="008B3D55"/>
    <w:rsid w:val="008B62CA"/>
    <w:rsid w:val="008C118C"/>
    <w:rsid w:val="008C1567"/>
    <w:rsid w:val="008C30AA"/>
    <w:rsid w:val="008C3B9E"/>
    <w:rsid w:val="008C4AFF"/>
    <w:rsid w:val="008C571C"/>
    <w:rsid w:val="008D24F9"/>
    <w:rsid w:val="008D34AE"/>
    <w:rsid w:val="008D7401"/>
    <w:rsid w:val="008E18C2"/>
    <w:rsid w:val="008E1F45"/>
    <w:rsid w:val="008E4413"/>
    <w:rsid w:val="008E72B0"/>
    <w:rsid w:val="008F0E79"/>
    <w:rsid w:val="008F22E6"/>
    <w:rsid w:val="008F6EAE"/>
    <w:rsid w:val="0090053D"/>
    <w:rsid w:val="00900A89"/>
    <w:rsid w:val="0090154A"/>
    <w:rsid w:val="00905A6F"/>
    <w:rsid w:val="009116AE"/>
    <w:rsid w:val="00913EE1"/>
    <w:rsid w:val="009148F1"/>
    <w:rsid w:val="00916B1E"/>
    <w:rsid w:val="0091700F"/>
    <w:rsid w:val="009225C9"/>
    <w:rsid w:val="00923D3F"/>
    <w:rsid w:val="00925CE7"/>
    <w:rsid w:val="009264FD"/>
    <w:rsid w:val="0092708A"/>
    <w:rsid w:val="00927F9B"/>
    <w:rsid w:val="00933945"/>
    <w:rsid w:val="00935D54"/>
    <w:rsid w:val="00943906"/>
    <w:rsid w:val="00944408"/>
    <w:rsid w:val="00945033"/>
    <w:rsid w:val="009458B0"/>
    <w:rsid w:val="00947852"/>
    <w:rsid w:val="009531D9"/>
    <w:rsid w:val="009534D3"/>
    <w:rsid w:val="00955464"/>
    <w:rsid w:val="00956710"/>
    <w:rsid w:val="009579AF"/>
    <w:rsid w:val="009608FC"/>
    <w:rsid w:val="009610A5"/>
    <w:rsid w:val="00961703"/>
    <w:rsid w:val="009634AD"/>
    <w:rsid w:val="009648B7"/>
    <w:rsid w:val="00965EB0"/>
    <w:rsid w:val="00970174"/>
    <w:rsid w:val="009760A0"/>
    <w:rsid w:val="00983991"/>
    <w:rsid w:val="00984227"/>
    <w:rsid w:val="0099014C"/>
    <w:rsid w:val="009903F5"/>
    <w:rsid w:val="009915F9"/>
    <w:rsid w:val="0099348F"/>
    <w:rsid w:val="009949BE"/>
    <w:rsid w:val="009A038E"/>
    <w:rsid w:val="009A20DF"/>
    <w:rsid w:val="009A3283"/>
    <w:rsid w:val="009A3EED"/>
    <w:rsid w:val="009A5AB0"/>
    <w:rsid w:val="009B03C5"/>
    <w:rsid w:val="009B4E62"/>
    <w:rsid w:val="009B7964"/>
    <w:rsid w:val="009B7B0F"/>
    <w:rsid w:val="009C02B0"/>
    <w:rsid w:val="009C307E"/>
    <w:rsid w:val="009C4B62"/>
    <w:rsid w:val="009C504A"/>
    <w:rsid w:val="009C5605"/>
    <w:rsid w:val="009C5A80"/>
    <w:rsid w:val="009C76FA"/>
    <w:rsid w:val="009D5593"/>
    <w:rsid w:val="009D6542"/>
    <w:rsid w:val="009E5612"/>
    <w:rsid w:val="009F2D70"/>
    <w:rsid w:val="00A003A1"/>
    <w:rsid w:val="00A009EA"/>
    <w:rsid w:val="00A02800"/>
    <w:rsid w:val="00A054D3"/>
    <w:rsid w:val="00A07605"/>
    <w:rsid w:val="00A12278"/>
    <w:rsid w:val="00A145BE"/>
    <w:rsid w:val="00A163DD"/>
    <w:rsid w:val="00A1762D"/>
    <w:rsid w:val="00A33155"/>
    <w:rsid w:val="00A36A01"/>
    <w:rsid w:val="00A40340"/>
    <w:rsid w:val="00A468DE"/>
    <w:rsid w:val="00A46EEA"/>
    <w:rsid w:val="00A474C4"/>
    <w:rsid w:val="00A5256B"/>
    <w:rsid w:val="00A531AC"/>
    <w:rsid w:val="00A54EEB"/>
    <w:rsid w:val="00A6106A"/>
    <w:rsid w:val="00A62580"/>
    <w:rsid w:val="00A632C7"/>
    <w:rsid w:val="00A65DBA"/>
    <w:rsid w:val="00A65E96"/>
    <w:rsid w:val="00A6646D"/>
    <w:rsid w:val="00A66F3A"/>
    <w:rsid w:val="00A67C92"/>
    <w:rsid w:val="00A71B5A"/>
    <w:rsid w:val="00A74AC7"/>
    <w:rsid w:val="00A75127"/>
    <w:rsid w:val="00A754F5"/>
    <w:rsid w:val="00A7771A"/>
    <w:rsid w:val="00A80374"/>
    <w:rsid w:val="00A81531"/>
    <w:rsid w:val="00A838D5"/>
    <w:rsid w:val="00A9039C"/>
    <w:rsid w:val="00A909FD"/>
    <w:rsid w:val="00A9375E"/>
    <w:rsid w:val="00A966DE"/>
    <w:rsid w:val="00AA5E42"/>
    <w:rsid w:val="00AA792D"/>
    <w:rsid w:val="00AB3950"/>
    <w:rsid w:val="00AB44B4"/>
    <w:rsid w:val="00AB6CA5"/>
    <w:rsid w:val="00AB7D0F"/>
    <w:rsid w:val="00AC2B02"/>
    <w:rsid w:val="00AC432A"/>
    <w:rsid w:val="00AC5669"/>
    <w:rsid w:val="00AC5DC9"/>
    <w:rsid w:val="00AD2C05"/>
    <w:rsid w:val="00AD3C51"/>
    <w:rsid w:val="00AD5987"/>
    <w:rsid w:val="00AD639B"/>
    <w:rsid w:val="00AD713D"/>
    <w:rsid w:val="00AD739D"/>
    <w:rsid w:val="00AE373C"/>
    <w:rsid w:val="00AF1792"/>
    <w:rsid w:val="00AF1918"/>
    <w:rsid w:val="00AF3D1A"/>
    <w:rsid w:val="00AF6D66"/>
    <w:rsid w:val="00B16B39"/>
    <w:rsid w:val="00B17ACC"/>
    <w:rsid w:val="00B21E99"/>
    <w:rsid w:val="00B21EBE"/>
    <w:rsid w:val="00B25B3C"/>
    <w:rsid w:val="00B36ACD"/>
    <w:rsid w:val="00B370B8"/>
    <w:rsid w:val="00B4457E"/>
    <w:rsid w:val="00B53121"/>
    <w:rsid w:val="00B53DA2"/>
    <w:rsid w:val="00B646D2"/>
    <w:rsid w:val="00B700A0"/>
    <w:rsid w:val="00B73B63"/>
    <w:rsid w:val="00B7532E"/>
    <w:rsid w:val="00B7542E"/>
    <w:rsid w:val="00B75B9A"/>
    <w:rsid w:val="00B75D06"/>
    <w:rsid w:val="00B76361"/>
    <w:rsid w:val="00B768EA"/>
    <w:rsid w:val="00B806CD"/>
    <w:rsid w:val="00B80DBF"/>
    <w:rsid w:val="00B81289"/>
    <w:rsid w:val="00B91DA5"/>
    <w:rsid w:val="00B92C9E"/>
    <w:rsid w:val="00B93FEF"/>
    <w:rsid w:val="00B9454D"/>
    <w:rsid w:val="00B96F51"/>
    <w:rsid w:val="00BA4524"/>
    <w:rsid w:val="00BA474F"/>
    <w:rsid w:val="00BA55F0"/>
    <w:rsid w:val="00BA5DFB"/>
    <w:rsid w:val="00BB100E"/>
    <w:rsid w:val="00BB2328"/>
    <w:rsid w:val="00BB2A76"/>
    <w:rsid w:val="00BB2E2E"/>
    <w:rsid w:val="00BC0455"/>
    <w:rsid w:val="00BC3B12"/>
    <w:rsid w:val="00BD11EB"/>
    <w:rsid w:val="00BD1CF8"/>
    <w:rsid w:val="00BD371A"/>
    <w:rsid w:val="00BD464B"/>
    <w:rsid w:val="00BE2D57"/>
    <w:rsid w:val="00BE6290"/>
    <w:rsid w:val="00BE75D9"/>
    <w:rsid w:val="00BF1006"/>
    <w:rsid w:val="00BF3AAE"/>
    <w:rsid w:val="00BF4191"/>
    <w:rsid w:val="00BF6604"/>
    <w:rsid w:val="00BF6D4F"/>
    <w:rsid w:val="00BF7581"/>
    <w:rsid w:val="00BF7B54"/>
    <w:rsid w:val="00C00C1E"/>
    <w:rsid w:val="00C020F4"/>
    <w:rsid w:val="00C05034"/>
    <w:rsid w:val="00C05A3A"/>
    <w:rsid w:val="00C07647"/>
    <w:rsid w:val="00C12F88"/>
    <w:rsid w:val="00C15865"/>
    <w:rsid w:val="00C22ED1"/>
    <w:rsid w:val="00C23D65"/>
    <w:rsid w:val="00C24445"/>
    <w:rsid w:val="00C258C1"/>
    <w:rsid w:val="00C268BA"/>
    <w:rsid w:val="00C26E3D"/>
    <w:rsid w:val="00C30348"/>
    <w:rsid w:val="00C330D5"/>
    <w:rsid w:val="00C40590"/>
    <w:rsid w:val="00C429F3"/>
    <w:rsid w:val="00C447F3"/>
    <w:rsid w:val="00C4507D"/>
    <w:rsid w:val="00C469BC"/>
    <w:rsid w:val="00C54C4C"/>
    <w:rsid w:val="00C6240B"/>
    <w:rsid w:val="00C64C98"/>
    <w:rsid w:val="00C65F16"/>
    <w:rsid w:val="00C662C0"/>
    <w:rsid w:val="00C66489"/>
    <w:rsid w:val="00C74B88"/>
    <w:rsid w:val="00C77236"/>
    <w:rsid w:val="00C77BBD"/>
    <w:rsid w:val="00C82F72"/>
    <w:rsid w:val="00C85251"/>
    <w:rsid w:val="00C860C0"/>
    <w:rsid w:val="00C87510"/>
    <w:rsid w:val="00C90C5B"/>
    <w:rsid w:val="00C956A9"/>
    <w:rsid w:val="00C96DC1"/>
    <w:rsid w:val="00C97790"/>
    <w:rsid w:val="00CA2131"/>
    <w:rsid w:val="00CA2CAD"/>
    <w:rsid w:val="00CA4605"/>
    <w:rsid w:val="00CB24EC"/>
    <w:rsid w:val="00CC2EBF"/>
    <w:rsid w:val="00CC4885"/>
    <w:rsid w:val="00CC6A00"/>
    <w:rsid w:val="00CD173D"/>
    <w:rsid w:val="00CD242B"/>
    <w:rsid w:val="00CD7708"/>
    <w:rsid w:val="00CE21EF"/>
    <w:rsid w:val="00CE2C7F"/>
    <w:rsid w:val="00CE4E7A"/>
    <w:rsid w:val="00CF1D15"/>
    <w:rsid w:val="00CF3756"/>
    <w:rsid w:val="00CF4D51"/>
    <w:rsid w:val="00CF71AB"/>
    <w:rsid w:val="00D011CD"/>
    <w:rsid w:val="00D01C6E"/>
    <w:rsid w:val="00D03D17"/>
    <w:rsid w:val="00D0438D"/>
    <w:rsid w:val="00D04B89"/>
    <w:rsid w:val="00D05B62"/>
    <w:rsid w:val="00D05E8D"/>
    <w:rsid w:val="00D06861"/>
    <w:rsid w:val="00D103F4"/>
    <w:rsid w:val="00D25621"/>
    <w:rsid w:val="00D2725E"/>
    <w:rsid w:val="00D27BF9"/>
    <w:rsid w:val="00D30706"/>
    <w:rsid w:val="00D32E54"/>
    <w:rsid w:val="00D375A6"/>
    <w:rsid w:val="00D37801"/>
    <w:rsid w:val="00D37C53"/>
    <w:rsid w:val="00D41279"/>
    <w:rsid w:val="00D437DA"/>
    <w:rsid w:val="00D52AA9"/>
    <w:rsid w:val="00D56A22"/>
    <w:rsid w:val="00D6103F"/>
    <w:rsid w:val="00D63931"/>
    <w:rsid w:val="00D66573"/>
    <w:rsid w:val="00D70DE1"/>
    <w:rsid w:val="00D7435D"/>
    <w:rsid w:val="00D75B31"/>
    <w:rsid w:val="00D77EB3"/>
    <w:rsid w:val="00D82DE5"/>
    <w:rsid w:val="00D83E12"/>
    <w:rsid w:val="00D8496D"/>
    <w:rsid w:val="00D8539D"/>
    <w:rsid w:val="00D85653"/>
    <w:rsid w:val="00D86159"/>
    <w:rsid w:val="00D911F3"/>
    <w:rsid w:val="00D91800"/>
    <w:rsid w:val="00D92DB7"/>
    <w:rsid w:val="00D9505C"/>
    <w:rsid w:val="00D97860"/>
    <w:rsid w:val="00DA283A"/>
    <w:rsid w:val="00DA4AB3"/>
    <w:rsid w:val="00DA4C62"/>
    <w:rsid w:val="00DA5564"/>
    <w:rsid w:val="00DB117E"/>
    <w:rsid w:val="00DB29E2"/>
    <w:rsid w:val="00DB6FA3"/>
    <w:rsid w:val="00DC17A1"/>
    <w:rsid w:val="00DD13E0"/>
    <w:rsid w:val="00DD72B7"/>
    <w:rsid w:val="00DE226A"/>
    <w:rsid w:val="00DE2963"/>
    <w:rsid w:val="00DE49C6"/>
    <w:rsid w:val="00DF084D"/>
    <w:rsid w:val="00DF6147"/>
    <w:rsid w:val="00E049C8"/>
    <w:rsid w:val="00E105B5"/>
    <w:rsid w:val="00E13772"/>
    <w:rsid w:val="00E15AF9"/>
    <w:rsid w:val="00E173C4"/>
    <w:rsid w:val="00E23BEB"/>
    <w:rsid w:val="00E26B61"/>
    <w:rsid w:val="00E278EB"/>
    <w:rsid w:val="00E3690D"/>
    <w:rsid w:val="00E36D29"/>
    <w:rsid w:val="00E4055C"/>
    <w:rsid w:val="00E40E03"/>
    <w:rsid w:val="00E46AC2"/>
    <w:rsid w:val="00E50619"/>
    <w:rsid w:val="00E52D88"/>
    <w:rsid w:val="00E54DEB"/>
    <w:rsid w:val="00E550FD"/>
    <w:rsid w:val="00E56CB0"/>
    <w:rsid w:val="00E57CC1"/>
    <w:rsid w:val="00E64E79"/>
    <w:rsid w:val="00E65FD5"/>
    <w:rsid w:val="00E72268"/>
    <w:rsid w:val="00E748AB"/>
    <w:rsid w:val="00E7497C"/>
    <w:rsid w:val="00E74F14"/>
    <w:rsid w:val="00E763AF"/>
    <w:rsid w:val="00E80646"/>
    <w:rsid w:val="00E80F4D"/>
    <w:rsid w:val="00E86075"/>
    <w:rsid w:val="00E86DCF"/>
    <w:rsid w:val="00EA0A8B"/>
    <w:rsid w:val="00EA5932"/>
    <w:rsid w:val="00EB0063"/>
    <w:rsid w:val="00EC7BCE"/>
    <w:rsid w:val="00ED27EC"/>
    <w:rsid w:val="00ED3669"/>
    <w:rsid w:val="00ED57E1"/>
    <w:rsid w:val="00EF4F47"/>
    <w:rsid w:val="00EF536C"/>
    <w:rsid w:val="00EF71EF"/>
    <w:rsid w:val="00F05C62"/>
    <w:rsid w:val="00F10B0F"/>
    <w:rsid w:val="00F13E0D"/>
    <w:rsid w:val="00F163F3"/>
    <w:rsid w:val="00F1657C"/>
    <w:rsid w:val="00F278D6"/>
    <w:rsid w:val="00F33F65"/>
    <w:rsid w:val="00F518A4"/>
    <w:rsid w:val="00F60426"/>
    <w:rsid w:val="00F607D9"/>
    <w:rsid w:val="00F623BE"/>
    <w:rsid w:val="00F62407"/>
    <w:rsid w:val="00F62BA8"/>
    <w:rsid w:val="00F646BB"/>
    <w:rsid w:val="00F717F1"/>
    <w:rsid w:val="00F719B2"/>
    <w:rsid w:val="00F757D0"/>
    <w:rsid w:val="00F76563"/>
    <w:rsid w:val="00F76BA7"/>
    <w:rsid w:val="00F863C4"/>
    <w:rsid w:val="00F930C2"/>
    <w:rsid w:val="00F93F51"/>
    <w:rsid w:val="00F94DF8"/>
    <w:rsid w:val="00F9533E"/>
    <w:rsid w:val="00F95F5B"/>
    <w:rsid w:val="00F96123"/>
    <w:rsid w:val="00FA0BC8"/>
    <w:rsid w:val="00FA127F"/>
    <w:rsid w:val="00FA1319"/>
    <w:rsid w:val="00FA239C"/>
    <w:rsid w:val="00FB07AB"/>
    <w:rsid w:val="00FB6150"/>
    <w:rsid w:val="00FC10BC"/>
    <w:rsid w:val="00FD0A92"/>
    <w:rsid w:val="00FD119C"/>
    <w:rsid w:val="00FD446D"/>
    <w:rsid w:val="00FE1F1A"/>
    <w:rsid w:val="00FF099A"/>
    <w:rsid w:val="00FF0E90"/>
    <w:rsid w:val="00FF3D5F"/>
    <w:rsid w:val="01107C48"/>
    <w:rsid w:val="016E1B32"/>
    <w:rsid w:val="017F1752"/>
    <w:rsid w:val="018A088E"/>
    <w:rsid w:val="022A4754"/>
    <w:rsid w:val="02715005"/>
    <w:rsid w:val="0293267C"/>
    <w:rsid w:val="02A44B47"/>
    <w:rsid w:val="02AC5BA7"/>
    <w:rsid w:val="02C711AF"/>
    <w:rsid w:val="02C92687"/>
    <w:rsid w:val="02CA092D"/>
    <w:rsid w:val="02DE60F9"/>
    <w:rsid w:val="036700BF"/>
    <w:rsid w:val="037D4AF3"/>
    <w:rsid w:val="03AD4A8D"/>
    <w:rsid w:val="042F2BC0"/>
    <w:rsid w:val="0448396C"/>
    <w:rsid w:val="04A14210"/>
    <w:rsid w:val="05967314"/>
    <w:rsid w:val="062F6A41"/>
    <w:rsid w:val="063567B1"/>
    <w:rsid w:val="065E0ADF"/>
    <w:rsid w:val="06C90C44"/>
    <w:rsid w:val="06D564E8"/>
    <w:rsid w:val="07140750"/>
    <w:rsid w:val="076375C0"/>
    <w:rsid w:val="08097B34"/>
    <w:rsid w:val="082F7080"/>
    <w:rsid w:val="086F3CC4"/>
    <w:rsid w:val="092F7FC5"/>
    <w:rsid w:val="09346F62"/>
    <w:rsid w:val="095166EB"/>
    <w:rsid w:val="09A04AB4"/>
    <w:rsid w:val="0A4B34BA"/>
    <w:rsid w:val="0A915015"/>
    <w:rsid w:val="0AA00716"/>
    <w:rsid w:val="0ABE4710"/>
    <w:rsid w:val="0AE70CCF"/>
    <w:rsid w:val="0B187796"/>
    <w:rsid w:val="0B1B237E"/>
    <w:rsid w:val="0BD12AA7"/>
    <w:rsid w:val="0C104523"/>
    <w:rsid w:val="0C506A14"/>
    <w:rsid w:val="0C8039AE"/>
    <w:rsid w:val="0C9F5984"/>
    <w:rsid w:val="0CDA4466"/>
    <w:rsid w:val="0CDB09E8"/>
    <w:rsid w:val="0CF5378D"/>
    <w:rsid w:val="0D274EB1"/>
    <w:rsid w:val="0D3230C7"/>
    <w:rsid w:val="0D457A85"/>
    <w:rsid w:val="0D954CB9"/>
    <w:rsid w:val="0DBA2B2B"/>
    <w:rsid w:val="0DC701B3"/>
    <w:rsid w:val="0DDE1209"/>
    <w:rsid w:val="0E1843EB"/>
    <w:rsid w:val="0E5C38BD"/>
    <w:rsid w:val="0EA016EB"/>
    <w:rsid w:val="0ED11362"/>
    <w:rsid w:val="0EDC01CB"/>
    <w:rsid w:val="0EDF6DE3"/>
    <w:rsid w:val="0F4E072A"/>
    <w:rsid w:val="0F6A54E7"/>
    <w:rsid w:val="0F814526"/>
    <w:rsid w:val="0FA85D10"/>
    <w:rsid w:val="0FE71F3C"/>
    <w:rsid w:val="105416A9"/>
    <w:rsid w:val="106D1AA2"/>
    <w:rsid w:val="11933F1F"/>
    <w:rsid w:val="11AE523D"/>
    <w:rsid w:val="11D829D9"/>
    <w:rsid w:val="12103136"/>
    <w:rsid w:val="1237557C"/>
    <w:rsid w:val="126220BC"/>
    <w:rsid w:val="126F10B4"/>
    <w:rsid w:val="12775F49"/>
    <w:rsid w:val="12BF325E"/>
    <w:rsid w:val="12CC4692"/>
    <w:rsid w:val="12D86CA5"/>
    <w:rsid w:val="12FC5EC6"/>
    <w:rsid w:val="138C6CC6"/>
    <w:rsid w:val="139B7194"/>
    <w:rsid w:val="13BD2B72"/>
    <w:rsid w:val="13C93F58"/>
    <w:rsid w:val="13D46DBC"/>
    <w:rsid w:val="14167BEF"/>
    <w:rsid w:val="145A5432"/>
    <w:rsid w:val="1481490C"/>
    <w:rsid w:val="14D14FEF"/>
    <w:rsid w:val="1503045E"/>
    <w:rsid w:val="151839FD"/>
    <w:rsid w:val="156106D7"/>
    <w:rsid w:val="156C2E18"/>
    <w:rsid w:val="158A7D0D"/>
    <w:rsid w:val="15A50C80"/>
    <w:rsid w:val="15C62768"/>
    <w:rsid w:val="164776DD"/>
    <w:rsid w:val="165B77C9"/>
    <w:rsid w:val="16B40AE0"/>
    <w:rsid w:val="171B2DF7"/>
    <w:rsid w:val="173E4F02"/>
    <w:rsid w:val="177E1583"/>
    <w:rsid w:val="17A710FA"/>
    <w:rsid w:val="17A82A6E"/>
    <w:rsid w:val="17D73C09"/>
    <w:rsid w:val="17FE0D69"/>
    <w:rsid w:val="18351438"/>
    <w:rsid w:val="1843437B"/>
    <w:rsid w:val="18593C1D"/>
    <w:rsid w:val="1860609E"/>
    <w:rsid w:val="19145393"/>
    <w:rsid w:val="1A0B4DE4"/>
    <w:rsid w:val="1A4838F0"/>
    <w:rsid w:val="1A7D4BC5"/>
    <w:rsid w:val="1A9D3E60"/>
    <w:rsid w:val="1ABC0385"/>
    <w:rsid w:val="1B141388"/>
    <w:rsid w:val="1B5D08B1"/>
    <w:rsid w:val="1B6D517D"/>
    <w:rsid w:val="1B872B4D"/>
    <w:rsid w:val="1C3850D5"/>
    <w:rsid w:val="1C4775E8"/>
    <w:rsid w:val="1C53381A"/>
    <w:rsid w:val="1C857AFD"/>
    <w:rsid w:val="1D102090"/>
    <w:rsid w:val="1D2C17F9"/>
    <w:rsid w:val="1D4E38D1"/>
    <w:rsid w:val="1D5736A3"/>
    <w:rsid w:val="1D6D1305"/>
    <w:rsid w:val="1D6EC95E"/>
    <w:rsid w:val="1D8F3755"/>
    <w:rsid w:val="1DC964EA"/>
    <w:rsid w:val="1DE621E2"/>
    <w:rsid w:val="1DED3F24"/>
    <w:rsid w:val="1DF07B1C"/>
    <w:rsid w:val="1DFD05C0"/>
    <w:rsid w:val="1E791D78"/>
    <w:rsid w:val="1E8F197D"/>
    <w:rsid w:val="1ED10FC2"/>
    <w:rsid w:val="1F1E11F4"/>
    <w:rsid w:val="1F252BFB"/>
    <w:rsid w:val="1F3D665D"/>
    <w:rsid w:val="1F66285C"/>
    <w:rsid w:val="20234CD2"/>
    <w:rsid w:val="20365E39"/>
    <w:rsid w:val="209E305F"/>
    <w:rsid w:val="20BE66A1"/>
    <w:rsid w:val="20FC386C"/>
    <w:rsid w:val="21573969"/>
    <w:rsid w:val="2160214B"/>
    <w:rsid w:val="21815522"/>
    <w:rsid w:val="226C5969"/>
    <w:rsid w:val="227656C3"/>
    <w:rsid w:val="22946315"/>
    <w:rsid w:val="22A6775A"/>
    <w:rsid w:val="22F8768E"/>
    <w:rsid w:val="22FF181D"/>
    <w:rsid w:val="231011A1"/>
    <w:rsid w:val="23127C96"/>
    <w:rsid w:val="23363A87"/>
    <w:rsid w:val="234F552E"/>
    <w:rsid w:val="23615E71"/>
    <w:rsid w:val="23727102"/>
    <w:rsid w:val="23A251A4"/>
    <w:rsid w:val="24002511"/>
    <w:rsid w:val="24325A9A"/>
    <w:rsid w:val="25A91598"/>
    <w:rsid w:val="25E96BE2"/>
    <w:rsid w:val="25F76BA6"/>
    <w:rsid w:val="268450B0"/>
    <w:rsid w:val="26A47EAD"/>
    <w:rsid w:val="26C80201"/>
    <w:rsid w:val="26D16018"/>
    <w:rsid w:val="26FC5CD7"/>
    <w:rsid w:val="26FF6D89"/>
    <w:rsid w:val="276A6034"/>
    <w:rsid w:val="277E3050"/>
    <w:rsid w:val="27B243AD"/>
    <w:rsid w:val="27CA1D80"/>
    <w:rsid w:val="280E1DE5"/>
    <w:rsid w:val="283607FB"/>
    <w:rsid w:val="28802956"/>
    <w:rsid w:val="28E115CE"/>
    <w:rsid w:val="28E34AA3"/>
    <w:rsid w:val="290971BA"/>
    <w:rsid w:val="2955714A"/>
    <w:rsid w:val="29622253"/>
    <w:rsid w:val="2999009C"/>
    <w:rsid w:val="29D579D2"/>
    <w:rsid w:val="29DF7F1A"/>
    <w:rsid w:val="2A1C3E5F"/>
    <w:rsid w:val="2A2C5E1C"/>
    <w:rsid w:val="2A9C0F6A"/>
    <w:rsid w:val="2AF229B1"/>
    <w:rsid w:val="2B3C3FB7"/>
    <w:rsid w:val="2BAB6669"/>
    <w:rsid w:val="2C3B721F"/>
    <w:rsid w:val="2C714E3E"/>
    <w:rsid w:val="2D0E5642"/>
    <w:rsid w:val="2E571DDC"/>
    <w:rsid w:val="2E5D46FB"/>
    <w:rsid w:val="2E6D7963"/>
    <w:rsid w:val="2E900D93"/>
    <w:rsid w:val="2EC90A41"/>
    <w:rsid w:val="2ED57A06"/>
    <w:rsid w:val="2EDE58F7"/>
    <w:rsid w:val="2EEF6858"/>
    <w:rsid w:val="2EF150B6"/>
    <w:rsid w:val="2F297F70"/>
    <w:rsid w:val="2F3B7D7D"/>
    <w:rsid w:val="2F60451B"/>
    <w:rsid w:val="2FB66870"/>
    <w:rsid w:val="2FF749BF"/>
    <w:rsid w:val="302B62A6"/>
    <w:rsid w:val="306A6902"/>
    <w:rsid w:val="30C22529"/>
    <w:rsid w:val="30EA1986"/>
    <w:rsid w:val="31A35AFB"/>
    <w:rsid w:val="31B449EF"/>
    <w:rsid w:val="31C23E86"/>
    <w:rsid w:val="31C51ED3"/>
    <w:rsid w:val="31DE570C"/>
    <w:rsid w:val="31F82CB3"/>
    <w:rsid w:val="32FF6DFC"/>
    <w:rsid w:val="33932AAF"/>
    <w:rsid w:val="33E25D77"/>
    <w:rsid w:val="341617E2"/>
    <w:rsid w:val="34535AAF"/>
    <w:rsid w:val="34CB7AE2"/>
    <w:rsid w:val="352F2C36"/>
    <w:rsid w:val="35860AFD"/>
    <w:rsid w:val="358F42B0"/>
    <w:rsid w:val="35BC6D3A"/>
    <w:rsid w:val="35C57746"/>
    <w:rsid w:val="35ED6A92"/>
    <w:rsid w:val="36070E1A"/>
    <w:rsid w:val="36076B8A"/>
    <w:rsid w:val="3659695C"/>
    <w:rsid w:val="36822C03"/>
    <w:rsid w:val="368C1D12"/>
    <w:rsid w:val="36E27F65"/>
    <w:rsid w:val="37207913"/>
    <w:rsid w:val="37470DA0"/>
    <w:rsid w:val="37617D49"/>
    <w:rsid w:val="37AE5B28"/>
    <w:rsid w:val="37B60611"/>
    <w:rsid w:val="37B716BE"/>
    <w:rsid w:val="37E912BF"/>
    <w:rsid w:val="37FC3C67"/>
    <w:rsid w:val="380F5A7C"/>
    <w:rsid w:val="383E16F0"/>
    <w:rsid w:val="38522CBB"/>
    <w:rsid w:val="38553E44"/>
    <w:rsid w:val="388F16C5"/>
    <w:rsid w:val="389C0F95"/>
    <w:rsid w:val="38B72612"/>
    <w:rsid w:val="38CC3CB1"/>
    <w:rsid w:val="394D193A"/>
    <w:rsid w:val="39F21F59"/>
    <w:rsid w:val="3A381D47"/>
    <w:rsid w:val="3A577D39"/>
    <w:rsid w:val="3ABF721B"/>
    <w:rsid w:val="3AE4D657"/>
    <w:rsid w:val="3AF826FF"/>
    <w:rsid w:val="3B1E789F"/>
    <w:rsid w:val="3B735230"/>
    <w:rsid w:val="3B8548C4"/>
    <w:rsid w:val="3BDC434B"/>
    <w:rsid w:val="3BE435A1"/>
    <w:rsid w:val="3C373E29"/>
    <w:rsid w:val="3C467591"/>
    <w:rsid w:val="3C5E4246"/>
    <w:rsid w:val="3C683AF4"/>
    <w:rsid w:val="3C9F3749"/>
    <w:rsid w:val="3D0736DA"/>
    <w:rsid w:val="3D0752FB"/>
    <w:rsid w:val="3D414382"/>
    <w:rsid w:val="3DA74B70"/>
    <w:rsid w:val="3DB27A74"/>
    <w:rsid w:val="3DB72FC9"/>
    <w:rsid w:val="3DCD21AF"/>
    <w:rsid w:val="3DFB192C"/>
    <w:rsid w:val="3EA95C99"/>
    <w:rsid w:val="3ECE3820"/>
    <w:rsid w:val="3EFE744F"/>
    <w:rsid w:val="3F2B600A"/>
    <w:rsid w:val="3F5A709F"/>
    <w:rsid w:val="3F7F7CD7"/>
    <w:rsid w:val="3FB47BD5"/>
    <w:rsid w:val="3FE26561"/>
    <w:rsid w:val="3FFD6B0B"/>
    <w:rsid w:val="40227343"/>
    <w:rsid w:val="407C2850"/>
    <w:rsid w:val="40841940"/>
    <w:rsid w:val="40D07EFD"/>
    <w:rsid w:val="415C431E"/>
    <w:rsid w:val="41774496"/>
    <w:rsid w:val="41E8658E"/>
    <w:rsid w:val="42012A59"/>
    <w:rsid w:val="420711BA"/>
    <w:rsid w:val="42233FE9"/>
    <w:rsid w:val="42500128"/>
    <w:rsid w:val="42751D6F"/>
    <w:rsid w:val="42CF65A9"/>
    <w:rsid w:val="43111911"/>
    <w:rsid w:val="432C0EC1"/>
    <w:rsid w:val="437B0086"/>
    <w:rsid w:val="43891ED0"/>
    <w:rsid w:val="43AD2450"/>
    <w:rsid w:val="43B27C1A"/>
    <w:rsid w:val="442B1FF8"/>
    <w:rsid w:val="44586F35"/>
    <w:rsid w:val="4491447A"/>
    <w:rsid w:val="449955A5"/>
    <w:rsid w:val="44BB29E7"/>
    <w:rsid w:val="45473F3E"/>
    <w:rsid w:val="46EC5BAC"/>
    <w:rsid w:val="47145AAB"/>
    <w:rsid w:val="47AF75A9"/>
    <w:rsid w:val="47BD6131"/>
    <w:rsid w:val="47DF0647"/>
    <w:rsid w:val="48017621"/>
    <w:rsid w:val="482B25DC"/>
    <w:rsid w:val="48710511"/>
    <w:rsid w:val="48917BDA"/>
    <w:rsid w:val="489A439E"/>
    <w:rsid w:val="490A7B45"/>
    <w:rsid w:val="49177011"/>
    <w:rsid w:val="493674F1"/>
    <w:rsid w:val="494739BC"/>
    <w:rsid w:val="49661A1A"/>
    <w:rsid w:val="496C6818"/>
    <w:rsid w:val="49C21713"/>
    <w:rsid w:val="49CC7E07"/>
    <w:rsid w:val="4A61548C"/>
    <w:rsid w:val="4A6C4D6E"/>
    <w:rsid w:val="4B17555C"/>
    <w:rsid w:val="4B3A41D8"/>
    <w:rsid w:val="4B4636F0"/>
    <w:rsid w:val="4B9B72A7"/>
    <w:rsid w:val="4BB70094"/>
    <w:rsid w:val="4BFF28CD"/>
    <w:rsid w:val="4C380E98"/>
    <w:rsid w:val="4C800183"/>
    <w:rsid w:val="4CE940A3"/>
    <w:rsid w:val="4D073716"/>
    <w:rsid w:val="4D155AFE"/>
    <w:rsid w:val="4D222C13"/>
    <w:rsid w:val="4D7A0221"/>
    <w:rsid w:val="4D974F43"/>
    <w:rsid w:val="4DAE1A6C"/>
    <w:rsid w:val="4DD76D6F"/>
    <w:rsid w:val="4DDE298F"/>
    <w:rsid w:val="4E056CB1"/>
    <w:rsid w:val="4E5914C2"/>
    <w:rsid w:val="4E7A4F1A"/>
    <w:rsid w:val="4F3E3868"/>
    <w:rsid w:val="4F4026F2"/>
    <w:rsid w:val="4F4919C7"/>
    <w:rsid w:val="4F714D18"/>
    <w:rsid w:val="4FAA1B61"/>
    <w:rsid w:val="4FCA0551"/>
    <w:rsid w:val="500F5C67"/>
    <w:rsid w:val="50290B96"/>
    <w:rsid w:val="50312492"/>
    <w:rsid w:val="506253C3"/>
    <w:rsid w:val="50805037"/>
    <w:rsid w:val="5089514A"/>
    <w:rsid w:val="50AE6424"/>
    <w:rsid w:val="50CF02A4"/>
    <w:rsid w:val="50E07E90"/>
    <w:rsid w:val="51247366"/>
    <w:rsid w:val="513012D6"/>
    <w:rsid w:val="515C7E45"/>
    <w:rsid w:val="51641980"/>
    <w:rsid w:val="516F4D2E"/>
    <w:rsid w:val="51762292"/>
    <w:rsid w:val="51C30881"/>
    <w:rsid w:val="51CD09EB"/>
    <w:rsid w:val="51E53CA1"/>
    <w:rsid w:val="51EA52B3"/>
    <w:rsid w:val="523446A3"/>
    <w:rsid w:val="524C054F"/>
    <w:rsid w:val="529C581E"/>
    <w:rsid w:val="52B47EAC"/>
    <w:rsid w:val="52C3188F"/>
    <w:rsid w:val="52E60E2F"/>
    <w:rsid w:val="52F12D99"/>
    <w:rsid w:val="52F77A9D"/>
    <w:rsid w:val="53061D76"/>
    <w:rsid w:val="53072CE4"/>
    <w:rsid w:val="530E479C"/>
    <w:rsid w:val="537B1D7F"/>
    <w:rsid w:val="538E2FF9"/>
    <w:rsid w:val="53940740"/>
    <w:rsid w:val="53BC7625"/>
    <w:rsid w:val="54397EF8"/>
    <w:rsid w:val="546655C5"/>
    <w:rsid w:val="54761207"/>
    <w:rsid w:val="54765E04"/>
    <w:rsid w:val="54C34E69"/>
    <w:rsid w:val="54CF49A4"/>
    <w:rsid w:val="550B58D4"/>
    <w:rsid w:val="55217883"/>
    <w:rsid w:val="5558268F"/>
    <w:rsid w:val="5590591A"/>
    <w:rsid w:val="560F76E0"/>
    <w:rsid w:val="56935F0C"/>
    <w:rsid w:val="56D5E005"/>
    <w:rsid w:val="5749782E"/>
    <w:rsid w:val="574D11D3"/>
    <w:rsid w:val="5776512D"/>
    <w:rsid w:val="578C2F43"/>
    <w:rsid w:val="57A65127"/>
    <w:rsid w:val="57E704BB"/>
    <w:rsid w:val="581B4CB3"/>
    <w:rsid w:val="58655783"/>
    <w:rsid w:val="589412F6"/>
    <w:rsid w:val="58941F70"/>
    <w:rsid w:val="58C00E92"/>
    <w:rsid w:val="58E80218"/>
    <w:rsid w:val="5981635B"/>
    <w:rsid w:val="59941AB9"/>
    <w:rsid w:val="5A00712F"/>
    <w:rsid w:val="5A6D78A2"/>
    <w:rsid w:val="5B047827"/>
    <w:rsid w:val="5B59053D"/>
    <w:rsid w:val="5B783ABA"/>
    <w:rsid w:val="5B7F5001"/>
    <w:rsid w:val="5B8F763E"/>
    <w:rsid w:val="5BDF6E18"/>
    <w:rsid w:val="5BE5321D"/>
    <w:rsid w:val="5BF26384"/>
    <w:rsid w:val="5C0527A9"/>
    <w:rsid w:val="5C2F143F"/>
    <w:rsid w:val="5C5D1F6E"/>
    <w:rsid w:val="5C7F32FF"/>
    <w:rsid w:val="5C825178"/>
    <w:rsid w:val="5C8B7F10"/>
    <w:rsid w:val="5CF7068C"/>
    <w:rsid w:val="5CFC22B5"/>
    <w:rsid w:val="5D39673A"/>
    <w:rsid w:val="5DD32C0D"/>
    <w:rsid w:val="5DD37DA4"/>
    <w:rsid w:val="5DD6176A"/>
    <w:rsid w:val="5E2C698D"/>
    <w:rsid w:val="5E6555C6"/>
    <w:rsid w:val="5E8B1AC4"/>
    <w:rsid w:val="5EC1547D"/>
    <w:rsid w:val="5EEE7537"/>
    <w:rsid w:val="5F6B6590"/>
    <w:rsid w:val="5F6D12E1"/>
    <w:rsid w:val="5F784393"/>
    <w:rsid w:val="60011397"/>
    <w:rsid w:val="60204B53"/>
    <w:rsid w:val="604F3AC9"/>
    <w:rsid w:val="60832A60"/>
    <w:rsid w:val="60980F84"/>
    <w:rsid w:val="60C76AFF"/>
    <w:rsid w:val="60CD2D02"/>
    <w:rsid w:val="60FB09A7"/>
    <w:rsid w:val="61362CE3"/>
    <w:rsid w:val="616003CF"/>
    <w:rsid w:val="61785145"/>
    <w:rsid w:val="62090166"/>
    <w:rsid w:val="622268AC"/>
    <w:rsid w:val="624C7A0B"/>
    <w:rsid w:val="624F7850"/>
    <w:rsid w:val="629A7AEE"/>
    <w:rsid w:val="62D86C13"/>
    <w:rsid w:val="62F07DD1"/>
    <w:rsid w:val="631B74DF"/>
    <w:rsid w:val="63212997"/>
    <w:rsid w:val="634D1933"/>
    <w:rsid w:val="635661F6"/>
    <w:rsid w:val="64A665D9"/>
    <w:rsid w:val="64DB2945"/>
    <w:rsid w:val="65E57971"/>
    <w:rsid w:val="668F6697"/>
    <w:rsid w:val="66D4132F"/>
    <w:rsid w:val="67E175E0"/>
    <w:rsid w:val="684C3631"/>
    <w:rsid w:val="689D1259"/>
    <w:rsid w:val="68AD611A"/>
    <w:rsid w:val="68C47A98"/>
    <w:rsid w:val="68EF3C7C"/>
    <w:rsid w:val="68F33364"/>
    <w:rsid w:val="690A6CD0"/>
    <w:rsid w:val="69347ACA"/>
    <w:rsid w:val="69576CD6"/>
    <w:rsid w:val="69986447"/>
    <w:rsid w:val="6AB56F97"/>
    <w:rsid w:val="6B9605A6"/>
    <w:rsid w:val="6B9C10BE"/>
    <w:rsid w:val="6BBB0341"/>
    <w:rsid w:val="6C2109DB"/>
    <w:rsid w:val="6C5866C3"/>
    <w:rsid w:val="6C627F03"/>
    <w:rsid w:val="6C780DB4"/>
    <w:rsid w:val="6C7E20FE"/>
    <w:rsid w:val="6C931FA4"/>
    <w:rsid w:val="6C97FCD8"/>
    <w:rsid w:val="6CA5593F"/>
    <w:rsid w:val="6CAD02FB"/>
    <w:rsid w:val="6D1C2372"/>
    <w:rsid w:val="6D267B52"/>
    <w:rsid w:val="6D3F32E1"/>
    <w:rsid w:val="6D4F56AE"/>
    <w:rsid w:val="6D986419"/>
    <w:rsid w:val="6DA92081"/>
    <w:rsid w:val="6DB11979"/>
    <w:rsid w:val="6E035E23"/>
    <w:rsid w:val="6E873F0C"/>
    <w:rsid w:val="6EAD43EE"/>
    <w:rsid w:val="6EC751A5"/>
    <w:rsid w:val="6EEEDD92"/>
    <w:rsid w:val="6EF7E717"/>
    <w:rsid w:val="6F2F55F5"/>
    <w:rsid w:val="6F3E7336"/>
    <w:rsid w:val="6F4175A9"/>
    <w:rsid w:val="6F44200D"/>
    <w:rsid w:val="6F566E3B"/>
    <w:rsid w:val="6F7E2710"/>
    <w:rsid w:val="6FBB2E26"/>
    <w:rsid w:val="6FC1190D"/>
    <w:rsid w:val="6FC81EC8"/>
    <w:rsid w:val="6FCD0395"/>
    <w:rsid w:val="6FD87719"/>
    <w:rsid w:val="6FEE66A8"/>
    <w:rsid w:val="7040659E"/>
    <w:rsid w:val="70446818"/>
    <w:rsid w:val="707963ED"/>
    <w:rsid w:val="70A13782"/>
    <w:rsid w:val="70B317A6"/>
    <w:rsid w:val="70C71A46"/>
    <w:rsid w:val="70D066F7"/>
    <w:rsid w:val="712424E7"/>
    <w:rsid w:val="71580401"/>
    <w:rsid w:val="71A00974"/>
    <w:rsid w:val="723E24DB"/>
    <w:rsid w:val="72D1561E"/>
    <w:rsid w:val="72ED6453"/>
    <w:rsid w:val="733B25CA"/>
    <w:rsid w:val="733C0BB5"/>
    <w:rsid w:val="73733E62"/>
    <w:rsid w:val="73AD3A37"/>
    <w:rsid w:val="73F77D0D"/>
    <w:rsid w:val="740605FD"/>
    <w:rsid w:val="741457EB"/>
    <w:rsid w:val="74681EC3"/>
    <w:rsid w:val="747E3413"/>
    <w:rsid w:val="748C231F"/>
    <w:rsid w:val="74D54911"/>
    <w:rsid w:val="74E36F7E"/>
    <w:rsid w:val="74F33743"/>
    <w:rsid w:val="759A466A"/>
    <w:rsid w:val="75C46410"/>
    <w:rsid w:val="75CF7E4C"/>
    <w:rsid w:val="75E43528"/>
    <w:rsid w:val="75EE6C77"/>
    <w:rsid w:val="76306E24"/>
    <w:rsid w:val="76591916"/>
    <w:rsid w:val="76B62C69"/>
    <w:rsid w:val="76BB7B7B"/>
    <w:rsid w:val="76C5662A"/>
    <w:rsid w:val="77191D43"/>
    <w:rsid w:val="772F2A20"/>
    <w:rsid w:val="77550FB8"/>
    <w:rsid w:val="776FC48A"/>
    <w:rsid w:val="779FAC9F"/>
    <w:rsid w:val="77C60380"/>
    <w:rsid w:val="77CD32CA"/>
    <w:rsid w:val="77E57B71"/>
    <w:rsid w:val="77F373BE"/>
    <w:rsid w:val="77FC4FEB"/>
    <w:rsid w:val="7801305E"/>
    <w:rsid w:val="784870F3"/>
    <w:rsid w:val="7849685A"/>
    <w:rsid w:val="784B77D9"/>
    <w:rsid w:val="789F2454"/>
    <w:rsid w:val="78B04C80"/>
    <w:rsid w:val="78C10BB1"/>
    <w:rsid w:val="79D26DEE"/>
    <w:rsid w:val="79D53D58"/>
    <w:rsid w:val="79F242E9"/>
    <w:rsid w:val="7A3F77B9"/>
    <w:rsid w:val="7A4C5837"/>
    <w:rsid w:val="7A5F189D"/>
    <w:rsid w:val="7AB933CD"/>
    <w:rsid w:val="7AF42E71"/>
    <w:rsid w:val="7B2F4C33"/>
    <w:rsid w:val="7B3334E9"/>
    <w:rsid w:val="7B6F7CF5"/>
    <w:rsid w:val="7B955FAE"/>
    <w:rsid w:val="7BCF3A79"/>
    <w:rsid w:val="7C0F5AC6"/>
    <w:rsid w:val="7C10730C"/>
    <w:rsid w:val="7CAE7788"/>
    <w:rsid w:val="7CC1065D"/>
    <w:rsid w:val="7D284586"/>
    <w:rsid w:val="7D487F2E"/>
    <w:rsid w:val="7D52182F"/>
    <w:rsid w:val="7D9F3431"/>
    <w:rsid w:val="7DB51058"/>
    <w:rsid w:val="7DB83C79"/>
    <w:rsid w:val="7DDE1873"/>
    <w:rsid w:val="7DFB9D19"/>
    <w:rsid w:val="7E0B5B3E"/>
    <w:rsid w:val="7E186B39"/>
    <w:rsid w:val="7E605D97"/>
    <w:rsid w:val="7E6C5114"/>
    <w:rsid w:val="7E7D3DF3"/>
    <w:rsid w:val="7E897F5F"/>
    <w:rsid w:val="7EDE1025"/>
    <w:rsid w:val="7F2A0A59"/>
    <w:rsid w:val="7F513869"/>
    <w:rsid w:val="7F67D0CF"/>
    <w:rsid w:val="7F6E2B0B"/>
    <w:rsid w:val="7F714071"/>
    <w:rsid w:val="7FBE69B3"/>
    <w:rsid w:val="7FBFC202"/>
    <w:rsid w:val="7FDDDCE1"/>
    <w:rsid w:val="7FDF59AC"/>
    <w:rsid w:val="8EBE2DCD"/>
    <w:rsid w:val="979E1429"/>
    <w:rsid w:val="BBFD256D"/>
    <w:rsid w:val="BFCD3889"/>
    <w:rsid w:val="BFEBFDBC"/>
    <w:rsid w:val="CBFBFEBB"/>
    <w:rsid w:val="D2FA68C2"/>
    <w:rsid w:val="DF7C756A"/>
    <w:rsid w:val="DF7D3EF7"/>
    <w:rsid w:val="DF9BA522"/>
    <w:rsid w:val="EFF78AD5"/>
    <w:rsid w:val="F6F9DB36"/>
    <w:rsid w:val="F7BBDA78"/>
    <w:rsid w:val="F9DFA9B0"/>
    <w:rsid w:val="FD1DEA2E"/>
    <w:rsid w:val="FEEDC01E"/>
    <w:rsid w:val="FFFF4CB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2">
    <w:name w:val="heading 2"/>
    <w:basedOn w:val="1"/>
    <w:next w:val="1"/>
    <w:qFormat/>
    <w:uiPriority w:val="9"/>
    <w:pPr>
      <w:keepNext/>
      <w:keepLines/>
      <w:numPr>
        <w:ilvl w:val="1"/>
        <w:numId w:val="1"/>
      </w:numPr>
      <w:spacing w:before="260" w:after="260" w:line="415" w:lineRule="auto"/>
      <w:ind w:right="210" w:rightChars="100"/>
      <w:outlineLvl w:val="1"/>
    </w:pPr>
    <w:rPr>
      <w:rFonts w:ascii="Arial" w:hAnsi="Arial"/>
      <w:b/>
      <w:bCs/>
      <w:sz w:val="36"/>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8"/>
    <w:unhideWhenUsed/>
    <w:qFormat/>
    <w:uiPriority w:val="99"/>
    <w:pPr>
      <w:jc w:val="left"/>
    </w:pPr>
    <w:rPr>
      <w:kern w:val="0"/>
      <w:sz w:val="20"/>
      <w:szCs w:val="20"/>
    </w:rPr>
  </w:style>
  <w:style w:type="paragraph" w:styleId="5">
    <w:name w:val="Balloon Text"/>
    <w:basedOn w:val="1"/>
    <w:link w:val="19"/>
    <w:unhideWhenUsed/>
    <w:qFormat/>
    <w:uiPriority w:val="99"/>
    <w:rPr>
      <w:kern w:val="0"/>
      <w:sz w:val="18"/>
      <w:szCs w:val="18"/>
    </w:rPr>
  </w:style>
  <w:style w:type="paragraph" w:styleId="6">
    <w:name w:val="footer"/>
    <w:basedOn w:val="1"/>
    <w:link w:val="20"/>
    <w:unhideWhenUsed/>
    <w:qFormat/>
    <w:uiPriority w:val="99"/>
    <w:pPr>
      <w:tabs>
        <w:tab w:val="center" w:pos="4153"/>
        <w:tab w:val="right" w:pos="8306"/>
      </w:tabs>
      <w:snapToGrid w:val="0"/>
      <w:spacing w:line="240" w:lineRule="atLeast"/>
      <w:jc w:val="left"/>
    </w:pPr>
    <w:rPr>
      <w:kern w:val="0"/>
      <w:sz w:val="18"/>
      <w:szCs w:val="18"/>
    </w:rPr>
  </w:style>
  <w:style w:type="paragraph" w:styleId="7">
    <w:name w:val="header"/>
    <w:basedOn w:val="1"/>
    <w:link w:val="21"/>
    <w:unhideWhenUsed/>
    <w:qFormat/>
    <w:uiPriority w:val="99"/>
    <w:pPr>
      <w:pBdr>
        <w:bottom w:val="single" w:color="auto" w:sz="6" w:space="1"/>
      </w:pBdr>
      <w:tabs>
        <w:tab w:val="center" w:pos="4153"/>
        <w:tab w:val="right" w:pos="8306"/>
      </w:tabs>
      <w:snapToGrid w:val="0"/>
      <w:spacing w:line="240" w:lineRule="atLeast"/>
      <w:jc w:val="center"/>
    </w:pPr>
    <w:rPr>
      <w:kern w:val="0"/>
      <w:sz w:val="18"/>
      <w:szCs w:val="18"/>
    </w:rPr>
  </w:style>
  <w:style w:type="paragraph" w:styleId="8">
    <w:name w:val="Normal (Web)"/>
    <w:basedOn w:val="1"/>
    <w:unhideWhenUsed/>
    <w:qFormat/>
    <w:uiPriority w:val="99"/>
    <w:pPr>
      <w:spacing w:before="100" w:beforeAutospacing="1" w:after="100" w:afterAutospacing="1"/>
      <w:jc w:val="left"/>
    </w:pPr>
    <w:rPr>
      <w:kern w:val="0"/>
      <w:sz w:val="24"/>
    </w:rPr>
  </w:style>
  <w:style w:type="paragraph" w:styleId="9">
    <w:name w:val="annotation subject"/>
    <w:basedOn w:val="4"/>
    <w:next w:val="4"/>
    <w:link w:val="22"/>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unhideWhenUsed/>
    <w:qFormat/>
    <w:uiPriority w:val="99"/>
    <w:rPr>
      <w:color w:val="0000FF"/>
      <w:u w:val="single"/>
    </w:rPr>
  </w:style>
  <w:style w:type="character" w:styleId="15">
    <w:name w:val="annotation reference"/>
    <w:unhideWhenUsed/>
    <w:qFormat/>
    <w:uiPriority w:val="0"/>
    <w:rPr>
      <w:sz w:val="21"/>
      <w:szCs w:val="21"/>
    </w:rPr>
  </w:style>
  <w:style w:type="paragraph" w:customStyle="1" w:styleId="16">
    <w:name w:val="Heading 2"/>
    <w:basedOn w:val="1"/>
    <w:next w:val="1"/>
    <w:qFormat/>
    <w:uiPriority w:val="9"/>
    <w:pPr>
      <w:spacing w:line="360" w:lineRule="auto"/>
      <w:jc w:val="center"/>
      <w:outlineLvl w:val="1"/>
    </w:pPr>
    <w:rPr>
      <w:rFonts w:ascii="宋体" w:hAnsi="宋体" w:cs="宋体"/>
      <w:b/>
      <w:sz w:val="28"/>
      <w:szCs w:val="28"/>
    </w:rPr>
  </w:style>
  <w:style w:type="paragraph" w:customStyle="1" w:styleId="17">
    <w:name w:val="标题 21"/>
    <w:basedOn w:val="1"/>
    <w:next w:val="1"/>
    <w:qFormat/>
    <w:uiPriority w:val="9"/>
    <w:pPr>
      <w:spacing w:line="360" w:lineRule="auto"/>
      <w:jc w:val="center"/>
      <w:outlineLvl w:val="1"/>
    </w:pPr>
    <w:rPr>
      <w:rFonts w:ascii="宋体" w:hAnsi="宋体" w:cs="宋体"/>
      <w:b/>
      <w:sz w:val="28"/>
      <w:szCs w:val="28"/>
    </w:rPr>
  </w:style>
  <w:style w:type="character" w:customStyle="1" w:styleId="18">
    <w:name w:val="批注文字 字符"/>
    <w:link w:val="4"/>
    <w:qFormat/>
    <w:uiPriority w:val="99"/>
    <w:rPr>
      <w:rFonts w:ascii="Calibri" w:hAnsi="Calibri" w:eastAsia="宋体" w:cs="Times New Roman"/>
    </w:rPr>
  </w:style>
  <w:style w:type="character" w:customStyle="1" w:styleId="19">
    <w:name w:val="批注框文本 字符"/>
    <w:link w:val="5"/>
    <w:semiHidden/>
    <w:qFormat/>
    <w:uiPriority w:val="99"/>
    <w:rPr>
      <w:rFonts w:ascii="Calibri" w:hAnsi="Calibri" w:eastAsia="宋体" w:cs="Times New Roman"/>
      <w:sz w:val="18"/>
      <w:szCs w:val="18"/>
    </w:rPr>
  </w:style>
  <w:style w:type="character" w:customStyle="1" w:styleId="20">
    <w:name w:val="页脚 字符"/>
    <w:link w:val="6"/>
    <w:qFormat/>
    <w:uiPriority w:val="99"/>
    <w:rPr>
      <w:sz w:val="18"/>
      <w:szCs w:val="18"/>
    </w:rPr>
  </w:style>
  <w:style w:type="character" w:customStyle="1" w:styleId="21">
    <w:name w:val="页眉 字符"/>
    <w:link w:val="7"/>
    <w:qFormat/>
    <w:uiPriority w:val="99"/>
    <w:rPr>
      <w:sz w:val="18"/>
      <w:szCs w:val="18"/>
    </w:rPr>
  </w:style>
  <w:style w:type="character" w:customStyle="1" w:styleId="22">
    <w:name w:val="批注主题 字符"/>
    <w:link w:val="9"/>
    <w:semiHidden/>
    <w:qFormat/>
    <w:uiPriority w:val="99"/>
    <w:rPr>
      <w:rFonts w:ascii="Calibri" w:hAnsi="Calibri" w:eastAsia="宋体" w:cs="Times New Roman"/>
      <w:b/>
      <w:bCs/>
    </w:rPr>
  </w:style>
  <w:style w:type="paragraph" w:customStyle="1" w:styleId="23">
    <w:name w:val="列表段落1"/>
    <w:basedOn w:val="1"/>
    <w:qFormat/>
    <w:uiPriority w:val="34"/>
    <w:pPr>
      <w:ind w:firstLine="420" w:firstLineChars="200"/>
    </w:pPr>
  </w:style>
  <w:style w:type="paragraph" w:customStyle="1" w:styleId="24">
    <w:name w:val="列出段落1"/>
    <w:basedOn w:val="1"/>
    <w:qFormat/>
    <w:uiPriority w:val="0"/>
    <w:pPr>
      <w:ind w:firstLine="420" w:firstLineChars="200"/>
    </w:pPr>
  </w:style>
  <w:style w:type="paragraph" w:customStyle="1" w:styleId="25">
    <w:name w:val="修订1"/>
    <w:unhideWhenUsed/>
    <w:qFormat/>
    <w:uiPriority w:val="99"/>
    <w:rPr>
      <w:rFonts w:ascii="Times New Roman" w:hAnsi="Times New Roman" w:eastAsia="宋体" w:cs="Times New Roman"/>
      <w:kern w:val="2"/>
      <w:sz w:val="21"/>
      <w:szCs w:val="22"/>
      <w:lang w:val="en-US" w:eastAsia="zh-CN" w:bidi="ar-SA"/>
    </w:rPr>
  </w:style>
  <w:style w:type="paragraph" w:customStyle="1" w:styleId="26">
    <w:name w:val="列出段落2"/>
    <w:basedOn w:val="1"/>
    <w:qFormat/>
    <w:uiPriority w:val="99"/>
    <w:pPr>
      <w:ind w:firstLine="420" w:firstLineChars="200"/>
    </w:pPr>
  </w:style>
  <w:style w:type="paragraph" w:customStyle="1" w:styleId="27">
    <w:name w:val="修订2"/>
    <w:hidden/>
    <w:semiHidden/>
    <w:qFormat/>
    <w:uiPriority w:val="99"/>
    <w:rPr>
      <w:rFonts w:ascii="Times New Roman" w:hAnsi="Times New Roman" w:eastAsia="宋体" w:cs="Times New Roman"/>
      <w:kern w:val="2"/>
      <w:sz w:val="21"/>
      <w:szCs w:val="22"/>
      <w:lang w:val="en-US" w:eastAsia="zh-CN" w:bidi="ar-SA"/>
    </w:rPr>
  </w:style>
  <w:style w:type="paragraph" w:customStyle="1" w:styleId="28">
    <w:name w:val="修订3"/>
    <w:hidden/>
    <w:semiHidden/>
    <w:qFormat/>
    <w:uiPriority w:val="99"/>
    <w:rPr>
      <w:rFonts w:ascii="Times New Roman" w:hAnsi="Times New Roman" w:eastAsia="宋体" w:cs="Times New Roman"/>
      <w:kern w:val="2"/>
      <w:sz w:val="21"/>
      <w:szCs w:val="22"/>
      <w:lang w:val="en-US" w:eastAsia="zh-CN" w:bidi="ar-SA"/>
    </w:rPr>
  </w:style>
  <w:style w:type="character" w:customStyle="1" w:styleId="29">
    <w:name w:val="标题 1 字符"/>
    <w:basedOn w:val="12"/>
    <w:link w:val="3"/>
    <w:qFormat/>
    <w:uiPriority w:val="1"/>
    <w:rPr>
      <w:b/>
      <w:bCs/>
      <w:kern w:val="44"/>
      <w:sz w:val="44"/>
      <w:szCs w:val="44"/>
    </w:rPr>
  </w:style>
  <w:style w:type="character" w:customStyle="1" w:styleId="30">
    <w:name w:val="any"/>
    <w:basedOn w:val="12"/>
    <w:qFormat/>
    <w:uiPriority w:val="0"/>
  </w:style>
  <w:style w:type="paragraph" w:customStyle="1" w:styleId="31">
    <w:name w:val="faguicon_p"/>
    <w:basedOn w:val="1"/>
    <w:qFormat/>
    <w:uiPriority w:val="0"/>
    <w:pPr>
      <w:widowControl/>
      <w:ind w:firstLine="480"/>
      <w:jc w:val="left"/>
    </w:pPr>
    <w:rPr>
      <w:rFonts w:ascii="微软雅黑" w:hAnsi="微软雅黑" w:eastAsia="微软雅黑" w:cs="微软雅黑"/>
      <w:kern w:val="0"/>
      <w:sz w:val="24"/>
      <w:szCs w:val="24"/>
    </w:rPr>
  </w:style>
  <w:style w:type="character" w:customStyle="1" w:styleId="32">
    <w:name w:val="sect2title"/>
    <w:qFormat/>
    <w:uiPriority w:val="0"/>
    <w:rPr>
      <w:rFonts w:ascii="微软雅黑" w:hAnsi="微软雅黑" w:eastAsia="微软雅黑" w:cs="微软雅黑"/>
      <w:b/>
      <w:bCs/>
      <w:sz w:val="26"/>
      <w:szCs w:val="26"/>
    </w:rPr>
  </w:style>
  <w:style w:type="paragraph" w:customStyle="1" w:styleId="33">
    <w:name w:val="修订4"/>
    <w:hidden/>
    <w:semiHidden/>
    <w:qFormat/>
    <w:uiPriority w:val="99"/>
    <w:rPr>
      <w:rFonts w:ascii="Times New Roman" w:hAnsi="Times New Roman" w:eastAsia="宋体" w:cs="Times New Roman"/>
      <w:kern w:val="2"/>
      <w:sz w:val="21"/>
      <w:szCs w:val="22"/>
      <w:lang w:val="en-US" w:eastAsia="zh-CN" w:bidi="ar-SA"/>
    </w:rPr>
  </w:style>
  <w:style w:type="paragraph" w:customStyle="1" w:styleId="34">
    <w:name w:val="p1"/>
    <w:basedOn w:val="1"/>
    <w:qFormat/>
    <w:uiPriority w:val="0"/>
    <w:pPr>
      <w:jc w:val="left"/>
    </w:pPr>
    <w:rPr>
      <w:rFonts w:ascii="Helvetica" w:hAnsi="Helvetica" w:eastAsia="Helvetica"/>
      <w:kern w:val="0"/>
      <w:sz w:val="42"/>
      <w:szCs w:val="42"/>
    </w:rPr>
  </w:style>
  <w:style w:type="paragraph" w:customStyle="1" w:styleId="35">
    <w:name w:val="列出段落3"/>
    <w:basedOn w:val="1"/>
    <w:qFormat/>
    <w:uiPriority w:val="99"/>
    <w:pPr>
      <w:ind w:firstLine="420" w:firstLineChars="200"/>
    </w:pPr>
  </w:style>
  <w:style w:type="paragraph" w:customStyle="1" w:styleId="36">
    <w:name w:val="标题 211"/>
    <w:basedOn w:val="1"/>
    <w:next w:val="1"/>
    <w:qFormat/>
    <w:uiPriority w:val="9"/>
    <w:pPr>
      <w:spacing w:line="360" w:lineRule="auto"/>
      <w:jc w:val="center"/>
      <w:outlineLvl w:val="1"/>
    </w:pPr>
    <w:rPr>
      <w:rFonts w:ascii="宋体" w:hAnsi="宋体" w:cs="宋体"/>
      <w:b/>
      <w:sz w:val="28"/>
      <w:szCs w:val="28"/>
    </w:rPr>
  </w:style>
  <w:style w:type="paragraph" w:customStyle="1" w:styleId="37">
    <w:name w:val="List Paragraph"/>
    <w:basedOn w:val="1"/>
    <w:qFormat/>
    <w:uiPriority w:val="99"/>
    <w:pPr>
      <w:ind w:firstLine="420" w:firstLineChars="200"/>
    </w:pPr>
  </w:style>
  <w:style w:type="paragraph" w:customStyle="1" w:styleId="38">
    <w:name w:val="Heading 3"/>
    <w:basedOn w:val="1"/>
    <w:next w:val="1"/>
    <w:unhideWhenUsed/>
    <w:qFormat/>
    <w:uiPriority w:val="9"/>
    <w:pPr>
      <w:tabs>
        <w:tab w:val="left" w:pos="420"/>
        <w:tab w:val="left" w:pos="720"/>
      </w:tabs>
      <w:spacing w:line="360" w:lineRule="auto"/>
      <w:ind w:firstLine="422" w:firstLineChars="200"/>
      <w:outlineLvl w:val="2"/>
    </w:pPr>
    <w:rPr>
      <w:rFonts w:ascii="宋体" w:hAnsi="宋体" w:cs="宋体"/>
      <w:b/>
      <w:bCs/>
      <w:snapToGrid w:val="0"/>
      <w:szCs w:val="21"/>
    </w:rPr>
  </w:style>
  <w:style w:type="paragraph" w:customStyle="1" w:styleId="3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26</Pages>
  <Words>15571</Words>
  <Characters>15997</Characters>
  <Lines>230</Lines>
  <Paragraphs>64</Paragraphs>
  <TotalTime>0</TotalTime>
  <ScaleCrop>false</ScaleCrop>
  <LinksUpToDate>false</LinksUpToDate>
  <CharactersWithSpaces>16003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2021-06-26T10:15:00Z</dcterms:created>
  <dc:creator>user</dc:creator>
  <cp:lastModifiedBy>胡芮 ruì</cp:lastModifiedBy>
  <cp:lastPrinted>2021-06-11T20:27:00Z</cp:lastPrinted>
  <dcterms:modified xsi:type="dcterms:W3CDTF">2026-01-27T09:50:23Z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91FDD32479F749C996289B081BA594D5_13</vt:lpwstr>
  </property>
  <property fmtid="{D5CDD505-2E9C-101B-9397-08002B2CF9AE}" pid="4" name="KSOTemplateDocerSaveRecord">
    <vt:lpwstr>eyJoZGlkIjoiNTgxM2ZjOTcwMjM4Y2JjZjZhZjdkMjgzODczNmEzNGUiLCJ1c2VySWQiOiI0NTA3NDMyODYifQ==</vt:lpwstr>
  </property>
</Properties>
</file>