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pacing w:line="276" w:lineRule="auto"/>
        <w:ind w:firstLine="422"/>
        <w:jc w:val="center"/>
        <w:rPr>
          <w:rFonts w:ascii="黑体" w:hAnsi="黑体" w:eastAsia="黑体"/>
          <w:b/>
          <w:bCs/>
          <w:sz w:val="28"/>
          <w:szCs w:val="28"/>
        </w:rPr>
      </w:pPr>
      <w:permStart w:id="0" w:edGrp="everyone"/>
      <w:r>
        <w:rPr>
          <w:rFonts w:hint="eastAsia" w:ascii="黑体" w:hAnsi="黑体" w:eastAsia="黑体"/>
          <w:b/>
          <w:bCs/>
          <w:sz w:val="28"/>
          <w:szCs w:val="28"/>
        </w:rPr>
        <w:t>兴银理财【</w:t>
      </w:r>
      <w:r>
        <w:rPr>
          <w:rFonts w:hint="eastAsia" w:ascii="黑体" w:hAnsi="黑体" w:eastAsia="黑体"/>
          <w:b/>
          <w:bCs/>
          <w:sz w:val="28"/>
          <w:szCs w:val="28"/>
          <w:lang w:eastAsia="zh-CN"/>
        </w:rPr>
        <w:t>甄合封闭式固收类</w:t>
      </w:r>
      <w:r>
        <w:rPr>
          <w:rFonts w:hint="eastAsia" w:ascii="黑体" w:hAnsi="黑体" w:eastAsia="黑体"/>
          <w:b/>
          <w:bCs/>
          <w:sz w:val="28"/>
          <w:szCs w:val="28"/>
        </w:rPr>
        <w:t>】</w:t>
      </w:r>
      <w:r>
        <w:rPr>
          <w:rFonts w:ascii="黑体" w:hAnsi="黑体" w:eastAsia="黑体"/>
          <w:b/>
          <w:bCs/>
          <w:sz w:val="28"/>
          <w:szCs w:val="28"/>
        </w:rPr>
        <w:t>理财产品</w:t>
      </w:r>
      <w:permEnd w:id="0"/>
    </w:p>
    <w:p>
      <w:pPr>
        <w:adjustRightInd w:val="0"/>
        <w:spacing w:line="276" w:lineRule="auto"/>
        <w:ind w:firstLine="422"/>
        <w:jc w:val="center"/>
        <w:rPr>
          <w:rFonts w:ascii="黑体" w:hAnsi="黑体" w:eastAsia="黑体"/>
          <w:b/>
          <w:bCs/>
          <w:sz w:val="28"/>
          <w:szCs w:val="28"/>
        </w:rPr>
      </w:pPr>
      <w:r>
        <w:rPr>
          <w:rFonts w:ascii="黑体" w:hAnsi="黑体" w:eastAsia="黑体"/>
          <w:b/>
          <w:bCs/>
          <w:sz w:val="28"/>
          <w:szCs w:val="28"/>
        </w:rPr>
        <w:t>风险揭示书</w:t>
      </w:r>
    </w:p>
    <w:p>
      <w:pPr>
        <w:autoSpaceDE w:val="0"/>
        <w:autoSpaceDN w:val="0"/>
        <w:adjustRightInd w:val="0"/>
        <w:snapToGrid w:val="0"/>
        <w:spacing w:before="156" w:beforeLines="50" w:line="320" w:lineRule="exact"/>
        <w:jc w:val="center"/>
        <w:rPr>
          <w:rFonts w:ascii="宋体" w:hAnsi="宋体"/>
          <w:b/>
          <w:sz w:val="24"/>
        </w:rPr>
      </w:pPr>
      <w:r>
        <w:rPr>
          <w:rFonts w:hint="eastAsia" w:ascii="宋体" w:hAnsi="宋体"/>
          <w:b/>
          <w:sz w:val="24"/>
        </w:rPr>
        <w:t>理财非存款、产品有风险、投资须谨慎</w:t>
      </w:r>
    </w:p>
    <w:p>
      <w:pPr>
        <w:rPr>
          <w:rFonts w:ascii="宋体" w:hAnsi="宋体" w:cs="仿宋_GB2312"/>
          <w:b/>
          <w:kern w:val="0"/>
          <w:sz w:val="18"/>
          <w:szCs w:val="18"/>
        </w:rPr>
      </w:pPr>
      <w:r>
        <w:rPr>
          <w:rFonts w:hint="eastAsia" w:ascii="宋体" w:hAnsi="宋体" w:cs="仿宋_GB2312"/>
          <w:b/>
          <w:kern w:val="0"/>
          <w:sz w:val="18"/>
          <w:szCs w:val="18"/>
        </w:rPr>
        <w:t>尊敬的投资者：</w:t>
      </w:r>
    </w:p>
    <w:p>
      <w:pPr>
        <w:ind w:firstLine="448" w:firstLineChars="249"/>
        <w:rPr>
          <w:rFonts w:ascii="宋体" w:hAnsi="宋体" w:cs="仿宋_GB2312"/>
          <w:kern w:val="0"/>
          <w:sz w:val="18"/>
          <w:szCs w:val="18"/>
        </w:rPr>
      </w:pPr>
      <w:r>
        <w:rPr>
          <w:rFonts w:hint="eastAsia" w:ascii="宋体" w:hAnsi="宋体" w:cs="仿宋_GB2312"/>
          <w:kern w:val="0"/>
          <w:sz w:val="18"/>
          <w:szCs w:val="18"/>
        </w:rPr>
        <w:t>本理财产品不保证理财本金的安全及理财收益。在您选择购买本产品前，请仔细阅读以下内容：</w:t>
      </w:r>
    </w:p>
    <w:p>
      <w:pPr>
        <w:autoSpaceDE w:val="0"/>
        <w:autoSpaceDN w:val="0"/>
        <w:adjustRightInd w:val="0"/>
        <w:ind w:firstLine="420"/>
        <w:jc w:val="left"/>
        <w:rPr>
          <w:rFonts w:ascii="宋体" w:hAnsi="宋体"/>
          <w:sz w:val="18"/>
          <w:szCs w:val="18"/>
        </w:rPr>
      </w:pPr>
      <w:r>
        <w:rPr>
          <w:rFonts w:hint="eastAsia" w:ascii="宋体" w:hAnsi="宋体"/>
          <w:b/>
          <w:sz w:val="18"/>
          <w:szCs w:val="18"/>
        </w:rPr>
        <w:t>一</w:t>
      </w:r>
      <w:r>
        <w:rPr>
          <w:rFonts w:hint="eastAsia" w:ascii="宋体" w:hAnsi="宋体"/>
          <w:sz w:val="18"/>
          <w:szCs w:val="18"/>
        </w:rPr>
        <w:t>、</w:t>
      </w:r>
      <w:r>
        <w:rPr>
          <w:rFonts w:hint="eastAsia" w:ascii="黑体" w:hAnsi="黑体" w:eastAsia="黑体" w:cs="仿宋_GB2312"/>
          <w:bCs/>
          <w:kern w:val="0"/>
          <w:sz w:val="18"/>
          <w:szCs w:val="18"/>
        </w:rPr>
        <w:t>★</w:t>
      </w:r>
      <w:r>
        <w:rPr>
          <w:rFonts w:hint="eastAsia" w:ascii="黑体" w:hAnsi="黑体" w:eastAsia="黑体"/>
          <w:sz w:val="18"/>
          <w:szCs w:val="18"/>
        </w:rPr>
        <w:t>《投资协议书》《产品说明书》《（代理）销售协议书》《</w:t>
      </w:r>
      <w:r>
        <w:rPr>
          <w:rFonts w:hint="eastAsia" w:ascii="黑体" w:hAnsi="黑体" w:eastAsia="黑体"/>
          <w:sz w:val="18"/>
        </w:rPr>
        <w:t>风险揭示书》《投资者权益须知》</w:t>
      </w:r>
      <w:r>
        <w:rPr>
          <w:rFonts w:hint="eastAsia" w:ascii="黑体" w:hAnsi="黑体" w:eastAsia="黑体"/>
          <w:sz w:val="18"/>
          <w:szCs w:val="18"/>
        </w:rPr>
        <w:t>等有关文件共同构成一份完整且</w:t>
      </w:r>
      <w:r>
        <w:rPr>
          <w:rFonts w:hint="eastAsia" w:ascii="黑体" w:hAnsi="黑体" w:eastAsia="黑体"/>
          <w:sz w:val="18"/>
        </w:rPr>
        <w:t>不可分割的</w:t>
      </w:r>
      <w:r>
        <w:rPr>
          <w:rFonts w:hint="eastAsia" w:ascii="黑体" w:hAnsi="黑体" w:eastAsia="黑体"/>
          <w:sz w:val="18"/>
          <w:szCs w:val="18"/>
        </w:rPr>
        <w:t>理财产品销售文件</w:t>
      </w:r>
      <w:r>
        <w:rPr>
          <w:rFonts w:hint="eastAsia" w:ascii="宋体" w:hAnsi="宋体"/>
          <w:sz w:val="18"/>
          <w:szCs w:val="18"/>
        </w:rPr>
        <w:t>，在购买理财产品前，请您仔细阅读理财产品销售文件，确保自己完全理解该项投资的性质和面临的风险，详细了解和审慎评估该理财产品的资金投资方向、风险类型等情况，在慎重考虑后自行决定购买与自身风险承受能力和资产管理需求匹配的理财产品。</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二、</w:t>
      </w:r>
      <w:r>
        <w:rPr>
          <w:rFonts w:hint="eastAsia" w:ascii="黑体" w:hAnsi="黑体" w:eastAsia="黑体" w:cs="仿宋_GB2312"/>
          <w:bCs/>
          <w:kern w:val="0"/>
          <w:sz w:val="18"/>
          <w:szCs w:val="18"/>
        </w:rPr>
        <w:t>★</w:t>
      </w:r>
      <w:r>
        <w:rPr>
          <w:rFonts w:hint="eastAsia" w:ascii="宋体" w:hAnsi="宋体" w:cs="仿宋_GB2312"/>
          <w:kern w:val="0"/>
          <w:sz w:val="18"/>
          <w:szCs w:val="18"/>
        </w:rPr>
        <w:t>本产品基本</w:t>
      </w:r>
      <w:r>
        <w:rPr>
          <w:rFonts w:ascii="宋体" w:hAnsi="宋体" w:cs="仿宋_GB2312"/>
          <w:kern w:val="0"/>
          <w:sz w:val="18"/>
          <w:szCs w:val="18"/>
        </w:rPr>
        <w:t>信息</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（一）产品名称、销售</w:t>
      </w:r>
      <w:r>
        <w:rPr>
          <w:rFonts w:ascii="宋体" w:hAnsi="宋体" w:cs="仿宋_GB2312"/>
          <w:kern w:val="0"/>
          <w:sz w:val="18"/>
          <w:szCs w:val="18"/>
        </w:rPr>
        <w:t>名称</w:t>
      </w:r>
      <w:r>
        <w:rPr>
          <w:rFonts w:hint="eastAsia" w:ascii="宋体" w:hAnsi="宋体" w:cs="仿宋_GB2312"/>
          <w:kern w:val="0"/>
          <w:sz w:val="18"/>
          <w:szCs w:val="18"/>
        </w:rPr>
        <w:t>及产品</w:t>
      </w:r>
      <w:r>
        <w:rPr>
          <w:rFonts w:ascii="宋体" w:hAnsi="宋体" w:cs="仿宋_GB2312"/>
          <w:kern w:val="0"/>
          <w:sz w:val="18"/>
          <w:szCs w:val="18"/>
        </w:rPr>
        <w:t>登记编码</w:t>
      </w:r>
    </w:p>
    <w:p>
      <w:pPr>
        <w:ind w:firstLine="448" w:firstLineChars="249"/>
        <w:rPr>
          <w:rFonts w:ascii="宋体" w:hAnsi="宋体" w:cs="仿宋_GB2312"/>
          <w:kern w:val="0"/>
          <w:sz w:val="18"/>
          <w:szCs w:val="18"/>
        </w:rPr>
      </w:pPr>
      <w:r>
        <w:rPr>
          <w:rFonts w:hint="eastAsia" w:ascii="宋体" w:hAnsi="宋体" w:cs="仿宋_GB2312"/>
          <w:kern w:val="0"/>
          <w:sz w:val="18"/>
          <w:szCs w:val="18"/>
        </w:rPr>
        <w:t>产品名称</w:t>
      </w:r>
      <w:r>
        <w:rPr>
          <w:rFonts w:ascii="宋体" w:hAnsi="宋体" w:cs="仿宋_GB2312"/>
          <w:kern w:val="0"/>
          <w:sz w:val="18"/>
          <w:szCs w:val="18"/>
        </w:rPr>
        <w:t>：</w:t>
      </w:r>
      <w:permStart w:id="1" w:edGrp="everyone"/>
      <w:r>
        <w:rPr>
          <w:rFonts w:hint="eastAsia" w:ascii="宋体" w:hAnsi="宋体" w:cs="仿宋_GB2312"/>
          <w:kern w:val="0"/>
          <w:sz w:val="18"/>
          <w:szCs w:val="18"/>
        </w:rPr>
        <w:t>【兴银理财甄合封闭式53号固收类理财产品</w:t>
      </w:r>
      <w:r>
        <w:rPr>
          <w:rFonts w:hint="eastAsia" w:asciiTheme="majorEastAsia" w:hAnsiTheme="majorEastAsia" w:eastAsiaTheme="majorEastAsia"/>
          <w:bCs/>
          <w:kern w:val="0"/>
          <w:sz w:val="18"/>
          <w:szCs w:val="18"/>
        </w:rPr>
        <w:t>】</w:t>
      </w:r>
      <w:permEnd w:id="1"/>
    </w:p>
    <w:p>
      <w:pPr>
        <w:ind w:firstLine="448" w:firstLineChars="249"/>
        <w:rPr>
          <w:rFonts w:ascii="宋体" w:hAnsi="宋体" w:cs="仿宋_GB2312"/>
          <w:kern w:val="0"/>
          <w:sz w:val="18"/>
          <w:szCs w:val="18"/>
        </w:rPr>
      </w:pPr>
      <w:r>
        <w:rPr>
          <w:rFonts w:hint="eastAsia" w:ascii="宋体" w:hAnsi="宋体" w:cs="仿宋_GB2312"/>
          <w:kern w:val="0"/>
          <w:sz w:val="18"/>
          <w:szCs w:val="18"/>
        </w:rPr>
        <w:t>销售</w:t>
      </w:r>
      <w:r>
        <w:rPr>
          <w:rFonts w:ascii="宋体" w:hAnsi="宋体" w:cs="仿宋_GB2312"/>
          <w:kern w:val="0"/>
          <w:sz w:val="18"/>
          <w:szCs w:val="18"/>
        </w:rPr>
        <w:t>名称：</w:t>
      </w:r>
      <w:permStart w:id="2" w:edGrp="everyone"/>
      <w:r>
        <w:rPr>
          <w:rFonts w:hint="eastAsia" w:ascii="宋体" w:hAnsi="宋体" w:cs="仿宋_GB2312"/>
          <w:kern w:val="0"/>
          <w:sz w:val="18"/>
          <w:szCs w:val="18"/>
        </w:rPr>
        <w:t>【兴银理财甄合封闭式53号</w:t>
      </w:r>
      <w:r>
        <w:rPr>
          <w:rFonts w:hint="eastAsia" w:ascii="宋体" w:hAnsi="宋体" w:cs="仿宋_GB2312"/>
          <w:kern w:val="0"/>
          <w:sz w:val="18"/>
          <w:szCs w:val="18"/>
          <w:lang w:eastAsia="zh-CN"/>
        </w:rPr>
        <w:t>】</w:t>
      </w:r>
      <w:permEnd w:id="2"/>
    </w:p>
    <w:p>
      <w:pPr>
        <w:ind w:firstLine="448" w:firstLineChars="249"/>
        <w:rPr>
          <w:rFonts w:ascii="宋体" w:hAnsi="宋体" w:cs="仿宋_GB2312"/>
          <w:kern w:val="0"/>
          <w:sz w:val="18"/>
          <w:szCs w:val="18"/>
        </w:rPr>
      </w:pPr>
      <w:r>
        <w:rPr>
          <w:rFonts w:hint="eastAsia" w:ascii="宋体" w:hAnsi="宋体" w:cs="仿宋_GB2312"/>
          <w:kern w:val="0"/>
          <w:sz w:val="18"/>
          <w:szCs w:val="18"/>
        </w:rPr>
        <w:t>产品登记编码</w:t>
      </w:r>
      <w:r>
        <w:rPr>
          <w:rFonts w:ascii="宋体" w:hAnsi="宋体" w:cs="仿宋_GB2312"/>
          <w:kern w:val="0"/>
          <w:sz w:val="18"/>
          <w:szCs w:val="18"/>
        </w:rPr>
        <w:t>：</w:t>
      </w:r>
      <w:permStart w:id="3" w:edGrp="everyone"/>
      <w:r>
        <w:rPr>
          <w:rFonts w:ascii="宋体" w:hAnsi="宋体" w:cs="仿宋_GB2312"/>
          <w:kern w:val="0"/>
          <w:sz w:val="18"/>
          <w:szCs w:val="18"/>
        </w:rPr>
        <w:t>【</w:t>
      </w:r>
      <w:r>
        <w:rPr>
          <w:rFonts w:hint="eastAsia" w:ascii="宋体" w:hAnsi="宋体" w:cs="仿宋_GB2312"/>
          <w:kern w:val="0"/>
          <w:sz w:val="18"/>
          <w:szCs w:val="18"/>
        </w:rPr>
        <w:t>Z7002025002454</w:t>
      </w:r>
      <w:r>
        <w:rPr>
          <w:rFonts w:ascii="宋体" w:hAnsi="宋体" w:cs="仿宋_GB2312"/>
          <w:kern w:val="0"/>
          <w:sz w:val="18"/>
          <w:szCs w:val="18"/>
        </w:rPr>
        <w:t>】</w:t>
      </w:r>
      <w:permEnd w:id="3"/>
    </w:p>
    <w:p>
      <w:pPr>
        <w:ind w:firstLine="448" w:firstLineChars="249"/>
        <w:rPr>
          <w:rFonts w:ascii="宋体" w:hAnsi="宋体" w:cs="仿宋_GB2312"/>
          <w:kern w:val="0"/>
          <w:sz w:val="18"/>
          <w:szCs w:val="18"/>
        </w:rPr>
      </w:pPr>
      <w:r>
        <w:rPr>
          <w:rFonts w:hint="eastAsia" w:ascii="宋体" w:hAnsi="宋体" w:cs="仿宋_GB2312"/>
          <w:kern w:val="0"/>
          <w:sz w:val="18"/>
          <w:szCs w:val="18"/>
        </w:rPr>
        <w:t>（二）产品</w:t>
      </w:r>
      <w:r>
        <w:rPr>
          <w:rFonts w:ascii="宋体" w:hAnsi="宋体" w:cs="仿宋_GB2312"/>
          <w:kern w:val="0"/>
          <w:sz w:val="18"/>
          <w:szCs w:val="18"/>
        </w:rPr>
        <w:t>类型</w:t>
      </w:r>
    </w:p>
    <w:p>
      <w:pPr>
        <w:ind w:firstLine="448" w:firstLineChars="249"/>
        <w:rPr>
          <w:rFonts w:ascii="宋体" w:hAnsi="宋体" w:cs="仿宋_GB2312"/>
          <w:kern w:val="0"/>
          <w:sz w:val="18"/>
          <w:szCs w:val="18"/>
        </w:rPr>
      </w:pPr>
      <w:permStart w:id="4" w:edGrp="everyone"/>
      <w:r>
        <w:rPr>
          <w:rFonts w:hint="eastAsia" w:ascii="宋体" w:hAnsi="宋体" w:cs="仿宋_GB2312"/>
          <w:kern w:val="0"/>
          <w:sz w:val="18"/>
          <w:szCs w:val="18"/>
        </w:rPr>
        <w:t>【公募、封闭式、固定收益</w:t>
      </w:r>
      <w:r>
        <w:rPr>
          <w:rFonts w:ascii="宋体" w:hAnsi="宋体" w:cs="仿宋_GB2312"/>
          <w:kern w:val="0"/>
          <w:sz w:val="18"/>
          <w:szCs w:val="18"/>
        </w:rPr>
        <w:t>类</w:t>
      </w:r>
      <w:r>
        <w:rPr>
          <w:rFonts w:hint="eastAsia" w:ascii="宋体" w:hAnsi="宋体" w:cs="仿宋_GB2312"/>
          <w:kern w:val="0"/>
          <w:sz w:val="18"/>
          <w:szCs w:val="18"/>
        </w:rPr>
        <w:t>、非保本浮动</w:t>
      </w:r>
      <w:r>
        <w:rPr>
          <w:rFonts w:ascii="宋体" w:hAnsi="宋体" w:cs="仿宋_GB2312"/>
          <w:kern w:val="0"/>
          <w:sz w:val="18"/>
          <w:szCs w:val="18"/>
        </w:rPr>
        <w:t>收益</w:t>
      </w:r>
      <w:r>
        <w:rPr>
          <w:rFonts w:hint="eastAsia" w:ascii="宋体" w:hAnsi="宋体" w:cs="仿宋_GB2312"/>
          <w:kern w:val="0"/>
          <w:sz w:val="18"/>
          <w:szCs w:val="18"/>
        </w:rPr>
        <w:t>、净值型】</w:t>
      </w:r>
      <w:permEnd w:id="4"/>
      <w:r>
        <w:rPr>
          <w:rFonts w:hint="eastAsia" w:ascii="宋体" w:hAnsi="宋体" w:cs="仿宋_GB2312"/>
          <w:kern w:val="0"/>
          <w:sz w:val="18"/>
          <w:szCs w:val="18"/>
        </w:rPr>
        <w:t>理财产品。</w:t>
      </w:r>
    </w:p>
    <w:p>
      <w:pPr>
        <w:ind w:firstLine="448" w:firstLineChars="249"/>
        <w:rPr>
          <w:rFonts w:ascii="宋体" w:hAnsi="宋体" w:cs="仿宋_GB2312"/>
          <w:kern w:val="0"/>
          <w:sz w:val="18"/>
          <w:szCs w:val="18"/>
        </w:rPr>
      </w:pPr>
      <w:r>
        <w:rPr>
          <w:rFonts w:hint="eastAsia" w:ascii="宋体" w:hAnsi="宋体" w:cs="仿宋_GB2312"/>
          <w:kern w:val="0"/>
          <w:sz w:val="18"/>
          <w:szCs w:val="18"/>
        </w:rPr>
        <w:t>（三）产品</w:t>
      </w:r>
      <w:r>
        <w:rPr>
          <w:rFonts w:ascii="宋体" w:hAnsi="宋体" w:cs="仿宋_GB2312"/>
          <w:kern w:val="0"/>
          <w:sz w:val="18"/>
          <w:szCs w:val="18"/>
        </w:rPr>
        <w:t>期限</w:t>
      </w:r>
    </w:p>
    <w:p>
      <w:pPr>
        <w:ind w:firstLine="448" w:firstLineChars="249"/>
        <w:rPr>
          <w:rFonts w:ascii="宋体" w:hAnsi="宋体" w:cs="仿宋_GB2312"/>
          <w:kern w:val="0"/>
          <w:sz w:val="18"/>
          <w:szCs w:val="18"/>
        </w:rPr>
      </w:pPr>
      <w:permStart w:id="5" w:edGrp="everyone"/>
      <w:r>
        <w:rPr>
          <w:rFonts w:hint="eastAsia" w:ascii="宋体" w:hAnsi="宋体" w:cs="仿宋_GB2312"/>
          <w:kern w:val="0"/>
          <w:sz w:val="18"/>
          <w:szCs w:val="18"/>
        </w:rPr>
        <w:t>【</w:t>
      </w:r>
      <w:r>
        <w:rPr>
          <w:rFonts w:hint="eastAsia" w:ascii="宋体" w:hAnsi="宋体" w:cs="仿宋_GB2312"/>
          <w:kern w:val="0"/>
          <w:sz w:val="18"/>
          <w:szCs w:val="18"/>
          <w:lang w:val="en-US" w:eastAsia="zh-CN"/>
        </w:rPr>
        <w:t>547天</w:t>
      </w:r>
      <w:r>
        <w:rPr>
          <w:rFonts w:hint="eastAsia" w:ascii="宋体" w:hAnsi="宋体" w:cs="仿宋_GB2312"/>
          <w:kern w:val="0"/>
          <w:sz w:val="18"/>
          <w:szCs w:val="18"/>
        </w:rPr>
        <w:t>】</w:t>
      </w:r>
      <w:permEnd w:id="5"/>
      <w:r>
        <w:rPr>
          <w:rFonts w:ascii="宋体" w:hAnsi="宋体" w:cs="仿宋_GB2312"/>
          <w:kern w:val="0"/>
          <w:sz w:val="18"/>
          <w:szCs w:val="18"/>
        </w:rPr>
        <w:t>。</w:t>
      </w:r>
    </w:p>
    <w:p>
      <w:pPr>
        <w:ind w:firstLine="498" w:firstLineChars="249"/>
        <w:rPr>
          <w:rFonts w:ascii="宋体" w:hAnsi="宋体" w:cs="仿宋_GB2312"/>
          <w:kern w:val="0"/>
          <w:sz w:val="18"/>
          <w:szCs w:val="18"/>
        </w:rPr>
      </w:pPr>
      <w:r>
        <w:rPr>
          <w:rFonts w:hint="eastAsia" w:ascii="宋体" w:hAnsiTheme="minorHAnsi"/>
          <w:color w:val="000000"/>
          <w:kern w:val="0"/>
          <w:sz w:val="20"/>
          <w:szCs w:val="20"/>
        </w:rPr>
        <w:t>本产品其他信息详见《产品说明书》。</w:t>
      </w:r>
    </w:p>
    <w:p>
      <w:pPr>
        <w:ind w:firstLine="448" w:firstLineChars="249"/>
        <w:rPr>
          <w:rFonts w:ascii="黑体" w:hAnsi="黑体" w:eastAsia="黑体"/>
          <w:sz w:val="18"/>
          <w:szCs w:val="18"/>
        </w:rPr>
      </w:pPr>
      <w:r>
        <w:rPr>
          <w:rFonts w:hint="eastAsia" w:ascii="黑体" w:hAnsi="黑体" w:eastAsia="黑体"/>
          <w:sz w:val="18"/>
          <w:szCs w:val="18"/>
        </w:rPr>
        <w:t>产品管理人对本产品的理财本金和收益不提供保证承诺</w:t>
      </w:r>
      <w:r>
        <w:rPr>
          <w:rFonts w:hint="eastAsia" w:ascii="黑体" w:hAnsi="黑体" w:eastAsia="黑体"/>
          <w:bCs/>
          <w:sz w:val="18"/>
          <w:szCs w:val="18"/>
        </w:rPr>
        <w:t>，</w:t>
      </w:r>
      <w:r>
        <w:rPr>
          <w:rFonts w:hint="eastAsia" w:ascii="黑体" w:hAnsi="黑体" w:eastAsia="黑体"/>
          <w:sz w:val="18"/>
          <w:szCs w:val="18"/>
        </w:rPr>
        <w:t>在发生最不利的情况下（可能但不一定发生），投资者可能无法取得理财收益，并可能面临损失理财本金的风险。</w:t>
      </w:r>
    </w:p>
    <w:p>
      <w:pPr>
        <w:ind w:firstLine="448" w:firstLineChars="249"/>
        <w:rPr>
          <w:rFonts w:ascii="宋体" w:hAnsi="宋体" w:cs="仿宋_GB2312"/>
          <w:kern w:val="0"/>
          <w:sz w:val="18"/>
          <w:szCs w:val="18"/>
        </w:rPr>
      </w:pPr>
      <w:r>
        <w:rPr>
          <w:rFonts w:hint="eastAsia" w:ascii="黑体" w:hAnsi="黑体" w:eastAsia="黑体" w:cs="仿宋_GB2312"/>
          <w:bCs/>
          <w:kern w:val="0"/>
          <w:sz w:val="18"/>
          <w:szCs w:val="18"/>
        </w:rPr>
        <w:t>三、</w:t>
      </w:r>
      <w:r>
        <w:rPr>
          <w:rFonts w:hint="eastAsia" w:ascii="宋体" w:hAnsi="宋体" w:cs="仿宋_GB2312"/>
          <w:kern w:val="0"/>
          <w:sz w:val="18"/>
          <w:szCs w:val="18"/>
        </w:rPr>
        <w:t>本产品的风险评级及适合投资者风险承受能力</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（一）产品风险评级</w:t>
      </w:r>
    </w:p>
    <w:p>
      <w:pPr>
        <w:ind w:firstLine="448" w:firstLineChars="249"/>
        <w:rPr>
          <w:rFonts w:ascii="宋体" w:hAnsi="宋体" w:cs="仿宋_GB2312"/>
          <w:kern w:val="0"/>
          <w:sz w:val="18"/>
          <w:szCs w:val="18"/>
        </w:rPr>
      </w:pPr>
      <w:r>
        <w:rPr>
          <w:rFonts w:hint="eastAsia" w:ascii="黑体" w:hAnsi="黑体" w:eastAsia="黑体" w:cs="黑体"/>
          <w:kern w:val="0"/>
          <w:sz w:val="18"/>
          <w:szCs w:val="18"/>
        </w:rPr>
        <w:t>本理财产品风险评级最终定义为</w:t>
      </w:r>
      <w:permStart w:id="6" w:edGrp="everyone"/>
      <w:r>
        <w:rPr>
          <w:rFonts w:hint="eastAsia" w:ascii="黑体" w:hAnsi="黑体" w:eastAsia="黑体" w:cs="黑体"/>
          <w:kern w:val="0"/>
          <w:sz w:val="18"/>
          <w:szCs w:val="18"/>
        </w:rPr>
        <w:t>【R2】</w:t>
      </w:r>
      <w:permEnd w:id="6"/>
      <w:r>
        <w:rPr>
          <w:rFonts w:hint="eastAsia" w:ascii="黑体" w:hAnsi="黑体" w:eastAsia="黑体" w:cs="黑体"/>
          <w:kern w:val="0"/>
          <w:sz w:val="18"/>
          <w:szCs w:val="18"/>
        </w:rPr>
        <w:t>（产品管理人定义的产品风险评级为</w:t>
      </w:r>
      <w:permStart w:id="7" w:edGrp="everyone"/>
      <w:r>
        <w:rPr>
          <w:rFonts w:hint="eastAsia" w:ascii="黑体" w:hAnsi="黑体" w:eastAsia="黑体" w:cs="黑体"/>
          <w:kern w:val="0"/>
          <w:sz w:val="18"/>
          <w:szCs w:val="18"/>
        </w:rPr>
        <w:t>【R2】</w:t>
      </w:r>
      <w:permEnd w:id="7"/>
      <w:r>
        <w:rPr>
          <w:rFonts w:hint="eastAsia" w:ascii="黑体" w:hAnsi="黑体" w:eastAsia="黑体" w:cs="黑体"/>
          <w:kern w:val="0"/>
          <w:sz w:val="18"/>
          <w:szCs w:val="18"/>
        </w:rPr>
        <w:t>；代理销售机构定义的产品风险评级为</w:t>
      </w:r>
      <w:permStart w:id="8" w:edGrp="everyone"/>
      <w:r>
        <w:rPr>
          <w:rFonts w:hint="eastAsia" w:ascii="黑体" w:hAnsi="黑体" w:eastAsia="黑体" w:cs="黑体"/>
          <w:kern w:val="0"/>
          <w:sz w:val="18"/>
          <w:szCs w:val="18"/>
        </w:rPr>
        <w:t>【R2】</w:t>
      </w:r>
      <w:permEnd w:id="8"/>
      <w:r>
        <w:rPr>
          <w:rFonts w:hint="eastAsia" w:ascii="黑体" w:hAnsi="黑体" w:eastAsia="黑体" w:cs="黑体"/>
          <w:kern w:val="0"/>
          <w:sz w:val="18"/>
          <w:szCs w:val="18"/>
        </w:rPr>
        <w:t>）。</w:t>
      </w:r>
      <w:r>
        <w:rPr>
          <w:rFonts w:hint="eastAsia" w:asciiTheme="majorEastAsia" w:hAnsiTheme="majorEastAsia" w:eastAsiaTheme="majorEastAsia"/>
          <w:bCs/>
          <w:kern w:val="0"/>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pPr>
        <w:ind w:firstLine="448" w:firstLineChars="249"/>
        <w:rPr>
          <w:rFonts w:ascii="宋体" w:hAnsi="宋体" w:cs="仿宋_GB2312"/>
          <w:kern w:val="0"/>
          <w:sz w:val="18"/>
          <w:szCs w:val="18"/>
        </w:rPr>
      </w:pPr>
      <w:r>
        <w:rPr>
          <w:rFonts w:hint="eastAsia" w:ascii="宋体" w:hAnsi="宋体" w:cs="仿宋_GB2312"/>
          <w:kern w:val="0"/>
          <w:sz w:val="18"/>
          <w:szCs w:val="18"/>
        </w:rPr>
        <w:t>（二）适合投资者类型</w:t>
      </w:r>
    </w:p>
    <w:p>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宋体" w:hAnsi="宋体" w:cs="仿宋_GB2312"/>
          <w:kern w:val="0"/>
          <w:sz w:val="18"/>
          <w:szCs w:val="18"/>
        </w:rPr>
        <w:t>1.</w:t>
      </w:r>
      <w:r>
        <w:rPr>
          <w:rFonts w:hint="eastAsia" w:asciiTheme="majorEastAsia" w:hAnsiTheme="majorEastAsia" w:eastAsiaTheme="majorEastAsia"/>
          <w:bCs/>
          <w:color w:val="000000" w:themeColor="text1"/>
          <w:sz w:val="18"/>
          <w:szCs w:val="18"/>
          <w14:textFill>
            <w14:solidFill>
              <w14:schemeClr w14:val="tx1"/>
            </w14:solidFill>
          </w14:textFill>
        </w:rPr>
        <w:t>销售机构认为本产品适合以下投资者类型：</w:t>
      </w:r>
    </w:p>
    <w:p>
      <w:pPr>
        <w:ind w:firstLine="360" w:firstLineChars="200"/>
        <w:rPr>
          <w:rFonts w:hint="eastAsia" w:asciiTheme="majorEastAsia" w:hAnsiTheme="majorEastAsia" w:eastAsiaTheme="majorEastAsia"/>
          <w:bCs/>
          <w:color w:val="000000" w:themeColor="text1"/>
          <w:sz w:val="18"/>
          <w:szCs w:val="18"/>
          <w14:textFill>
            <w14:solidFill>
              <w14:schemeClr w14:val="tx1"/>
            </w14:solidFill>
          </w14:textFill>
        </w:rPr>
      </w:pPr>
      <w:permStart w:id="9" w:edGrp="everyone"/>
      <w:r>
        <w:rPr>
          <w:rFonts w:hint="eastAsia" w:asciiTheme="majorEastAsia" w:hAnsiTheme="majorEastAsia" w:eastAsiaTheme="majorEastAsia"/>
          <w:bCs/>
          <w:color w:val="000000" w:themeColor="text1"/>
          <w:sz w:val="18"/>
          <w:szCs w:val="18"/>
          <w14:textFill>
            <w14:solidFill>
              <w14:schemeClr w14:val="tx1"/>
            </w14:solidFill>
          </w14:textFill>
        </w:rPr>
        <w:t>■个人投资者：【□ C1、■ C2、■ C3、■ C4、■ C5、■ C6】。</w:t>
      </w:r>
    </w:p>
    <w:p>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□机构投资者：【□ C1、□ C2、□ C3、□ C4、□ C5】。</w:t>
      </w:r>
    </w:p>
    <w:permEnd w:id="9"/>
    <w:p>
      <w:pPr>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.销售机构在销售本产品时，其对投资者风险承受能力等级的划分与表述可能与产品管理人存在差异，即采用销售机构设置的标准。</w:t>
      </w:r>
    </w:p>
    <w:p>
      <w:pPr>
        <w:ind w:firstLine="360" w:firstLineChars="200"/>
        <w:rPr>
          <w:rFonts w:ascii="宋体" w:hAnsi="宋体" w:cs="仿宋_GB2312"/>
          <w:kern w:val="0"/>
          <w:sz w:val="18"/>
          <w:szCs w:val="18"/>
        </w:rPr>
      </w:pPr>
      <w:r>
        <w:rPr>
          <w:rFonts w:hint="eastAsia" w:ascii="宋体" w:hAnsi="宋体" w:cs="仿宋_GB2312"/>
          <w:kern w:val="0"/>
          <w:sz w:val="18"/>
          <w:szCs w:val="18"/>
        </w:rPr>
        <w:t>销售机构应以书面的方式向投资者明示其对投资者风险承受能力等级的划分与“适合投资者类型”的表述。</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四、</w:t>
      </w:r>
      <w:r>
        <w:rPr>
          <w:rFonts w:hint="eastAsia" w:ascii="宋体" w:hAnsi="宋体" w:cs="仿宋_GB2312"/>
          <w:kern w:val="0"/>
          <w:sz w:val="18"/>
          <w:szCs w:val="18"/>
        </w:rPr>
        <w:t>您应充分认识投资风险，谨慎投资。</w:t>
      </w:r>
    </w:p>
    <w:p>
      <w:pPr>
        <w:ind w:firstLine="361" w:firstLineChars="200"/>
        <w:rPr>
          <w:rFonts w:ascii="宋体" w:hAnsi="宋体"/>
          <w:b/>
          <w:sz w:val="18"/>
          <w:szCs w:val="18"/>
        </w:rPr>
      </w:pPr>
      <w:r>
        <w:rPr>
          <w:rFonts w:hint="eastAsia" w:ascii="宋体" w:hAnsi="宋体"/>
          <w:b/>
          <w:sz w:val="18"/>
          <w:szCs w:val="18"/>
        </w:rPr>
        <w:t>（一）投资者投资本产品可能面临的特定风险主要包括（但不限于）：</w:t>
      </w:r>
    </w:p>
    <w:p>
      <w:pPr>
        <w:ind w:firstLine="360" w:firstLineChars="200"/>
        <w:rPr>
          <w:rFonts w:hint="eastAsia" w:ascii="宋体" w:hAnsi="宋体"/>
          <w:sz w:val="18"/>
          <w:szCs w:val="18"/>
        </w:rPr>
      </w:pPr>
      <w:permStart w:id="10" w:edGrp="everyone"/>
      <w:r>
        <w:rPr>
          <w:rFonts w:hint="eastAsia" w:ascii="宋体" w:hAnsi="宋体"/>
          <w:sz w:val="18"/>
          <w:szCs w:val="18"/>
        </w:rPr>
        <w:t>【1、拟投资市场和资产的风险：</w:t>
      </w:r>
    </w:p>
    <w:p>
      <w:pPr>
        <w:ind w:firstLine="360" w:firstLineChars="200"/>
        <w:rPr>
          <w:rFonts w:hint="eastAsia" w:ascii="宋体" w:hAnsi="宋体"/>
          <w:sz w:val="18"/>
          <w:szCs w:val="18"/>
        </w:rPr>
      </w:pPr>
      <w:r>
        <w:rPr>
          <w:rFonts w:hint="eastAsia" w:ascii="宋体" w:hAnsi="宋体"/>
          <w:sz w:val="18"/>
          <w:szCs w:val="18"/>
        </w:rPr>
        <w:t>（1）投资债权类资产的风险</w:t>
      </w:r>
    </w:p>
    <w:p>
      <w:pPr>
        <w:ind w:firstLine="360" w:firstLineChars="200"/>
        <w:rPr>
          <w:rFonts w:hint="eastAsia" w:ascii="宋体" w:hAnsi="宋体"/>
          <w:sz w:val="18"/>
          <w:szCs w:val="18"/>
        </w:rPr>
      </w:pPr>
      <w:r>
        <w:rPr>
          <w:rFonts w:hint="eastAsia" w:ascii="宋体" w:hAnsi="宋体"/>
          <w:sz w:val="18"/>
          <w:szCs w:val="18"/>
        </w:rPr>
        <w:t>1）投资标准化债权类资产的风险</w:t>
      </w:r>
    </w:p>
    <w:p>
      <w:pPr>
        <w:ind w:firstLine="360" w:firstLineChars="200"/>
        <w:rPr>
          <w:rFonts w:hint="eastAsia" w:ascii="宋体" w:hAnsi="宋体"/>
          <w:sz w:val="18"/>
          <w:szCs w:val="18"/>
        </w:rPr>
      </w:pPr>
      <w:r>
        <w:rPr>
          <w:rFonts w:hint="eastAsia" w:ascii="宋体" w:hAnsi="宋体"/>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ind w:firstLine="360" w:firstLineChars="200"/>
        <w:rPr>
          <w:rFonts w:hint="eastAsia" w:ascii="宋体" w:hAnsi="宋体"/>
          <w:sz w:val="18"/>
          <w:szCs w:val="18"/>
        </w:rPr>
      </w:pPr>
      <w:r>
        <w:rPr>
          <w:rFonts w:hint="eastAsia" w:ascii="宋体" w:hAnsi="宋体"/>
          <w:sz w:val="18"/>
          <w:szCs w:val="18"/>
        </w:rPr>
        <w:t>2）投资非标准化债权类资产的风险</w:t>
      </w:r>
    </w:p>
    <w:p>
      <w:pPr>
        <w:ind w:firstLine="360" w:firstLineChars="200"/>
        <w:rPr>
          <w:rFonts w:hint="eastAsia" w:ascii="宋体" w:hAnsi="宋体"/>
          <w:sz w:val="18"/>
          <w:szCs w:val="18"/>
        </w:rPr>
      </w:pPr>
      <w:r>
        <w:rPr>
          <w:rFonts w:hint="eastAsia" w:ascii="宋体" w:hAnsi="宋体"/>
          <w:sz w:val="18"/>
          <w:szCs w:val="18"/>
        </w:rPr>
        <w:t>本产品投资非标债权类资产时可能面临以下风险：由于融资主体/增信主体/其他义务人还款履约能力可能的变化导致的信用风险（包括但不限于：融资主体提前还款、延期还款或逾期还款的风险；增信主体未能履行增信义务（例如：保证担保、差额补足、远期回购、流动性支持等增信措施）的风险）；非标债权类资产可能因其无法等分化交易、信息披露不充分、未能集中登记和独立托管、缺乏公允性定价和流动机制不完善、未在银行间市场、证券交易所市场等国务院同意设立的交易市场交易等原因，从而缺乏交易对手，导致流动性风险等。</w:t>
      </w:r>
    </w:p>
    <w:p>
      <w:pPr>
        <w:ind w:firstLine="360" w:firstLineChars="200"/>
        <w:rPr>
          <w:rFonts w:hint="eastAsia" w:ascii="宋体" w:hAnsi="宋体"/>
          <w:sz w:val="18"/>
          <w:szCs w:val="18"/>
        </w:rPr>
      </w:pPr>
      <w:r>
        <w:rPr>
          <w:rFonts w:hint="eastAsia" w:ascii="宋体" w:hAnsi="宋体"/>
          <w:sz w:val="18"/>
          <w:szCs w:val="18"/>
        </w:rPr>
        <w:t xml:space="preserve">（2）投资商品和金融衍生品类资产的风险 </w:t>
      </w:r>
    </w:p>
    <w:p>
      <w:pPr>
        <w:ind w:firstLine="360" w:firstLineChars="200"/>
        <w:rPr>
          <w:rFonts w:hint="eastAsia" w:ascii="宋体" w:hAnsi="宋体"/>
          <w:sz w:val="18"/>
          <w:szCs w:val="18"/>
          <w:lang w:val="en-US" w:eastAsia="zh-CN"/>
        </w:rPr>
      </w:pPr>
      <w:r>
        <w:rPr>
          <w:rFonts w:hint="eastAsia" w:ascii="宋体" w:hAnsi="宋体"/>
          <w:sz w:val="18"/>
          <w:szCs w:val="18"/>
        </w:rPr>
        <w:t>本产品投资商品和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r>
        <w:rPr>
          <w:rFonts w:hint="eastAsia" w:ascii="宋体" w:hAnsi="宋体"/>
          <w:sz w:val="18"/>
          <w:szCs w:val="18"/>
          <w:lang w:val="en-US" w:eastAsia="zh-CN"/>
        </w:rPr>
        <w:t>此外，还应特别注意以下风险：</w:t>
      </w:r>
    </w:p>
    <w:p>
      <w:pPr>
        <w:ind w:firstLine="360" w:firstLineChars="200"/>
        <w:rPr>
          <w:rFonts w:hint="eastAsia" w:ascii="宋体" w:hAnsi="宋体"/>
          <w:sz w:val="18"/>
          <w:szCs w:val="18"/>
        </w:rPr>
      </w:pPr>
      <w:r>
        <w:rPr>
          <w:rFonts w:hint="eastAsia" w:ascii="宋体" w:hAnsi="宋体"/>
          <w:sz w:val="18"/>
          <w:szCs w:val="18"/>
          <w:lang w:val="en-US" w:eastAsia="zh-CN"/>
        </w:rPr>
        <w:t>1）</w:t>
      </w:r>
      <w:r>
        <w:rPr>
          <w:rFonts w:hint="eastAsia" w:ascii="宋体" w:hAnsi="宋体"/>
          <w:sz w:val="18"/>
          <w:szCs w:val="18"/>
        </w:rPr>
        <w:t>场外衍生品交易被提前终止的风险</w:t>
      </w:r>
    </w:p>
    <w:p>
      <w:pPr>
        <w:ind w:firstLine="360" w:firstLineChars="200"/>
        <w:rPr>
          <w:rFonts w:hint="eastAsia" w:ascii="宋体" w:hAnsi="宋体"/>
          <w:sz w:val="18"/>
          <w:szCs w:val="18"/>
        </w:rPr>
      </w:pPr>
      <w:r>
        <w:rPr>
          <w:rFonts w:hint="eastAsia" w:ascii="宋体" w:hAnsi="宋体"/>
          <w:sz w:val="18"/>
          <w:szCs w:val="18"/>
        </w:rPr>
        <w:t>产品管理人（代表理财产品）在从事场外衍生品交易期间，如果出现场外衍生品交易协议所约定的提前终止情形，包括但不限于：因产品管理人原因导致其信用状况严重恶化、出现丧失民事行为能力、破产、解散；因产品原因导致产品运作出现重大不利变化；触发“对冲中断"事件；出现“对冲成本增加”事件;出现“异常事件”等，产品管理人（代表理财产品）将面临被交易对手提前终止场外衍生品交易的风险，并因此遭受经济损失。若产品管理人（代表理财产品）与交易对手签订的场外衍生品交易协议的相关约定赋予了交易对手在其他情况下单方提前终止交易的权利的，产品管理人（代表理财产品）将面临据此随时被交易对手提前终止场外衍生品交易的风险，并因此遭受经济损失。</w:t>
      </w:r>
    </w:p>
    <w:p>
      <w:pPr>
        <w:ind w:firstLine="360" w:firstLineChars="200"/>
        <w:rPr>
          <w:rFonts w:hint="eastAsia" w:ascii="宋体" w:hAnsi="宋体"/>
          <w:sz w:val="18"/>
          <w:szCs w:val="18"/>
        </w:rPr>
      </w:pPr>
      <w:r>
        <w:rPr>
          <w:rFonts w:hint="eastAsia" w:ascii="宋体" w:hAnsi="宋体"/>
          <w:sz w:val="18"/>
          <w:szCs w:val="18"/>
          <w:lang w:val="en-US" w:eastAsia="zh-CN"/>
        </w:rPr>
        <w:t>2）</w:t>
      </w:r>
      <w:r>
        <w:rPr>
          <w:rFonts w:hint="eastAsia" w:ascii="宋体" w:hAnsi="宋体"/>
          <w:sz w:val="18"/>
          <w:szCs w:val="18"/>
        </w:rPr>
        <w:t>对冲风险</w:t>
      </w:r>
    </w:p>
    <w:p>
      <w:pPr>
        <w:ind w:firstLine="360" w:firstLineChars="200"/>
        <w:rPr>
          <w:rFonts w:hint="eastAsia" w:ascii="宋体" w:hAnsi="宋体"/>
          <w:sz w:val="18"/>
          <w:szCs w:val="18"/>
        </w:rPr>
      </w:pPr>
      <w:r>
        <w:rPr>
          <w:rFonts w:hint="eastAsia" w:ascii="宋体" w:hAnsi="宋体"/>
          <w:sz w:val="18"/>
          <w:szCs w:val="18"/>
          <w:lang w:val="en-US" w:eastAsia="zh-CN"/>
        </w:rPr>
        <w:t>①</w:t>
      </w:r>
      <w:r>
        <w:rPr>
          <w:rFonts w:hint="eastAsia" w:ascii="宋体" w:hAnsi="宋体"/>
          <w:sz w:val="18"/>
          <w:szCs w:val="18"/>
        </w:rPr>
        <w:t>若交易所或标的资产发布机构在到期日（含）或之前对标的资产的计算原则、公式与方法进行了重大修改或变动，或以任何其他方式对该标的资产进行了非常规的重大修改或变动，场外衍生品交易的相关变量（包括但不限于到期日、期初价格、行权结算价格、行权价格、名义数量及名义本金额等）会进行调整，理财产品投资者可能因此而遭受损失；</w:t>
      </w:r>
    </w:p>
    <w:p>
      <w:pPr>
        <w:ind w:firstLine="360" w:firstLineChars="200"/>
        <w:rPr>
          <w:rFonts w:hint="eastAsia" w:ascii="宋体" w:hAnsi="宋体"/>
          <w:sz w:val="18"/>
          <w:szCs w:val="18"/>
        </w:rPr>
      </w:pPr>
      <w:r>
        <w:rPr>
          <w:rFonts w:hint="eastAsia" w:ascii="宋体" w:hAnsi="宋体"/>
          <w:sz w:val="18"/>
          <w:szCs w:val="18"/>
          <w:lang w:val="en-US" w:eastAsia="zh-CN"/>
        </w:rPr>
        <w:t>②</w:t>
      </w:r>
      <w:r>
        <w:rPr>
          <w:rFonts w:hint="eastAsia" w:ascii="宋体" w:hAnsi="宋体"/>
          <w:sz w:val="18"/>
          <w:szCs w:val="18"/>
        </w:rPr>
        <w:t>若交易所或标的资产发布机构不再公布标的资产的价格，场外衍生品交易本产品可能会提前终止，提前终止时的收益由计算机构依据诚实信用及商业合理原则计算，理财产品投资者可能因此而遭受损失；</w:t>
      </w:r>
    </w:p>
    <w:p>
      <w:pPr>
        <w:ind w:firstLine="360" w:firstLineChars="200"/>
        <w:rPr>
          <w:rFonts w:hint="eastAsia" w:ascii="宋体" w:hAnsi="宋体"/>
          <w:sz w:val="18"/>
          <w:szCs w:val="18"/>
        </w:rPr>
      </w:pPr>
      <w:r>
        <w:rPr>
          <w:rFonts w:hint="eastAsia" w:ascii="宋体" w:hAnsi="宋体"/>
          <w:sz w:val="18"/>
          <w:szCs w:val="18"/>
          <w:lang w:val="en-US" w:eastAsia="zh-CN"/>
        </w:rPr>
        <w:t>③</w:t>
      </w:r>
      <w:r>
        <w:rPr>
          <w:rFonts w:hint="eastAsia" w:ascii="宋体" w:hAnsi="宋体"/>
          <w:sz w:val="18"/>
          <w:szCs w:val="18"/>
        </w:rPr>
        <w:t xml:space="preserve">若交易所或标的资产发布机构未在到期日公布标的资产价格，但同时未明确交易所或标的资产发布机构将不再公布标的资产价格，则场外衍生品交易的到期日顺延至交易所或标的资产发布机构公布标的资产价格的第一个交易日。若自场外衍生品交易到期日起5个交易日内，交易所或标的资产发布机构一直未公布标的资产的价格，则由计算机构依据诚实信用及商业合理原则提前终止本交易并依据诚实信用及商业合理原则计算收益，从而可能导致理财产品提前终止，理财产品投资者可能因此而遭受损失； </w:t>
      </w:r>
    </w:p>
    <w:p>
      <w:pPr>
        <w:ind w:firstLine="360" w:firstLineChars="200"/>
        <w:rPr>
          <w:rFonts w:hint="eastAsia" w:ascii="宋体" w:hAnsi="宋体"/>
          <w:sz w:val="18"/>
          <w:szCs w:val="18"/>
        </w:rPr>
      </w:pPr>
      <w:r>
        <w:rPr>
          <w:rFonts w:hint="eastAsia" w:ascii="宋体" w:hAnsi="宋体"/>
          <w:sz w:val="18"/>
          <w:szCs w:val="18"/>
          <w:lang w:val="en-US" w:eastAsia="zh-CN"/>
        </w:rPr>
        <w:t>④</w:t>
      </w:r>
      <w:r>
        <w:rPr>
          <w:rFonts w:hint="eastAsia" w:ascii="宋体" w:hAnsi="宋体"/>
          <w:sz w:val="18"/>
          <w:szCs w:val="18"/>
        </w:rPr>
        <w:t>出现“对冲中断”事件，即标的资产在任一日发生闭市、提早闭市、标的停牌、交易中断、交易所中断等影响观察标的资产收盘价格、对冲、交易等的事件，其中：“交易中断”指标的资产被标的资产所属交易所采取暂停或限制交易的措施，包括但不限于停牌、盘中临时停牌、暂缓进入交收或技术性停牌等措施，“交易所中断”指标的资产所属交易所发生实质性中断或影响全体市场参与者正常开展交易活动或获取市值的事件，包括涉及标的资产暂缓进入交收、技术性停牌及临时停市等事件，但提早闭市除外，“提早闭市”指标的资产所属交易所在交易所交易日于预定收市时间之前闭市。触发“对冲中断"事件，可能导致场外衍生品交易提前终止，提前终止时的收益由计算机构依据诚实信用及商业合理原则计算，从而可能导致理财产品提前终止，理财产品投资者可能因此而遭受损失；</w:t>
      </w:r>
    </w:p>
    <w:p>
      <w:pPr>
        <w:ind w:firstLine="360" w:firstLineChars="200"/>
        <w:rPr>
          <w:rFonts w:hint="eastAsia" w:ascii="宋体" w:hAnsi="宋体"/>
          <w:sz w:val="18"/>
          <w:szCs w:val="18"/>
          <w:lang w:val="en-US" w:eastAsia="zh-CN"/>
        </w:rPr>
      </w:pPr>
      <w:r>
        <w:rPr>
          <w:rFonts w:hint="eastAsia" w:ascii="宋体" w:hAnsi="宋体"/>
          <w:sz w:val="18"/>
          <w:szCs w:val="18"/>
          <w:lang w:val="en-US" w:eastAsia="zh-CN"/>
        </w:rPr>
        <w:t>⑤</w:t>
      </w:r>
      <w:r>
        <w:rPr>
          <w:rFonts w:hint="eastAsia" w:ascii="宋体" w:hAnsi="宋体"/>
          <w:sz w:val="18"/>
          <w:szCs w:val="18"/>
        </w:rPr>
        <w:t>出现“对冲成本增加”事件， 即对冲方会遭受税收（与交易达成日的情况相比）、成本或费用（经纪费用除外）的增加，以(A)获取、建立、重建、替代、维持、平仓或出售其认为对于对冲因订立本交易并履行相关义务而产生的标的资产价格等风险而言必要的交易或资产（包括就单个标的资产对冲或组合对冲方式的对冲交易或资产），或(B) 变现、收回或汇出任何该等交易或资产（包括就单个标的资产对冲或组合对冲方式的对冲交易或资产）的收益，只要任何此等增加的金额并非仅因为对冲方资信状况的恶化所致，可能会导致场外衍生品交易要素调整（包括但不限于期初价格、到期日等），或场外衍生品交易提前终止，提前终止时的收益由计算机构依据诚实信用及商业合理原则计算，从而可能导致理财产品提前终止，理财产品投资者可能因此而遭受损失。</w:t>
      </w:r>
    </w:p>
    <w:p>
      <w:pPr>
        <w:ind w:firstLine="360" w:firstLineChars="200"/>
        <w:rPr>
          <w:rFonts w:hint="eastAsia" w:ascii="宋体" w:hAnsi="宋体"/>
          <w:sz w:val="18"/>
          <w:szCs w:val="18"/>
        </w:rPr>
      </w:pPr>
      <w:r>
        <w:rPr>
          <w:rFonts w:hint="eastAsia" w:ascii="宋体" w:hAnsi="宋体"/>
          <w:sz w:val="18"/>
          <w:szCs w:val="18"/>
          <w:lang w:val="en-US" w:eastAsia="zh-CN"/>
        </w:rPr>
        <w:t>3）</w:t>
      </w:r>
      <w:r>
        <w:rPr>
          <w:rFonts w:hint="eastAsia" w:ascii="宋体" w:hAnsi="宋体"/>
          <w:sz w:val="18"/>
          <w:szCs w:val="18"/>
        </w:rPr>
        <w:t>指数波动风险</w:t>
      </w:r>
    </w:p>
    <w:p>
      <w:pPr>
        <w:ind w:firstLine="360" w:firstLineChars="200"/>
        <w:rPr>
          <w:rFonts w:hint="eastAsia" w:ascii="宋体" w:hAnsi="宋体"/>
          <w:sz w:val="18"/>
          <w:szCs w:val="18"/>
        </w:rPr>
      </w:pPr>
      <w:r>
        <w:rPr>
          <w:rFonts w:hint="eastAsia" w:ascii="宋体" w:hAnsi="宋体"/>
          <w:sz w:val="18"/>
          <w:szCs w:val="18"/>
        </w:rPr>
        <w:t>本理财产品</w:t>
      </w:r>
      <w:r>
        <w:rPr>
          <w:rFonts w:hint="eastAsia" w:ascii="宋体" w:hAnsi="宋体"/>
          <w:sz w:val="18"/>
          <w:szCs w:val="18"/>
          <w:lang w:val="en-US" w:eastAsia="zh-CN"/>
        </w:rPr>
        <w:t>若</w:t>
      </w:r>
      <w:r>
        <w:rPr>
          <w:rFonts w:hint="eastAsia" w:ascii="宋体" w:hAnsi="宋体"/>
          <w:sz w:val="18"/>
          <w:szCs w:val="18"/>
        </w:rPr>
        <w:t>投资于挂钩指数的场外期权工具，挂钩指数的波动会直接影响本理财产品的收益，当指数往下波动时，会降低本理财产品的投资收益，从而给投资者带来风险。投资者需对标的指数有自身判断并能承担其价格波动带来的风险。</w:t>
      </w:r>
    </w:p>
    <w:p>
      <w:pPr>
        <w:ind w:firstLine="360" w:firstLineChars="200"/>
        <w:rPr>
          <w:rFonts w:hint="eastAsia" w:ascii="宋体" w:hAnsi="宋体"/>
          <w:sz w:val="18"/>
          <w:szCs w:val="18"/>
        </w:rPr>
      </w:pPr>
      <w:r>
        <w:rPr>
          <w:rFonts w:hint="eastAsia" w:ascii="宋体" w:hAnsi="宋体"/>
          <w:sz w:val="18"/>
          <w:szCs w:val="18"/>
        </w:rPr>
        <w:t xml:space="preserve">（3）投资权益类资产的风险 </w:t>
      </w:r>
    </w:p>
    <w:p>
      <w:pPr>
        <w:ind w:firstLine="360" w:firstLineChars="200"/>
        <w:rPr>
          <w:rFonts w:hint="eastAsia" w:ascii="宋体" w:hAnsi="宋体"/>
          <w:sz w:val="18"/>
          <w:szCs w:val="18"/>
        </w:rPr>
      </w:pPr>
      <w:r>
        <w:rPr>
          <w:rFonts w:hint="eastAsia" w:ascii="宋体" w:hAnsi="宋体"/>
          <w:sz w:val="18"/>
          <w:szCs w:val="18"/>
        </w:rPr>
        <w:t>本产品投资权益类资产时可能面临以下风险：国家政策、经济周期、利率、汇率、股票发行人经营情况等因素可能发生变化导致的市场风险；因市场、技术、竞争、管理、财务等导致公司盈利发生变化，其股票价格可能下跌，影响投资者收益；股票定向增发、上市公司优先股等可能的流通和转让限制导致的流动性风险等。</w:t>
      </w:r>
    </w:p>
    <w:p>
      <w:pPr>
        <w:ind w:firstLine="360" w:firstLineChars="200"/>
        <w:rPr>
          <w:rFonts w:ascii="宋体" w:hAnsi="宋体"/>
          <w:sz w:val="18"/>
          <w:szCs w:val="18"/>
        </w:rPr>
      </w:pPr>
      <w:r>
        <w:rPr>
          <w:rFonts w:hint="eastAsia" w:ascii="宋体" w:hAnsi="宋体"/>
          <w:sz w:val="18"/>
          <w:szCs w:val="18"/>
        </w:rPr>
        <w:t>】</w:t>
      </w:r>
    </w:p>
    <w:permEnd w:id="10"/>
    <w:p>
      <w:pPr>
        <w:pStyle w:val="13"/>
        <w:ind w:firstLine="361"/>
        <w:rPr>
          <w:rFonts w:ascii="宋体" w:hAnsi="宋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注：以上特定风险仅为列举性质，未能详尽列明投资本产品可能面临的全部风险和可能导致投资者投资本金及收益损失的所有因素。</w:t>
      </w:r>
    </w:p>
    <w:p>
      <w:pPr>
        <w:ind w:firstLine="361" w:firstLineChars="200"/>
        <w:rPr>
          <w:rFonts w:ascii="宋体" w:hAnsi="宋体"/>
          <w:b/>
          <w:sz w:val="18"/>
          <w:szCs w:val="18"/>
        </w:rPr>
      </w:pPr>
      <w:r>
        <w:rPr>
          <w:rFonts w:hint="eastAsia" w:ascii="宋体" w:hAnsi="宋体"/>
          <w:b/>
          <w:sz w:val="18"/>
          <w:szCs w:val="18"/>
        </w:rPr>
        <w:t xml:space="preserve">（二）投资者投资本产品可能面临的一般风险主要包括（但不限于）： </w:t>
      </w:r>
    </w:p>
    <w:p>
      <w:pPr>
        <w:pStyle w:val="13"/>
        <w:ind w:firstLine="426" w:firstLineChars="0"/>
        <w:rPr>
          <w:rFonts w:ascii="宋体" w:hAnsi="宋体"/>
          <w:b/>
          <w:bCs/>
          <w:sz w:val="18"/>
          <w:szCs w:val="18"/>
        </w:rPr>
      </w:pPr>
      <w:r>
        <w:rPr>
          <w:rFonts w:ascii="宋体" w:hAnsi="宋体"/>
          <w:b/>
          <w:bCs/>
          <w:sz w:val="18"/>
          <w:szCs w:val="18"/>
        </w:rPr>
        <w:t>1</w:t>
      </w:r>
      <w:r>
        <w:rPr>
          <w:rFonts w:hint="eastAsia" w:ascii="宋体" w:hAnsi="宋体"/>
          <w:b/>
          <w:bCs/>
          <w:sz w:val="18"/>
          <w:szCs w:val="18"/>
        </w:rPr>
        <w:t>.</w:t>
      </w:r>
      <w:r>
        <w:rPr>
          <w:rFonts w:ascii="宋体" w:hAnsi="宋体"/>
          <w:b/>
          <w:bCs/>
          <w:sz w:val="18"/>
          <w:szCs w:val="18"/>
        </w:rPr>
        <w:t>信用风险</w:t>
      </w:r>
    </w:p>
    <w:p>
      <w:pPr>
        <w:pStyle w:val="13"/>
        <w:ind w:firstLine="426" w:firstLineChars="0"/>
        <w:rPr>
          <w:rFonts w:ascii="宋体" w:hAnsi="宋体" w:cs="仿宋_GB2312"/>
          <w:kern w:val="0"/>
          <w:sz w:val="18"/>
          <w:szCs w:val="18"/>
        </w:rPr>
      </w:pPr>
      <w:r>
        <w:rPr>
          <w:rFonts w:hint="eastAsia" w:ascii="宋体" w:hAnsi="宋体" w:cs="仿宋_GB2312"/>
          <w:kern w:val="0"/>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pStyle w:val="13"/>
        <w:ind w:firstLine="426" w:firstLineChars="0"/>
        <w:rPr>
          <w:rFonts w:ascii="宋体" w:hAnsi="宋体"/>
          <w:b/>
          <w:bCs/>
          <w:sz w:val="18"/>
          <w:szCs w:val="18"/>
        </w:rPr>
      </w:pPr>
      <w:r>
        <w:rPr>
          <w:rFonts w:ascii="宋体" w:hAnsi="宋体"/>
          <w:b/>
          <w:bCs/>
          <w:sz w:val="18"/>
          <w:szCs w:val="18"/>
        </w:rPr>
        <w:t>2</w:t>
      </w:r>
      <w:r>
        <w:rPr>
          <w:rFonts w:hint="eastAsia" w:ascii="宋体" w:hAnsi="宋体"/>
          <w:b/>
          <w:bCs/>
          <w:sz w:val="18"/>
          <w:szCs w:val="18"/>
        </w:rPr>
        <w:t>.</w:t>
      </w:r>
      <w:r>
        <w:rPr>
          <w:rFonts w:ascii="宋体" w:hAnsi="宋体"/>
          <w:b/>
          <w:bCs/>
          <w:sz w:val="18"/>
          <w:szCs w:val="18"/>
        </w:rPr>
        <w:t>利率风险</w:t>
      </w:r>
    </w:p>
    <w:p>
      <w:pPr>
        <w:pStyle w:val="13"/>
        <w:ind w:firstLine="426" w:firstLineChars="0"/>
        <w:rPr>
          <w:rFonts w:ascii="宋体" w:hAnsi="宋体" w:cs="仿宋_GB2312"/>
          <w:kern w:val="0"/>
          <w:sz w:val="18"/>
          <w:szCs w:val="18"/>
        </w:rPr>
      </w:pPr>
      <w:r>
        <w:rPr>
          <w:rFonts w:hint="eastAsia" w:ascii="宋体" w:hAnsi="宋体" w:cs="仿宋_GB2312"/>
          <w:kern w:val="0"/>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pStyle w:val="13"/>
        <w:ind w:firstLine="426" w:firstLineChars="0"/>
        <w:rPr>
          <w:rFonts w:ascii="宋体" w:hAnsi="宋体"/>
          <w:b/>
          <w:bCs/>
          <w:sz w:val="18"/>
          <w:szCs w:val="18"/>
        </w:rPr>
      </w:pPr>
      <w:r>
        <w:rPr>
          <w:rFonts w:hint="eastAsia" w:ascii="宋体" w:hAnsi="宋体"/>
          <w:b/>
          <w:bCs/>
          <w:sz w:val="18"/>
          <w:szCs w:val="18"/>
        </w:rPr>
        <w:t>3.市场</w:t>
      </w:r>
      <w:r>
        <w:rPr>
          <w:rFonts w:ascii="宋体" w:hAnsi="宋体"/>
          <w:b/>
          <w:bCs/>
          <w:sz w:val="18"/>
          <w:szCs w:val="18"/>
        </w:rPr>
        <w:t>风险</w:t>
      </w:r>
    </w:p>
    <w:p>
      <w:pPr>
        <w:pStyle w:val="13"/>
        <w:ind w:firstLine="426" w:firstLineChars="0"/>
        <w:rPr>
          <w:rFonts w:ascii="宋体" w:hAnsi="宋体" w:cs="仿宋_GB2312"/>
          <w:kern w:val="0"/>
          <w:sz w:val="18"/>
          <w:szCs w:val="18"/>
        </w:rPr>
      </w:pPr>
      <w:r>
        <w:rPr>
          <w:rFonts w:hint="eastAsia" w:ascii="宋体" w:hAnsi="宋体" w:cs="仿宋_GB2312"/>
          <w:kern w:val="0"/>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pStyle w:val="13"/>
        <w:ind w:firstLine="426" w:firstLineChars="0"/>
        <w:rPr>
          <w:rFonts w:ascii="宋体" w:hAnsi="宋体" w:cs="仿宋_GB2312"/>
          <w:b/>
          <w:kern w:val="0"/>
          <w:sz w:val="18"/>
          <w:szCs w:val="18"/>
        </w:rPr>
      </w:pPr>
      <w:r>
        <w:rPr>
          <w:rFonts w:hint="eastAsia" w:ascii="宋体" w:hAnsi="宋体" w:cs="仿宋_GB2312"/>
          <w:b/>
          <w:kern w:val="0"/>
          <w:sz w:val="18"/>
          <w:szCs w:val="18"/>
        </w:rPr>
        <w:t>4.流动性风险</w:t>
      </w:r>
    </w:p>
    <w:p>
      <w:pPr>
        <w:pStyle w:val="13"/>
        <w:ind w:firstLine="426" w:firstLineChars="0"/>
        <w:rPr>
          <w:rFonts w:ascii="宋体" w:hAnsi="宋体" w:cs="仿宋_GB2312"/>
          <w:bCs/>
          <w:kern w:val="0"/>
          <w:sz w:val="18"/>
          <w:szCs w:val="18"/>
        </w:rPr>
      </w:pPr>
      <w:r>
        <w:rPr>
          <w:rFonts w:hint="eastAsia" w:ascii="宋体" w:hAnsi="宋体" w:cs="仿宋_GB2312"/>
          <w:bCs/>
          <w:kern w:val="0"/>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pStyle w:val="13"/>
        <w:ind w:firstLine="426" w:firstLineChars="0"/>
        <w:rPr>
          <w:rFonts w:ascii="宋体" w:hAnsi="宋体" w:cs="仿宋_GB2312"/>
          <w:b/>
          <w:kern w:val="0"/>
          <w:sz w:val="18"/>
          <w:szCs w:val="18"/>
        </w:rPr>
      </w:pPr>
      <w:r>
        <w:rPr>
          <w:rFonts w:hint="eastAsia" w:ascii="宋体" w:hAnsi="宋体" w:cs="仿宋_GB2312"/>
          <w:b/>
          <w:kern w:val="0"/>
          <w:sz w:val="18"/>
          <w:szCs w:val="18"/>
        </w:rPr>
        <w:t>5.</w:t>
      </w:r>
      <w:r>
        <w:rPr>
          <w:rFonts w:ascii="宋体" w:hAnsi="宋体" w:cs="仿宋_GB2312"/>
          <w:b/>
          <w:kern w:val="0"/>
          <w:sz w:val="18"/>
          <w:szCs w:val="18"/>
        </w:rPr>
        <w:t>法律与政策风险</w:t>
      </w:r>
    </w:p>
    <w:p>
      <w:pPr>
        <w:pStyle w:val="13"/>
        <w:ind w:firstLine="426" w:firstLineChars="0"/>
        <w:rPr>
          <w:rFonts w:ascii="宋体" w:hAnsi="宋体" w:cs="仿宋_GB2312"/>
          <w:kern w:val="0"/>
          <w:sz w:val="18"/>
          <w:szCs w:val="18"/>
        </w:rPr>
      </w:pPr>
      <w:r>
        <w:rPr>
          <w:rFonts w:hint="eastAsia" w:ascii="宋体" w:hAnsi="宋体" w:cs="仿宋_GB2312"/>
          <w:kern w:val="0"/>
          <w:sz w:val="18"/>
          <w:szCs w:val="18"/>
        </w:rPr>
        <w:t>国家监管政策、货币政策、财政税收政策、产业政策、宏观政策及相关法律、法规的调整与变化将会影响本产品的设立、投资及管理等的正常运行，甚至导致本产品发生损失。</w:t>
      </w:r>
    </w:p>
    <w:p>
      <w:pPr>
        <w:pStyle w:val="13"/>
        <w:ind w:firstLine="426" w:firstLineChars="0"/>
        <w:rPr>
          <w:rFonts w:ascii="宋体" w:hAnsi="宋体"/>
          <w:b/>
          <w:bCs/>
          <w:sz w:val="18"/>
          <w:szCs w:val="18"/>
        </w:rPr>
      </w:pPr>
      <w:r>
        <w:rPr>
          <w:rFonts w:hint="eastAsia" w:ascii="宋体" w:hAnsi="宋体"/>
          <w:b/>
          <w:bCs/>
          <w:sz w:val="18"/>
          <w:szCs w:val="18"/>
        </w:rPr>
        <w:t>6.</w:t>
      </w:r>
      <w:r>
        <w:rPr>
          <w:rFonts w:ascii="宋体" w:hAnsi="宋体"/>
          <w:b/>
          <w:bCs/>
          <w:sz w:val="18"/>
          <w:szCs w:val="18"/>
        </w:rPr>
        <w:t>延期</w:t>
      </w:r>
      <w:r>
        <w:rPr>
          <w:rFonts w:hint="eastAsia" w:ascii="宋体" w:hAnsi="宋体"/>
          <w:b/>
          <w:bCs/>
          <w:sz w:val="18"/>
          <w:szCs w:val="18"/>
        </w:rPr>
        <w:t>终止</w:t>
      </w:r>
      <w:r>
        <w:rPr>
          <w:rFonts w:ascii="宋体" w:hAnsi="宋体"/>
          <w:b/>
          <w:bCs/>
          <w:sz w:val="18"/>
          <w:szCs w:val="18"/>
        </w:rPr>
        <w:t>风险</w:t>
      </w:r>
    </w:p>
    <w:p>
      <w:pPr>
        <w:pStyle w:val="13"/>
        <w:ind w:firstLine="426" w:firstLineChars="0"/>
        <w:rPr>
          <w:rFonts w:ascii="宋体" w:hAnsi="宋体" w:cs="仿宋_GB2312"/>
          <w:kern w:val="0"/>
          <w:sz w:val="18"/>
          <w:szCs w:val="18"/>
        </w:rPr>
      </w:pPr>
      <w:r>
        <w:rPr>
          <w:rFonts w:hint="eastAsia" w:ascii="宋体" w:hAnsi="宋体" w:cs="仿宋_GB2312"/>
          <w:kern w:val="0"/>
          <w:sz w:val="18"/>
          <w:szCs w:val="18"/>
        </w:rPr>
        <w:t>指因市场内部和外部的原因导致理财基础资产不能及时变现而造成理财产品不能按时分配，理财期限将相应延长，从而导致本产品部分资金的延期分配。</w:t>
      </w:r>
    </w:p>
    <w:p>
      <w:pPr>
        <w:pStyle w:val="13"/>
        <w:ind w:firstLine="426" w:firstLineChars="0"/>
        <w:rPr>
          <w:rFonts w:ascii="宋体" w:hAnsi="宋体" w:cs="仿宋_GB2312"/>
          <w:b/>
          <w:kern w:val="0"/>
          <w:sz w:val="18"/>
          <w:szCs w:val="18"/>
        </w:rPr>
      </w:pPr>
      <w:r>
        <w:rPr>
          <w:rFonts w:hint="eastAsia" w:ascii="宋体" w:hAnsi="宋体" w:cs="仿宋_GB2312"/>
          <w:b/>
          <w:kern w:val="0"/>
          <w:sz w:val="18"/>
          <w:szCs w:val="18"/>
        </w:rPr>
        <w:t>7.</w:t>
      </w:r>
      <w:r>
        <w:rPr>
          <w:rFonts w:ascii="宋体" w:hAnsi="宋体" w:cs="仿宋_GB2312"/>
          <w:b/>
          <w:kern w:val="0"/>
          <w:sz w:val="18"/>
          <w:szCs w:val="18"/>
        </w:rPr>
        <w:t>提前终止风险</w:t>
      </w:r>
    </w:p>
    <w:p>
      <w:pPr>
        <w:pStyle w:val="13"/>
        <w:ind w:firstLine="426" w:firstLineChars="0"/>
        <w:rPr>
          <w:rFonts w:ascii="宋体" w:hAnsi="宋体" w:cs="仿宋_GB2312"/>
          <w:kern w:val="0"/>
          <w:sz w:val="18"/>
          <w:szCs w:val="18"/>
        </w:rPr>
      </w:pPr>
      <w:r>
        <w:rPr>
          <w:rFonts w:hint="eastAsia" w:ascii="宋体" w:hAnsi="宋体" w:cs="仿宋_GB2312"/>
          <w:kern w:val="0"/>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pPr>
        <w:pStyle w:val="13"/>
        <w:ind w:firstLine="426" w:firstLineChars="0"/>
        <w:rPr>
          <w:rFonts w:ascii="黑体" w:hAnsi="黑体" w:eastAsia="黑体" w:cs="黑体"/>
          <w:b/>
          <w:bCs/>
          <w:sz w:val="18"/>
          <w:szCs w:val="18"/>
        </w:rPr>
      </w:pPr>
      <w:r>
        <w:rPr>
          <w:rFonts w:hint="eastAsia" w:ascii="黑体" w:hAnsi="黑体" w:eastAsia="黑体" w:cs="黑体"/>
          <w:b/>
          <w:bCs/>
          <w:sz w:val="18"/>
          <w:szCs w:val="18"/>
        </w:rPr>
        <w:t>8.</w:t>
      </w:r>
      <w:r>
        <w:rPr>
          <w:rFonts w:hint="eastAsia" w:ascii="黑体" w:hAnsi="黑体" w:eastAsia="黑体" w:cs="黑体"/>
          <w:sz w:val="18"/>
          <w:szCs w:val="18"/>
        </w:rPr>
        <w:t>★</w:t>
      </w:r>
      <w:r>
        <w:rPr>
          <w:rFonts w:hint="eastAsia" w:ascii="黑体" w:hAnsi="黑体" w:eastAsia="黑体" w:cs="黑体"/>
          <w:b/>
          <w:bCs/>
          <w:sz w:val="18"/>
          <w:szCs w:val="18"/>
        </w:rPr>
        <w:t>信息传递风险</w:t>
      </w:r>
    </w:p>
    <w:p>
      <w:pPr>
        <w:pStyle w:val="13"/>
        <w:ind w:firstLine="426" w:firstLineChars="0"/>
        <w:rPr>
          <w:rFonts w:ascii="黑体" w:hAnsi="黑体" w:eastAsia="黑体" w:cs="黑体"/>
          <w:kern w:val="0"/>
          <w:sz w:val="18"/>
          <w:szCs w:val="18"/>
        </w:rPr>
      </w:pPr>
      <w:r>
        <w:rPr>
          <w:rFonts w:hint="eastAsia" w:ascii="黑体" w:hAnsi="黑体" w:eastAsia="黑体" w:cs="黑体"/>
          <w:kern w:val="0"/>
          <w:sz w:val="18"/>
          <w:szCs w:val="18"/>
        </w:rPr>
        <w:t>投资者需要通过约定的信息披露渠道了解产品相关信息公告。具体公告方式以理财产品销售文件所载明的公告方式为准。投资者应根据本产品说明书所载明的公告方式及时查询本理财产品的相关信息。如果投资者未及时查询，或由于通讯故障、系统故障以及其他不可抗力等因素的影响使得投资者无法及时了解产品信息，由此而产生的责任和风险由投资者自行承担。如投资者预留的有效联系方式变更但未及时告知产品管理人的，致使在需要联系投资者时无法及时联系并可能会由此影响投资者的投资决策，由此而产生的责任和风险由投资者自行承担。</w:t>
      </w:r>
    </w:p>
    <w:p>
      <w:pPr>
        <w:ind w:firstLine="361" w:firstLineChars="200"/>
        <w:rPr>
          <w:rFonts w:ascii="宋体" w:hAnsi="宋体"/>
          <w:b/>
          <w:bCs/>
          <w:sz w:val="18"/>
          <w:szCs w:val="18"/>
        </w:rPr>
      </w:pPr>
      <w:r>
        <w:rPr>
          <w:rFonts w:hint="eastAsia" w:ascii="宋体" w:hAnsi="宋体"/>
          <w:b/>
          <w:bCs/>
          <w:sz w:val="18"/>
          <w:szCs w:val="18"/>
        </w:rPr>
        <w:t>9.</w:t>
      </w:r>
      <w:r>
        <w:rPr>
          <w:rFonts w:ascii="宋体" w:hAnsi="宋体"/>
          <w:b/>
          <w:bCs/>
          <w:sz w:val="18"/>
          <w:szCs w:val="18"/>
        </w:rPr>
        <w:t>不可抗力及意外事件风险</w:t>
      </w:r>
    </w:p>
    <w:p>
      <w:pPr>
        <w:ind w:firstLine="360" w:firstLineChars="200"/>
        <w:rPr>
          <w:rFonts w:ascii="宋体" w:hAnsi="宋体"/>
          <w:bCs/>
          <w:sz w:val="18"/>
          <w:szCs w:val="18"/>
        </w:rPr>
      </w:pPr>
      <w:r>
        <w:rPr>
          <w:rFonts w:hint="eastAsia" w:ascii="宋体" w:hAnsi="宋体"/>
          <w:bCs/>
          <w:sz w:val="18"/>
          <w:szCs w:val="18"/>
        </w:rPr>
        <w:t>因战争、自然灾害、重大政治事件等不可抗力以及其他不可预见的意外事件可能致使理财产品面临损失的风险。</w:t>
      </w:r>
    </w:p>
    <w:p>
      <w:pPr>
        <w:pStyle w:val="13"/>
        <w:ind w:firstLine="361"/>
        <w:rPr>
          <w:rFonts w:ascii="宋体" w:hAnsi="宋体"/>
          <w:b/>
          <w:bCs/>
          <w:sz w:val="18"/>
          <w:szCs w:val="18"/>
        </w:rPr>
      </w:pPr>
      <w:r>
        <w:rPr>
          <w:rFonts w:hint="eastAsia" w:ascii="宋体" w:hAnsi="宋体"/>
          <w:b/>
          <w:bCs/>
          <w:sz w:val="18"/>
          <w:szCs w:val="18"/>
        </w:rPr>
        <w:t>10.</w:t>
      </w:r>
      <w:r>
        <w:rPr>
          <w:rFonts w:ascii="宋体" w:hAnsi="宋体"/>
          <w:b/>
          <w:bCs/>
          <w:sz w:val="18"/>
          <w:szCs w:val="18"/>
        </w:rPr>
        <w:t>管理人风险</w:t>
      </w:r>
    </w:p>
    <w:p>
      <w:pPr>
        <w:pStyle w:val="13"/>
        <w:ind w:firstLine="360"/>
        <w:rPr>
          <w:rFonts w:ascii="宋体" w:hAnsi="宋体"/>
          <w:bCs/>
          <w:sz w:val="18"/>
          <w:szCs w:val="18"/>
        </w:rPr>
      </w:pPr>
      <w:r>
        <w:rPr>
          <w:rFonts w:hint="eastAsia" w:ascii="宋体" w:hAnsi="宋体"/>
          <w:bCs/>
          <w:sz w:val="18"/>
          <w:szCs w:val="18"/>
        </w:rPr>
        <w:t>理财产品管理人或理财投资资产相关服务机构受经验、技能等因素的限制，或者上述主体处理事务不当等，可能导致投资者遭受损失。</w:t>
      </w:r>
    </w:p>
    <w:p>
      <w:pPr>
        <w:pStyle w:val="13"/>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1.理财产品不成立风险</w:t>
      </w:r>
    </w:p>
    <w:p>
      <w:pPr>
        <w:pStyle w:val="13"/>
        <w:ind w:firstLine="360"/>
        <w:rPr>
          <w:rFonts w:ascii="宋体" w:hAnsi="宋体"/>
          <w:bCs/>
          <w:sz w:val="18"/>
          <w:szCs w:val="18"/>
        </w:rPr>
      </w:pPr>
      <w:r>
        <w:rPr>
          <w:rFonts w:hint="eastAsia" w:ascii="宋体" w:hAnsi="宋体"/>
          <w:bCs/>
          <w:sz w:val="18"/>
          <w:szCs w:val="18"/>
        </w:rPr>
        <w:t>如自本产品开始募集至认购期结束认购总金额未达到产品最小成立规模（如有约定），或</w:t>
      </w:r>
      <w:r>
        <w:rPr>
          <w:rFonts w:ascii="宋体" w:hAnsi="宋体"/>
          <w:bCs/>
          <w:sz w:val="18"/>
          <w:szCs w:val="18"/>
        </w:rPr>
        <w:t>融资人取消融资计划，</w:t>
      </w:r>
      <w:r>
        <w:rPr>
          <w:rFonts w:hint="eastAsia" w:ascii="宋体" w:hAnsi="宋体"/>
          <w:bCs/>
          <w:sz w:val="18"/>
          <w:szCs w:val="18"/>
        </w:rPr>
        <w:t>或市场发生剧烈波动，或不可抗力，或相关法律法规以及监管部门规定等原因，经</w:t>
      </w:r>
      <w:r>
        <w:rPr>
          <w:rFonts w:hint="eastAsia" w:ascii="宋体" w:hAnsi="宋体" w:cs="仿宋_GB2312"/>
          <w:kern w:val="0"/>
          <w:sz w:val="18"/>
          <w:szCs w:val="18"/>
        </w:rPr>
        <w:t>产品管理人</w:t>
      </w:r>
      <w:r>
        <w:rPr>
          <w:rFonts w:hint="eastAsia" w:ascii="宋体" w:hAnsi="宋体"/>
          <w:bCs/>
          <w:sz w:val="18"/>
          <w:szCs w:val="18"/>
        </w:rPr>
        <w:t>谨慎合理判断难以按照理财产品销售文件有关规定向投资者提供本产品，</w:t>
      </w:r>
      <w:r>
        <w:rPr>
          <w:rFonts w:hint="eastAsia" w:ascii="宋体" w:hAnsi="宋体" w:cs="仿宋_GB2312"/>
          <w:kern w:val="0"/>
          <w:sz w:val="18"/>
          <w:szCs w:val="18"/>
        </w:rPr>
        <w:t>产品管理人</w:t>
      </w:r>
      <w:r>
        <w:rPr>
          <w:rFonts w:hint="eastAsia" w:ascii="宋体" w:hAnsi="宋体"/>
          <w:bCs/>
          <w:sz w:val="18"/>
          <w:szCs w:val="18"/>
        </w:rPr>
        <w:t>有权宣布本产品不成立并</w:t>
      </w:r>
      <w:r>
        <w:rPr>
          <w:rFonts w:ascii="宋体" w:hAnsi="宋体"/>
          <w:bCs/>
          <w:sz w:val="18"/>
          <w:szCs w:val="18"/>
        </w:rPr>
        <w:t>及时返还投资者资金</w:t>
      </w:r>
      <w:r>
        <w:rPr>
          <w:rFonts w:hint="eastAsia" w:ascii="宋体" w:hAnsi="宋体"/>
          <w:bCs/>
          <w:sz w:val="18"/>
          <w:szCs w:val="18"/>
        </w:rPr>
        <w:t>，投资者将承担投资本产品不成立的风险。</w:t>
      </w:r>
    </w:p>
    <w:p>
      <w:pPr>
        <w:pStyle w:val="13"/>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2.</w:t>
      </w:r>
      <w:r>
        <w:rPr>
          <w:rFonts w:ascii="宋体" w:hAnsi="宋体"/>
          <w:b/>
          <w:bCs/>
          <w:sz w:val="18"/>
          <w:szCs w:val="18"/>
        </w:rPr>
        <w:t>操作风险</w:t>
      </w:r>
    </w:p>
    <w:p>
      <w:pPr>
        <w:pStyle w:val="13"/>
        <w:ind w:firstLine="360"/>
        <w:rPr>
          <w:rFonts w:ascii="宋体" w:hAnsi="宋体"/>
          <w:bCs/>
          <w:sz w:val="18"/>
          <w:szCs w:val="18"/>
        </w:rPr>
      </w:pPr>
      <w:r>
        <w:rPr>
          <w:rFonts w:hint="eastAsia" w:ascii="宋体" w:hAnsi="宋体"/>
          <w:bCs/>
          <w:sz w:val="18"/>
          <w:szCs w:val="18"/>
        </w:rPr>
        <w:t>由于产品管理人的</w:t>
      </w:r>
      <w:r>
        <w:rPr>
          <w:rFonts w:ascii="宋体" w:hAnsi="宋体"/>
          <w:bCs/>
          <w:sz w:val="18"/>
          <w:szCs w:val="18"/>
        </w:rPr>
        <w:t>不完善或有问题的内部程序、员工和信息科技系统，以及外部事件所造成损失的风险。</w:t>
      </w:r>
    </w:p>
    <w:p>
      <w:pPr>
        <w:pStyle w:val="13"/>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3</w:t>
      </w:r>
      <w:r>
        <w:rPr>
          <w:rFonts w:ascii="宋体" w:hAnsi="宋体"/>
          <w:b/>
          <w:bCs/>
          <w:sz w:val="18"/>
          <w:szCs w:val="18"/>
        </w:rPr>
        <w:t>.估值</w:t>
      </w:r>
      <w:r>
        <w:rPr>
          <w:rFonts w:hint="eastAsia" w:ascii="宋体" w:hAnsi="宋体"/>
          <w:b/>
          <w:bCs/>
          <w:sz w:val="18"/>
          <w:szCs w:val="18"/>
        </w:rPr>
        <w:t>波动</w:t>
      </w:r>
      <w:r>
        <w:rPr>
          <w:rFonts w:ascii="宋体" w:hAnsi="宋体"/>
          <w:b/>
          <w:bCs/>
          <w:sz w:val="18"/>
          <w:szCs w:val="18"/>
        </w:rPr>
        <w:t>风险</w:t>
      </w:r>
    </w:p>
    <w:p>
      <w:pPr>
        <w:pStyle w:val="13"/>
        <w:ind w:firstLine="360"/>
        <w:rPr>
          <w:rFonts w:ascii="宋体" w:hAnsi="宋体"/>
          <w:bCs/>
          <w:sz w:val="18"/>
          <w:szCs w:val="18"/>
        </w:rPr>
      </w:pPr>
      <w:r>
        <w:rPr>
          <w:rFonts w:hint="eastAsia" w:asciiTheme="majorEastAsia" w:hAnsiTheme="majorEastAsia" w:eastAsiaTheme="majorEastAsia"/>
          <w:bCs/>
          <w:color w:val="000000" w:themeColor="text1"/>
          <w:sz w:val="18"/>
          <w:szCs w:val="18"/>
          <w14:textFill>
            <w14:solidFill>
              <w14:schemeClr w14:val="tx1"/>
            </w14:solidFill>
          </w14:textFill>
        </w:rPr>
        <w:t>本理财产品可能</w:t>
      </w:r>
      <w:r>
        <w:rPr>
          <w:rFonts w:asciiTheme="majorEastAsia" w:hAnsiTheme="majorEastAsia" w:eastAsiaTheme="majorEastAsia"/>
          <w:bCs/>
          <w:color w:val="000000" w:themeColor="text1"/>
          <w:sz w:val="18"/>
          <w:szCs w:val="18"/>
          <w14:textFill>
            <w14:solidFill>
              <w14:schemeClr w14:val="tx1"/>
            </w14:solidFill>
          </w14:textFill>
        </w:rPr>
        <w:t>投资符合监管</w:t>
      </w:r>
      <w:r>
        <w:rPr>
          <w:rFonts w:hint="eastAsia" w:asciiTheme="majorEastAsia" w:hAnsiTheme="majorEastAsia" w:eastAsiaTheme="majorEastAsia"/>
          <w:bCs/>
          <w:color w:val="000000" w:themeColor="text1"/>
          <w:sz w:val="18"/>
          <w:szCs w:val="18"/>
          <w14:textFill>
            <w14:solidFill>
              <w14:schemeClr w14:val="tx1"/>
            </w14:solidFill>
          </w14:textFill>
        </w:rPr>
        <w:t>要求的资产管理产品（包括但不限于信托计划、</w:t>
      </w:r>
      <w:r>
        <w:rPr>
          <w:rFonts w:hint="eastAsia" w:asciiTheme="majorEastAsia" w:hAnsiTheme="majorEastAsia" w:eastAsiaTheme="majorEastAsia"/>
          <w:bCs/>
          <w:color w:val="000000" w:themeColor="text1"/>
          <w:kern w:val="0"/>
          <w:sz w:val="18"/>
          <w:szCs w:val="18"/>
          <w14:textFill>
            <w14:solidFill>
              <w14:schemeClr w14:val="tx1"/>
            </w14:solidFill>
          </w14:textFill>
        </w:rPr>
        <w:t>公募基金、基金公司或子公司资产管理计划、证券公司资产管理计划、</w:t>
      </w:r>
      <w:r>
        <w:rPr>
          <w:rFonts w:hint="eastAsia" w:asciiTheme="majorEastAsia" w:hAnsiTheme="majorEastAsia" w:eastAsiaTheme="majorEastAsia"/>
          <w:bCs/>
          <w:color w:val="000000" w:themeColor="text1"/>
          <w:sz w:val="18"/>
          <w:szCs w:val="18"/>
          <w14:textFill>
            <w14:solidFill>
              <w14:schemeClr w14:val="tx1"/>
            </w14:solidFill>
          </w14:textFill>
        </w:rPr>
        <w:t>期货资产管理计划、</w:t>
      </w:r>
      <w:r>
        <w:rPr>
          <w:rFonts w:hint="eastAsia" w:asciiTheme="majorEastAsia" w:hAnsiTheme="majorEastAsia" w:eastAsiaTheme="majorEastAsia"/>
          <w:bCs/>
          <w:color w:val="000000" w:themeColor="text1"/>
          <w:kern w:val="0"/>
          <w:sz w:val="18"/>
          <w:szCs w:val="18"/>
          <w14:textFill>
            <w14:solidFill>
              <w14:schemeClr w14:val="tx1"/>
            </w14:solidFill>
          </w14:textFill>
        </w:rPr>
        <w:t>保险资产管理计划</w:t>
      </w:r>
      <w:r>
        <w:rPr>
          <w:rFonts w:hint="eastAsia" w:asciiTheme="majorEastAsia" w:hAnsiTheme="majorEastAsia" w:eastAsiaTheme="majorEastAsia"/>
          <w:bCs/>
          <w:color w:val="000000" w:themeColor="text1"/>
          <w:sz w:val="18"/>
          <w:szCs w:val="18"/>
          <w14:textFill>
            <w14:solidFill>
              <w14:schemeClr w14:val="tx1"/>
            </w14:solidFill>
          </w14:textFill>
        </w:rPr>
        <w:t>等），前述资产管理产品的管理人可能收取</w:t>
      </w:r>
      <w:r>
        <w:rPr>
          <w:rFonts w:asciiTheme="majorEastAsia" w:hAnsiTheme="majorEastAsia" w:eastAsiaTheme="majorEastAsia"/>
          <w:bCs/>
          <w:color w:val="000000" w:themeColor="text1"/>
          <w:sz w:val="18"/>
          <w:szCs w:val="18"/>
          <w14:textFill>
            <w14:solidFill>
              <w14:schemeClr w14:val="tx1"/>
            </w14:solidFill>
          </w14:textFill>
        </w:rPr>
        <w:t>业绩报酬，</w:t>
      </w:r>
      <w:r>
        <w:rPr>
          <w:rFonts w:hint="eastAsia" w:asciiTheme="majorEastAsia" w:hAnsiTheme="majorEastAsia" w:eastAsiaTheme="majorEastAsia"/>
          <w:bCs/>
          <w:color w:val="000000" w:themeColor="text1"/>
          <w:sz w:val="18"/>
          <w:szCs w:val="18"/>
          <w14:textFill>
            <w14:solidFill>
              <w14:schemeClr w14:val="tx1"/>
            </w14:solidFill>
          </w14:textFill>
        </w:rPr>
        <w:t>当前述资产管理产品计提业绩报酬时，本理财产品的产品份额净值存在下跌的风险。</w:t>
      </w:r>
    </w:p>
    <w:p>
      <w:pPr>
        <w:pStyle w:val="13"/>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4.</w:t>
      </w:r>
      <w:r>
        <w:rPr>
          <w:rFonts w:ascii="宋体" w:hAnsi="宋体"/>
          <w:b/>
          <w:bCs/>
          <w:sz w:val="18"/>
          <w:szCs w:val="18"/>
        </w:rPr>
        <w:t>估值差错风险</w:t>
      </w:r>
    </w:p>
    <w:p>
      <w:pPr>
        <w:pStyle w:val="13"/>
        <w:ind w:firstLine="360"/>
        <w:rPr>
          <w:rFonts w:ascii="宋体" w:hAnsi="宋体"/>
          <w:bCs/>
          <w:sz w:val="18"/>
          <w:szCs w:val="18"/>
        </w:rPr>
      </w:pPr>
      <w:r>
        <w:rPr>
          <w:rFonts w:hint="eastAsia" w:ascii="宋体" w:hAnsi="宋体"/>
          <w:bCs/>
          <w:sz w:val="18"/>
          <w:szCs w:val="18"/>
        </w:rPr>
        <w:t>理财投资基础资产时涉及对资产估值不准确、及时的，理财产品管理人及产品托管人对理财产品费用计提出现错误，将导致本产品估值差错，可能影响理财产品份额净值。</w:t>
      </w:r>
    </w:p>
    <w:p>
      <w:pPr>
        <w:pStyle w:val="13"/>
        <w:ind w:firstLine="361"/>
        <w:rPr>
          <w:rFonts w:ascii="黑体" w:hAnsi="黑体" w:eastAsia="黑体" w:cs="黑体"/>
          <w:b/>
          <w:bCs/>
          <w:sz w:val="18"/>
          <w:szCs w:val="18"/>
        </w:rPr>
      </w:pPr>
      <w:r>
        <w:rPr>
          <w:rFonts w:hint="eastAsia" w:ascii="黑体" w:hAnsi="黑体" w:eastAsia="黑体" w:cs="黑体"/>
          <w:b/>
          <w:bCs/>
          <w:sz w:val="18"/>
          <w:szCs w:val="18"/>
        </w:rPr>
        <w:t>15.</w:t>
      </w:r>
      <w:r>
        <w:rPr>
          <w:rFonts w:hint="eastAsia" w:ascii="黑体" w:hAnsi="黑体" w:eastAsia="黑体" w:cs="黑体"/>
          <w:sz w:val="18"/>
          <w:szCs w:val="18"/>
        </w:rPr>
        <w:t>★</w:t>
      </w:r>
      <w:r>
        <w:rPr>
          <w:rFonts w:hint="eastAsia" w:ascii="黑体" w:hAnsi="黑体" w:eastAsia="黑体" w:cs="黑体"/>
          <w:b/>
          <w:bCs/>
          <w:sz w:val="18"/>
          <w:szCs w:val="18"/>
        </w:rPr>
        <w:t>代销风险</w:t>
      </w:r>
    </w:p>
    <w:p>
      <w:pPr>
        <w:pStyle w:val="13"/>
        <w:ind w:firstLine="360"/>
        <w:rPr>
          <w:rFonts w:ascii="黑体" w:hAnsi="黑体" w:eastAsia="黑体" w:cs="黑体"/>
          <w:bCs/>
          <w:sz w:val="18"/>
          <w:szCs w:val="18"/>
        </w:rPr>
      </w:pPr>
      <w:r>
        <w:rPr>
          <w:rFonts w:hint="eastAsia" w:ascii="黑体" w:hAnsi="黑体" w:eastAsia="黑体" w:cs="黑体"/>
          <w:bCs/>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pPr>
        <w:spacing w:line="276" w:lineRule="auto"/>
        <w:ind w:firstLine="361" w:firstLineChars="200"/>
        <w:rPr>
          <w:rFonts w:ascii="黑体" w:hAnsi="黑体" w:eastAsia="黑体" w:cs="仿宋_GB2312"/>
          <w:b/>
          <w:bCs/>
          <w:kern w:val="0"/>
          <w:sz w:val="18"/>
          <w:szCs w:val="18"/>
        </w:rPr>
      </w:pPr>
      <w:r>
        <w:rPr>
          <w:rFonts w:ascii="黑体" w:hAnsi="黑体" w:eastAsia="黑体"/>
          <w:b/>
          <w:bCs/>
          <w:sz w:val="18"/>
          <w:szCs w:val="18"/>
        </w:rPr>
        <w:t>1</w:t>
      </w:r>
      <w:r>
        <w:rPr>
          <w:rFonts w:hint="eastAsia" w:ascii="黑体" w:hAnsi="黑体" w:eastAsia="黑体"/>
          <w:b/>
          <w:bCs/>
          <w:sz w:val="18"/>
          <w:szCs w:val="18"/>
        </w:rPr>
        <w:t>6</w:t>
      </w:r>
      <w:r>
        <w:rPr>
          <w:rFonts w:ascii="黑体" w:hAnsi="黑体" w:eastAsia="黑体"/>
          <w:b/>
          <w:bCs/>
          <w:sz w:val="18"/>
          <w:szCs w:val="18"/>
        </w:rPr>
        <w:t>.</w:t>
      </w:r>
      <w:r>
        <w:rPr>
          <w:rFonts w:hint="eastAsia" w:ascii="黑体" w:hAnsi="黑体" w:eastAsia="黑体" w:cs="仿宋_GB2312"/>
          <w:b/>
          <w:bCs/>
          <w:kern w:val="0"/>
          <w:sz w:val="18"/>
          <w:szCs w:val="18"/>
        </w:rPr>
        <w:t>★不同理财产品份额类别存在差异的风险</w:t>
      </w:r>
    </w:p>
    <w:p>
      <w:pPr>
        <w:spacing w:line="276" w:lineRule="auto"/>
        <w:ind w:firstLine="360" w:firstLineChars="200"/>
        <w:rPr>
          <w:rFonts w:ascii="黑体" w:hAnsi="黑体" w:eastAsia="黑体"/>
          <w:sz w:val="18"/>
          <w:szCs w:val="18"/>
        </w:rPr>
      </w:pPr>
      <w:r>
        <w:rPr>
          <w:rFonts w:hint="eastAsia" w:ascii="黑体" w:hAnsi="黑体" w:eastAsia="黑体" w:cs="仿宋_GB2312"/>
          <w:kern w:val="0"/>
          <w:sz w:val="18"/>
          <w:szCs w:val="18"/>
        </w:rPr>
        <w:t>理财产品管理人可根据投资者购买理财产品的金额、销售</w:t>
      </w:r>
      <w:r>
        <w:rPr>
          <w:rFonts w:ascii="黑体" w:hAnsi="黑体" w:eastAsia="黑体" w:cs="仿宋_GB2312"/>
          <w:kern w:val="0"/>
          <w:sz w:val="18"/>
          <w:szCs w:val="18"/>
        </w:rPr>
        <w:t>渠道</w:t>
      </w:r>
      <w:r>
        <w:rPr>
          <w:rFonts w:hint="eastAsia" w:ascii="黑体" w:hAnsi="黑体" w:eastAsia="黑体" w:cs="仿宋_GB2312"/>
          <w:kern w:val="0"/>
          <w:sz w:val="18"/>
          <w:szCs w:val="18"/>
        </w:rPr>
        <w:t>等因素，对理财投资者所持有的理财产品设置不同理财产品份额类别。不同类别的理财产品份额可能在销售名称、收费方式</w:t>
      </w:r>
      <w:r>
        <w:rPr>
          <w:rFonts w:ascii="黑体" w:hAnsi="黑体" w:eastAsia="黑体" w:cs="仿宋_GB2312"/>
          <w:kern w:val="0"/>
          <w:sz w:val="18"/>
          <w:szCs w:val="18"/>
        </w:rPr>
        <w:t>、</w:t>
      </w:r>
      <w:r>
        <w:rPr>
          <w:rFonts w:hint="eastAsia" w:ascii="黑体" w:hAnsi="黑体" w:eastAsia="黑体" w:cs="仿宋_GB2312"/>
          <w:kern w:val="0"/>
          <w:sz w:val="18"/>
          <w:szCs w:val="18"/>
        </w:rPr>
        <w:t>销售服务费、销售代码、销售对象、销售起点金额（认购、申购的</w:t>
      </w:r>
      <w:r>
        <w:rPr>
          <w:rFonts w:ascii="黑体" w:hAnsi="黑体" w:eastAsia="黑体" w:cs="仿宋_GB2312"/>
          <w:kern w:val="0"/>
          <w:sz w:val="18"/>
          <w:szCs w:val="18"/>
        </w:rPr>
        <w:t>起点金额</w:t>
      </w:r>
      <w:r>
        <w:rPr>
          <w:rFonts w:hint="eastAsia" w:ascii="黑体" w:hAnsi="黑体" w:eastAsia="黑体" w:cs="仿宋_GB2312"/>
          <w:kern w:val="0"/>
          <w:sz w:val="18"/>
          <w:szCs w:val="18"/>
        </w:rPr>
        <w:t>）、</w:t>
      </w:r>
      <w:r>
        <w:rPr>
          <w:rFonts w:hint="eastAsia" w:ascii="黑体" w:hAnsi="黑体" w:eastAsia="黑体"/>
          <w:sz w:val="18"/>
          <w:szCs w:val="18"/>
        </w:rPr>
        <w:t>投资者认购申购和赎回的数量限制、投资者持有本产品的最高限额最低限额、计算和公告产品份额净值方面存在差异。</w:t>
      </w:r>
    </w:p>
    <w:p>
      <w:pPr>
        <w:pStyle w:val="13"/>
        <w:ind w:firstLineChars="0"/>
        <w:rPr>
          <w:rFonts w:hint="eastAsia" w:ascii="黑体" w:hAnsi="黑体" w:eastAsia="黑体" w:cs="黑体"/>
          <w:b/>
          <w:bCs/>
          <w:sz w:val="18"/>
          <w:szCs w:val="18"/>
        </w:rPr>
      </w:pPr>
      <w:r>
        <w:rPr>
          <w:rFonts w:hint="eastAsia" w:ascii="黑体" w:hAnsi="黑体" w:eastAsia="黑体" w:cs="黑体"/>
          <w:b/>
          <w:bCs/>
          <w:sz w:val="18"/>
          <w:szCs w:val="18"/>
        </w:rPr>
        <w:t>17.★关联交易风险</w:t>
      </w:r>
    </w:p>
    <w:p>
      <w:pPr>
        <w:pStyle w:val="13"/>
        <w:ind w:firstLineChars="0"/>
        <w:rPr>
          <w:rFonts w:hint="eastAsia" w:ascii="黑体" w:hAnsi="黑体" w:eastAsia="黑体" w:cs="黑体"/>
          <w:sz w:val="18"/>
          <w:szCs w:val="18"/>
        </w:rPr>
      </w:pPr>
      <w:r>
        <w:rPr>
          <w:rFonts w:hint="eastAsia" w:ascii="黑体" w:hAnsi="黑体" w:eastAsia="黑体" w:cs="黑体"/>
          <w:sz w:val="18"/>
          <w:szCs w:val="18"/>
        </w:rPr>
        <w:t>若本产品的销售机构为兴业银行股份有限公司（以下简称“兴业银行”），鉴于兴业银行是产品管理人的关联方，尽管兴业银行已建立健全关联方产品销售管理制度，但上述关联关系仍可能产生不利影响和投资风险，进而可能影响投资者的利益。</w:t>
      </w:r>
    </w:p>
    <w:p>
      <w:pPr>
        <w:autoSpaceDE w:val="0"/>
        <w:autoSpaceDN w:val="0"/>
        <w:adjustRightInd w:val="0"/>
        <w:ind w:firstLine="420"/>
        <w:jc w:val="left"/>
        <w:rPr>
          <w:rFonts w:ascii="黑体" w:hAnsi="黑体" w:eastAsia="黑体"/>
          <w:sz w:val="18"/>
          <w:szCs w:val="18"/>
        </w:rPr>
      </w:pPr>
      <w:r>
        <w:rPr>
          <w:rFonts w:hint="eastAsia" w:ascii="黑体" w:hAnsi="黑体" w:eastAsia="黑体" w:cs="仿宋_GB2312"/>
          <w:kern w:val="0"/>
          <w:sz w:val="18"/>
          <w:szCs w:val="18"/>
        </w:rPr>
        <w:t>（三）</w:t>
      </w:r>
      <w:r>
        <w:rPr>
          <w:rFonts w:hint="eastAsia" w:hAnsi="宋体"/>
          <w:sz w:val="18"/>
          <w:szCs w:val="18"/>
        </w:rPr>
        <w:t>★</w:t>
      </w:r>
      <w:r>
        <w:rPr>
          <w:rFonts w:hint="eastAsia" w:ascii="黑体" w:hAnsi="黑体" w:eastAsia="黑体" w:cs="仿宋_GB2312"/>
          <w:kern w:val="0"/>
          <w:sz w:val="18"/>
          <w:szCs w:val="18"/>
        </w:rPr>
        <w:t>最不利投资情形下的投资结果示例：</w:t>
      </w:r>
      <w:r>
        <w:rPr>
          <w:rFonts w:hint="eastAsia" w:ascii="黑体" w:hAnsi="黑体" w:eastAsia="黑体"/>
          <w:bCs/>
          <w:sz w:val="18"/>
          <w:szCs w:val="18"/>
        </w:rPr>
        <w:t>产品管理人对本产品的理财本金和收益不提供保证承诺，</w:t>
      </w:r>
      <w:r>
        <w:rPr>
          <w:rFonts w:hint="eastAsia" w:ascii="黑体" w:hAnsi="黑体" w:eastAsia="黑体"/>
          <w:sz w:val="18"/>
          <w:szCs w:val="18"/>
        </w:rPr>
        <w:t>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pPr>
        <w:autoSpaceDE w:val="0"/>
        <w:autoSpaceDN w:val="0"/>
        <w:adjustRightInd w:val="0"/>
        <w:ind w:firstLine="420"/>
        <w:jc w:val="left"/>
        <w:rPr>
          <w:rFonts w:ascii="黑体" w:hAnsi="黑体" w:eastAsia="黑体" w:cs="仿宋_GB2312"/>
          <w:kern w:val="0"/>
          <w:sz w:val="18"/>
          <w:szCs w:val="18"/>
        </w:rPr>
      </w:pPr>
      <w:r>
        <w:rPr>
          <w:rFonts w:hint="eastAsia" w:ascii="黑体" w:hAnsi="黑体" w:eastAsia="黑体"/>
          <w:bCs/>
          <w:color w:val="000000"/>
          <w:kern w:val="0"/>
          <w:sz w:val="18"/>
          <w:szCs w:val="18"/>
        </w:rPr>
        <w:t>五、【非机构投资者适用】</w:t>
      </w:r>
      <w:r>
        <w:rPr>
          <w:rFonts w:hint="eastAsia" w:ascii="黑体" w:hAnsi="黑体" w:eastAsia="黑体" w:cs="仿宋_GB2312"/>
          <w:kern w:val="0"/>
          <w:sz w:val="18"/>
          <w:szCs w:val="18"/>
        </w:rPr>
        <w:t>《投资者风险承受能力评估问卷》用于评估非机构投资者对金融工具及投资目标的相关风险的态度。非机构投资者可根据评估结果确定所属投资者类型，购买适合的理财产品。如影响您风险承受能力的因素发生变化，请您及时重新完成风险承受能力评估。其他类型投资者的风险承受能力评估按照《（代理）销售协议书》约定或销售机构的销售政策执行。</w:t>
      </w:r>
    </w:p>
    <w:p>
      <w:pPr>
        <w:autoSpaceDE w:val="0"/>
        <w:autoSpaceDN w:val="0"/>
        <w:adjustRightInd w:val="0"/>
        <w:ind w:firstLine="420"/>
        <w:jc w:val="left"/>
        <w:rPr>
          <w:rFonts w:ascii="黑体" w:hAnsi="黑体" w:eastAsia="黑体" w:cs="仿宋_GB2312"/>
          <w:kern w:val="0"/>
          <w:sz w:val="18"/>
          <w:szCs w:val="18"/>
        </w:rPr>
      </w:pPr>
      <w:r>
        <w:rPr>
          <w:rFonts w:hint="eastAsia" w:ascii="黑体" w:hAnsi="黑体" w:eastAsia="黑体"/>
          <w:bCs/>
          <w:sz w:val="18"/>
          <w:szCs w:val="18"/>
        </w:rPr>
        <w:t>六、【非机构投资者适用】当销售机构销售产品风险评级为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的理财产品时，</w:t>
      </w:r>
      <w:r>
        <w:rPr>
          <w:rFonts w:hint="eastAsia" w:ascii="黑体" w:hAnsi="黑体" w:eastAsia="黑体" w:cs="仿宋_GB2312"/>
          <w:kern w:val="0"/>
          <w:sz w:val="18"/>
          <w:szCs w:val="18"/>
        </w:rPr>
        <w:t>您签署本销售文件即视为您同意销售机构可以通过线上渠道向您销售产品风险评级为R4及以上的理财产品。</w:t>
      </w:r>
    </w:p>
    <w:p>
      <w:pPr>
        <w:ind w:left="540"/>
        <w:jc w:val="right"/>
        <w:rPr>
          <w:rFonts w:ascii="宋体" w:hAnsi="宋体"/>
          <w:sz w:val="18"/>
          <w:szCs w:val="18"/>
        </w:rPr>
      </w:pPr>
    </w:p>
    <w:p>
      <w:pPr>
        <w:wordWrap w:val="0"/>
        <w:ind w:left="540"/>
        <w:jc w:val="right"/>
        <w:rPr>
          <w:rFonts w:ascii="宋体" w:hAnsi="宋体"/>
          <w:sz w:val="18"/>
          <w:szCs w:val="18"/>
        </w:rPr>
      </w:pPr>
      <w:r>
        <w:rPr>
          <w:rFonts w:hint="eastAsia" w:ascii="宋体" w:hAnsi="宋体"/>
          <w:sz w:val="18"/>
          <w:szCs w:val="18"/>
        </w:rPr>
        <w:t>风险揭示方：产品管理人</w:t>
      </w:r>
      <w:r>
        <w:rPr>
          <w:rFonts w:ascii="宋体" w:hAnsi="宋体"/>
          <w:sz w:val="18"/>
          <w:szCs w:val="18"/>
        </w:rPr>
        <w:t xml:space="preserve"> (</w:t>
      </w:r>
      <w:r>
        <w:rPr>
          <w:rFonts w:hint="eastAsia" w:ascii="宋体" w:hAnsi="宋体"/>
          <w:sz w:val="18"/>
          <w:szCs w:val="18"/>
        </w:rPr>
        <w:t>兴银理财有限责任公司</w:t>
      </w:r>
      <w:r>
        <w:rPr>
          <w:rFonts w:ascii="宋体" w:hAnsi="宋体"/>
          <w:sz w:val="18"/>
          <w:szCs w:val="18"/>
        </w:rPr>
        <w:t>)</w:t>
      </w:r>
    </w:p>
    <w:p>
      <w:pPr>
        <w:wordWrap w:val="0"/>
        <w:ind w:left="540"/>
        <w:jc w:val="right"/>
        <w:rPr>
          <w:rFonts w:ascii="宋体" w:hAnsi="宋体"/>
          <w:sz w:val="18"/>
          <w:szCs w:val="18"/>
        </w:rPr>
      </w:pPr>
      <w:permStart w:id="11" w:edGrp="everyone"/>
      <w:r>
        <w:rPr>
          <w:rFonts w:hint="eastAsia" w:ascii="宋体" w:hAnsi="宋体"/>
          <w:sz w:val="18"/>
          <w:szCs w:val="18"/>
        </w:rPr>
        <w:t>销售机构（【华夏银行股份有限公司</w:t>
      </w:r>
      <w:bookmarkStart w:id="0" w:name="_GoBack"/>
      <w:bookmarkEnd w:id="0"/>
      <w:r>
        <w:rPr>
          <w:rFonts w:hint="eastAsia" w:ascii="宋体" w:hAnsi="宋体"/>
          <w:sz w:val="18"/>
          <w:szCs w:val="18"/>
        </w:rPr>
        <w:t>】）</w:t>
      </w:r>
    </w:p>
    <w:permEnd w:id="11"/>
    <w:p>
      <w:pPr>
        <w:widowControl/>
        <w:jc w:val="left"/>
        <w:rPr>
          <w:rFonts w:ascii="宋体" w:hAnsi="宋体"/>
          <w:sz w:val="18"/>
          <w:szCs w:val="18"/>
        </w:rPr>
      </w:pPr>
      <w:r>
        <w:rPr>
          <w:rFonts w:ascii="宋体" w:hAnsi="宋体"/>
          <w:sz w:val="18"/>
          <w:szCs w:val="18"/>
        </w:rPr>
        <w:br w:type="page"/>
      </w:r>
    </w:p>
    <w:p>
      <w:pPr>
        <w:ind w:left="540"/>
        <w:jc w:val="right"/>
        <w:rPr>
          <w:rFonts w:ascii="宋体" w:hAnsi="宋体"/>
          <w:sz w:val="18"/>
          <w:szCs w:val="18"/>
        </w:rPr>
      </w:pPr>
    </w:p>
    <w:p>
      <w:pPr>
        <w:ind w:left="540"/>
        <w:jc w:val="right"/>
        <w:rPr>
          <w:rFonts w:ascii="宋体" w:hAnsi="宋体"/>
          <w:sz w:val="18"/>
          <w:szCs w:val="18"/>
        </w:rPr>
      </w:pPr>
    </w:p>
    <w:tbl>
      <w:tblPr>
        <w:tblStyle w:val="8"/>
        <w:tblW w:w="0" w:type="auto"/>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371"/>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rPr>
          <w:trHeight w:val="627" w:hRule="atLeast"/>
        </w:trPr>
        <w:tc>
          <w:tcPr>
            <w:tcW w:w="8371"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b/>
                <w:kern w:val="0"/>
                <w:sz w:val="20"/>
                <w:szCs w:val="21"/>
              </w:rPr>
            </w:pPr>
            <w:r>
              <w:rPr>
                <w:rFonts w:hint="eastAsia" w:ascii="宋体" w:hAnsi="宋体" w:cs="Arial"/>
                <w:b/>
                <w:kern w:val="0"/>
                <w:sz w:val="20"/>
                <w:szCs w:val="21"/>
              </w:rPr>
              <w:t>（适用于个人投资者）</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83" w:hRule="atLeast"/>
        </w:trPr>
        <w:tc>
          <w:tcPr>
            <w:tcW w:w="8371" w:type="dxa"/>
          </w:tcPr>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人已仔细阅读理财产品销售文件，已完全理解理财产品投资的性质和面临的风险，本人确认产品管理人或销售机构相关业务人员对于理财产品销售文件中限制本人权利、增加本人义务以及有关免除、限制产品管理人责任或产品管理人单方面拥有某些权利的条款已向本人予以说明，本人完全理解并自愿接受。</w:t>
            </w:r>
          </w:p>
          <w:p>
            <w:pPr>
              <w:spacing w:line="280" w:lineRule="atLeast"/>
              <w:jc w:val="left"/>
              <w:rPr>
                <w:rFonts w:ascii="宋体" w:hAnsi="宋体" w:cs="Arial"/>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本人已经阅读风险揭示，愿意承担投资风险。</w:t>
            </w:r>
          </w:p>
          <w:p>
            <w:pPr>
              <w:spacing w:line="280" w:lineRule="atLeast"/>
              <w:jc w:val="left"/>
              <w:rPr>
                <w:rFonts w:ascii="宋体" w:hAnsi="宋体" w:cs="Arial"/>
                <w:kern w:val="0"/>
                <w:sz w:val="18"/>
                <w:szCs w:val="18"/>
              </w:rPr>
            </w:pPr>
          </w:p>
          <w:p>
            <w:pPr>
              <w:spacing w:line="280" w:lineRule="atLeast"/>
              <w:jc w:val="left"/>
              <w:rPr>
                <w:kern w:val="0"/>
                <w:sz w:val="18"/>
                <w:szCs w:val="18"/>
                <w:u w:val="single"/>
              </w:rPr>
            </w:pPr>
            <w:r>
              <w:rPr>
                <w:rFonts w:hint="eastAsia" w:ascii="宋体" w:hAnsi="宋体" w:cs="Arial"/>
                <w:kern w:val="0"/>
                <w:sz w:val="18"/>
                <w:szCs w:val="18"/>
              </w:rPr>
              <w:t>请投资者在此抄录：</w:t>
            </w:r>
          </w:p>
          <w:p>
            <w:pPr>
              <w:spacing w:line="280" w:lineRule="atLeast"/>
              <w:jc w:val="left"/>
              <w:rPr>
                <w:kern w:val="0"/>
                <w:sz w:val="18"/>
                <w:szCs w:val="18"/>
                <w:u w:val="single"/>
              </w:rPr>
            </w:pPr>
          </w:p>
          <w:p>
            <w:pPr>
              <w:spacing w:line="280" w:lineRule="atLeast"/>
              <w:ind w:right="720"/>
              <w:jc w:val="left"/>
              <w:rPr>
                <w:rFonts w:ascii="宋体" w:hAnsi="宋体" w:cs="Arial"/>
                <w:kern w:val="0"/>
                <w:sz w:val="18"/>
                <w:szCs w:val="18"/>
                <w:u w:val="single"/>
              </w:rPr>
            </w:pPr>
            <w:r>
              <w:rPr>
                <w:rFonts w:hint="eastAsia" w:ascii="宋体" w:hAnsi="宋体" w:cs="Arial"/>
                <w:kern w:val="0"/>
                <w:sz w:val="18"/>
                <w:szCs w:val="18"/>
              </w:rPr>
              <w:t>投资者</w:t>
            </w:r>
            <w:r>
              <w:rPr>
                <w:rFonts w:ascii="宋体" w:hAnsi="宋体" w:cs="Arial"/>
                <w:kern w:val="0"/>
                <w:sz w:val="18"/>
                <w:szCs w:val="18"/>
              </w:rPr>
              <w:t>签名</w:t>
            </w:r>
            <w:r>
              <w:rPr>
                <w:rFonts w:hint="eastAsia" w:ascii="宋体" w:hAnsi="宋体" w:cs="Arial"/>
                <w:kern w:val="0"/>
                <w:sz w:val="18"/>
                <w:szCs w:val="18"/>
              </w:rPr>
              <w:t>/线上确认：</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ind w:left="4200" w:firstLine="1080" w:firstLineChars="600"/>
              <w:jc w:val="left"/>
              <w:rPr>
                <w:rFonts w:ascii="宋体" w:hAnsi="宋体" w:cs="Arial"/>
                <w:kern w:val="0"/>
                <w:sz w:val="18"/>
                <w:szCs w:val="18"/>
              </w:rPr>
            </w:pPr>
          </w:p>
          <w:p>
            <w:pPr>
              <w:spacing w:line="280" w:lineRule="atLeast"/>
              <w:jc w:val="left"/>
              <w:rPr>
                <w:rFonts w:ascii="宋体" w:hAnsi="宋体" w:cs="Arial"/>
                <w:b/>
                <w:kern w:val="0"/>
                <w:sz w:val="18"/>
                <w:szCs w:val="18"/>
              </w:rPr>
            </w:pPr>
            <w:r>
              <w:rPr>
                <w:rFonts w:hint="eastAsia"/>
                <w:b/>
                <w:kern w:val="0"/>
                <w:sz w:val="20"/>
                <w:szCs w:val="20"/>
              </w:rPr>
              <w:t>（本风险揭示书共有三份签署文本，第一联销售机构留存，第二联投资者留存，第三联产品管理人留存。）</w:t>
            </w:r>
          </w:p>
          <w:p>
            <w:pPr>
              <w:spacing w:line="280" w:lineRule="atLeast"/>
              <w:jc w:val="right"/>
              <w:rPr>
                <w:rFonts w:ascii="宋体" w:hAnsi="宋体"/>
                <w:kern w:val="0"/>
                <w:sz w:val="18"/>
                <w:szCs w:val="18"/>
              </w:rPr>
            </w:pPr>
          </w:p>
        </w:tc>
      </w:tr>
    </w:tbl>
    <w:p>
      <w:pPr>
        <w:autoSpaceDE w:val="0"/>
        <w:autoSpaceDN w:val="0"/>
        <w:adjustRightInd w:val="0"/>
        <w:spacing w:line="360" w:lineRule="auto"/>
        <w:ind w:firstLine="420"/>
        <w:jc w:val="left"/>
        <w:rPr>
          <w:rFonts w:ascii="宋体" w:hAnsi="宋体"/>
          <w:sz w:val="24"/>
        </w:rPr>
      </w:pPr>
    </w:p>
    <w:p>
      <w:pPr>
        <w:rPr>
          <w:rFonts w:ascii="宋体" w:hAnsi="宋体" w:cs="Arial"/>
          <w:sz w:val="24"/>
        </w:rPr>
      </w:pPr>
    </w:p>
    <w:p>
      <w:pPr>
        <w:widowControl/>
        <w:jc w:val="left"/>
        <w:rPr>
          <w:rFonts w:ascii="宋体" w:hAnsi="宋体" w:cs="Arial"/>
          <w:sz w:val="24"/>
        </w:rPr>
      </w:pPr>
      <w:r>
        <w:rPr>
          <w:rFonts w:ascii="宋体" w:hAnsi="宋体" w:cs="Arial"/>
          <w:sz w:val="24"/>
        </w:rPr>
        <w:br w:type="page"/>
      </w:r>
    </w:p>
    <w:tbl>
      <w:tblPr>
        <w:tblStyle w:val="8"/>
        <w:tblW w:w="8413"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41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23" w:hRule="atLeast"/>
        </w:trPr>
        <w:tc>
          <w:tcPr>
            <w:tcW w:w="8413"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rPr>
          <w:trHeight w:val="7355" w:hRule="atLeast"/>
        </w:trPr>
        <w:tc>
          <w:tcPr>
            <w:tcW w:w="8413" w:type="dxa"/>
          </w:tcPr>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pPr>
              <w:spacing w:line="280" w:lineRule="atLeast"/>
              <w:ind w:firstLine="360" w:firstLineChars="200"/>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ind w:firstLine="360" w:firstLineChars="200"/>
              <w:jc w:val="left"/>
              <w:rPr>
                <w:rFonts w:ascii="宋体" w:hAnsi="宋体" w:cs="Arial"/>
                <w:kern w:val="0"/>
                <w:sz w:val="18"/>
                <w:szCs w:val="18"/>
              </w:rPr>
            </w:pPr>
          </w:p>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机构投资者（盖章/线上确认）：</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w:t>
            </w:r>
            <w:r>
              <w:rPr>
                <w:rFonts w:ascii="宋体" w:hAnsi="宋体" w:cs="Arial"/>
                <w:kern w:val="0"/>
                <w:sz w:val="18"/>
                <w:szCs w:val="18"/>
              </w:rPr>
              <w:t>签名</w:t>
            </w:r>
            <w:r>
              <w:rPr>
                <w:rFonts w:hint="eastAsia" w:ascii="宋体" w:hAnsi="宋体" w:cs="Arial"/>
                <w:kern w:val="0"/>
                <w:sz w:val="18"/>
                <w:szCs w:val="18"/>
              </w:rPr>
              <w:t>/盖章/线上确认）：</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rPr>
                <w:kern w:val="0"/>
                <w:sz w:val="20"/>
                <w:szCs w:val="20"/>
              </w:rPr>
            </w:pPr>
          </w:p>
          <w:p>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pPr>
        <w:widowControl/>
        <w:jc w:val="left"/>
        <w:rPr>
          <w:rFonts w:hint="eastAsia" w:ascii="宋体" w:hAnsi="宋体"/>
          <w:b/>
          <w:sz w:val="28"/>
          <w:szCs w:val="28"/>
        </w:rPr>
      </w:pPr>
    </w:p>
    <w:sectPr>
      <w:headerReference r:id="rId3" w:type="default"/>
      <w:footerReference r:id="rId4" w:type="default"/>
      <w:pgSz w:w="11906" w:h="16838"/>
      <w:pgMar w:top="1440" w:right="1800" w:bottom="1440" w:left="1800" w:header="567" w:footer="96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3661253"/>
    </w:sdtPr>
    <w:sdtContent>
      <w:p>
        <w:pPr>
          <w:pStyle w:val="4"/>
          <w:jc w:val="center"/>
        </w:pPr>
        <w:r>
          <w:fldChar w:fldCharType="begin"/>
        </w:r>
        <w:r>
          <w:instrText xml:space="preserve">PAGE   \* MERGEFORMAT</w:instrText>
        </w:r>
        <w:r>
          <w:fldChar w:fldCharType="separate"/>
        </w:r>
        <w:r>
          <w:rPr>
            <w:lang w:val="zh-CN"/>
          </w:rPr>
          <w:t>2</w:t>
        </w:r>
        <w: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Times New Roman" w:hAnsi="Times New Roman" w:eastAsia="宋体" w:cs="Times New Roman"/>
        <w:b/>
        <w:szCs w:val="20"/>
      </w:rPr>
    </w:pPr>
    <w:r>
      <w:rPr>
        <w:rFonts w:hint="eastAsia" w:ascii="Times New Roman" w:hAnsi="Times New Roman" w:eastAsia="宋体" w:cs="Times New Roman"/>
        <w:b/>
        <w:szCs w:val="20"/>
      </w:rPr>
      <w:t>风险揭示书</w:t>
    </w:r>
  </w:p>
  <w:p>
    <w:pPr>
      <w:pStyle w:val="5"/>
      <w:jc w:val="right"/>
      <w:rPr>
        <w:rFonts w:ascii="Times New Roman" w:hAnsi="Times New Roman" w:eastAsia="宋体" w:cs="Times New Roman"/>
        <w:b/>
        <w:szCs w:val="20"/>
      </w:rPr>
    </w:pPr>
    <w:r>
      <w:rPr>
        <w:rFonts w:ascii="Times New Roman" w:hAnsi="Times New Roman" w:eastAsia="宋体" w:cs="Times New Roman"/>
        <w:b/>
        <w:szCs w:val="20"/>
      </w:rPr>
      <w:t>注</w:t>
    </w:r>
    <w:r>
      <w:rPr>
        <w:rFonts w:hint="eastAsia" w:ascii="Times New Roman" w:hAnsi="Times New Roman" w:eastAsia="宋体" w:cs="Times New Roman"/>
        <w:b/>
        <w:szCs w:val="20"/>
      </w:rPr>
      <w:t>：</w:t>
    </w:r>
    <w:r>
      <w:rPr>
        <w:rFonts w:ascii="Times New Roman" w:hAnsi="Times New Roman" w:eastAsia="宋体" w:cs="Times New Roman"/>
        <w:b/>
        <w:szCs w:val="20"/>
      </w:rPr>
      <w:t>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bordersDoNotSurroundHeader w:val="0"/>
  <w:bordersDoNotSurroundFooter w:val="0"/>
  <w:documentProtection w:edit="readOnly" w:enforcement="1" w:cryptProviderType="rsaFull" w:cryptAlgorithmClass="hash" w:cryptAlgorithmType="typeAny" w:cryptAlgorithmSid="4" w:cryptSpinCount="0" w:hash="+NeOoWC5gcH00iVyyNslTCYcV8E=" w:salt="5uTF6fmKm0esbgEVBoKJwg=="/>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563E8F"/>
    <w:rsid w:val="00041A7D"/>
    <w:rsid w:val="0007452F"/>
    <w:rsid w:val="00096AC8"/>
    <w:rsid w:val="000A244A"/>
    <w:rsid w:val="000B16F1"/>
    <w:rsid w:val="000B357F"/>
    <w:rsid w:val="000C29F2"/>
    <w:rsid w:val="000F39A5"/>
    <w:rsid w:val="001104E8"/>
    <w:rsid w:val="00152999"/>
    <w:rsid w:val="001D46C2"/>
    <w:rsid w:val="00204FA5"/>
    <w:rsid w:val="00262560"/>
    <w:rsid w:val="002B63FC"/>
    <w:rsid w:val="002C604E"/>
    <w:rsid w:val="002F0B15"/>
    <w:rsid w:val="00340486"/>
    <w:rsid w:val="0034386A"/>
    <w:rsid w:val="00346ED2"/>
    <w:rsid w:val="00374070"/>
    <w:rsid w:val="003A0F0B"/>
    <w:rsid w:val="003A408F"/>
    <w:rsid w:val="003E1A68"/>
    <w:rsid w:val="003E62FD"/>
    <w:rsid w:val="003F1C32"/>
    <w:rsid w:val="00420D74"/>
    <w:rsid w:val="00425540"/>
    <w:rsid w:val="004565CB"/>
    <w:rsid w:val="00466605"/>
    <w:rsid w:val="00467B46"/>
    <w:rsid w:val="004B5DD6"/>
    <w:rsid w:val="004C7F5E"/>
    <w:rsid w:val="004D121D"/>
    <w:rsid w:val="00503054"/>
    <w:rsid w:val="00527A03"/>
    <w:rsid w:val="00534346"/>
    <w:rsid w:val="00552AD3"/>
    <w:rsid w:val="00563E8F"/>
    <w:rsid w:val="00585375"/>
    <w:rsid w:val="005A63C8"/>
    <w:rsid w:val="005C1E6C"/>
    <w:rsid w:val="005C6FCB"/>
    <w:rsid w:val="005F48BE"/>
    <w:rsid w:val="006538E1"/>
    <w:rsid w:val="00682135"/>
    <w:rsid w:val="006C7A06"/>
    <w:rsid w:val="006D21BB"/>
    <w:rsid w:val="007156E0"/>
    <w:rsid w:val="007303F6"/>
    <w:rsid w:val="00774066"/>
    <w:rsid w:val="00791677"/>
    <w:rsid w:val="007B017F"/>
    <w:rsid w:val="007C7189"/>
    <w:rsid w:val="007D3800"/>
    <w:rsid w:val="007F7774"/>
    <w:rsid w:val="0080662E"/>
    <w:rsid w:val="008151F4"/>
    <w:rsid w:val="00836C1F"/>
    <w:rsid w:val="00871FCB"/>
    <w:rsid w:val="00894EE6"/>
    <w:rsid w:val="008A707D"/>
    <w:rsid w:val="008B3F96"/>
    <w:rsid w:val="008D3E86"/>
    <w:rsid w:val="008F2B54"/>
    <w:rsid w:val="00904F53"/>
    <w:rsid w:val="00955293"/>
    <w:rsid w:val="0096566F"/>
    <w:rsid w:val="00981E5B"/>
    <w:rsid w:val="00993AEC"/>
    <w:rsid w:val="00A00AF5"/>
    <w:rsid w:val="00A30D87"/>
    <w:rsid w:val="00A32EC2"/>
    <w:rsid w:val="00A65F34"/>
    <w:rsid w:val="00A83932"/>
    <w:rsid w:val="00A83DE9"/>
    <w:rsid w:val="00A95D0C"/>
    <w:rsid w:val="00AE5AA3"/>
    <w:rsid w:val="00B06267"/>
    <w:rsid w:val="00B07518"/>
    <w:rsid w:val="00B07DEF"/>
    <w:rsid w:val="00B35D81"/>
    <w:rsid w:val="00B3723D"/>
    <w:rsid w:val="00B53F51"/>
    <w:rsid w:val="00BA32B7"/>
    <w:rsid w:val="00BB513F"/>
    <w:rsid w:val="00BC1259"/>
    <w:rsid w:val="00BC398E"/>
    <w:rsid w:val="00BD22F1"/>
    <w:rsid w:val="00BD4BA6"/>
    <w:rsid w:val="00BE1A3A"/>
    <w:rsid w:val="00BF3E3C"/>
    <w:rsid w:val="00BF6030"/>
    <w:rsid w:val="00C01696"/>
    <w:rsid w:val="00C4233D"/>
    <w:rsid w:val="00CC4F45"/>
    <w:rsid w:val="00D03CCD"/>
    <w:rsid w:val="00D14FF5"/>
    <w:rsid w:val="00D46533"/>
    <w:rsid w:val="00D83BD5"/>
    <w:rsid w:val="00D91389"/>
    <w:rsid w:val="00DA2C69"/>
    <w:rsid w:val="00DC5611"/>
    <w:rsid w:val="00DD246D"/>
    <w:rsid w:val="00DD5ABC"/>
    <w:rsid w:val="00E504DE"/>
    <w:rsid w:val="00E80603"/>
    <w:rsid w:val="00EB34F9"/>
    <w:rsid w:val="00EB77EF"/>
    <w:rsid w:val="00EE0296"/>
    <w:rsid w:val="00F2208D"/>
    <w:rsid w:val="00F24091"/>
    <w:rsid w:val="00F26105"/>
    <w:rsid w:val="00F34E57"/>
    <w:rsid w:val="00F54E96"/>
    <w:rsid w:val="00F57B20"/>
    <w:rsid w:val="00F70F24"/>
    <w:rsid w:val="00F8077D"/>
    <w:rsid w:val="00F855B5"/>
    <w:rsid w:val="00F86E22"/>
    <w:rsid w:val="00FF75B3"/>
    <w:rsid w:val="01540E14"/>
    <w:rsid w:val="03484E6D"/>
    <w:rsid w:val="047012BB"/>
    <w:rsid w:val="04DC5D07"/>
    <w:rsid w:val="0647378D"/>
    <w:rsid w:val="093C4710"/>
    <w:rsid w:val="096C69E8"/>
    <w:rsid w:val="0B7600D9"/>
    <w:rsid w:val="105754BA"/>
    <w:rsid w:val="123D1F82"/>
    <w:rsid w:val="14A5642A"/>
    <w:rsid w:val="15944739"/>
    <w:rsid w:val="17876D25"/>
    <w:rsid w:val="21555801"/>
    <w:rsid w:val="23024B39"/>
    <w:rsid w:val="249562A2"/>
    <w:rsid w:val="295A54AE"/>
    <w:rsid w:val="32ED1692"/>
    <w:rsid w:val="3E7C444F"/>
    <w:rsid w:val="4EEE53D9"/>
    <w:rsid w:val="4F056EA4"/>
    <w:rsid w:val="4F1A670E"/>
    <w:rsid w:val="532A46FB"/>
    <w:rsid w:val="5C93136F"/>
    <w:rsid w:val="601969DF"/>
    <w:rsid w:val="659C2FA3"/>
    <w:rsid w:val="69D76419"/>
    <w:rsid w:val="7A6B2F64"/>
    <w:rsid w:val="7D2667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unhideWhenUsed/>
    <w:qFormat/>
    <w:uiPriority w:val="99"/>
    <w:pPr>
      <w:jc w:val="left"/>
    </w:pPr>
  </w:style>
  <w:style w:type="paragraph" w:styleId="3">
    <w:name w:val="Balloon Text"/>
    <w:basedOn w:val="1"/>
    <w:link w:val="16"/>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annotation subject"/>
    <w:basedOn w:val="2"/>
    <w:next w:val="2"/>
    <w:link w:val="15"/>
    <w:semiHidden/>
    <w:unhideWhenUsed/>
    <w:qFormat/>
    <w:uiPriority w:val="99"/>
    <w:rPr>
      <w:b/>
      <w:bCs/>
    </w:rPr>
  </w:style>
  <w:style w:type="table" w:styleId="8">
    <w:name w:val="Table Grid"/>
    <w:basedOn w:val="7"/>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annotation reference"/>
    <w:basedOn w:val="9"/>
    <w:unhideWhenUsed/>
    <w:qFormat/>
    <w:uiPriority w:val="99"/>
    <w:rPr>
      <w:sz w:val="21"/>
      <w:szCs w:val="21"/>
    </w:rPr>
  </w:style>
  <w:style w:type="character" w:customStyle="1" w:styleId="11">
    <w:name w:val="页眉 Char"/>
    <w:basedOn w:val="9"/>
    <w:link w:val="5"/>
    <w:qFormat/>
    <w:uiPriority w:val="99"/>
    <w:rPr>
      <w:sz w:val="18"/>
      <w:szCs w:val="18"/>
    </w:rPr>
  </w:style>
  <w:style w:type="character" w:customStyle="1" w:styleId="12">
    <w:name w:val="页脚 Char"/>
    <w:basedOn w:val="9"/>
    <w:link w:val="4"/>
    <w:qFormat/>
    <w:uiPriority w:val="99"/>
    <w:rPr>
      <w:sz w:val="18"/>
      <w:szCs w:val="18"/>
    </w:rPr>
  </w:style>
  <w:style w:type="paragraph" w:styleId="13">
    <w:name w:val="List Paragraph"/>
    <w:basedOn w:val="1"/>
    <w:qFormat/>
    <w:uiPriority w:val="0"/>
    <w:pPr>
      <w:ind w:firstLine="420" w:firstLineChars="200"/>
    </w:pPr>
  </w:style>
  <w:style w:type="character" w:customStyle="1" w:styleId="14">
    <w:name w:val="批注文字 Char"/>
    <w:basedOn w:val="9"/>
    <w:link w:val="2"/>
    <w:qFormat/>
    <w:uiPriority w:val="99"/>
    <w:rPr>
      <w:rFonts w:ascii="Calibri" w:hAnsi="Calibri" w:eastAsia="宋体" w:cs="宋体"/>
    </w:rPr>
  </w:style>
  <w:style w:type="character" w:customStyle="1" w:styleId="15">
    <w:name w:val="批注主题 Char"/>
    <w:basedOn w:val="14"/>
    <w:link w:val="6"/>
    <w:semiHidden/>
    <w:qFormat/>
    <w:uiPriority w:val="99"/>
    <w:rPr>
      <w:rFonts w:ascii="Calibri" w:hAnsi="Calibri" w:eastAsia="宋体" w:cs="宋体"/>
      <w:b/>
      <w:bCs/>
    </w:rPr>
  </w:style>
  <w:style w:type="character" w:customStyle="1" w:styleId="16">
    <w:name w:val="批注框文本 Char"/>
    <w:basedOn w:val="9"/>
    <w:link w:val="3"/>
    <w:semiHidden/>
    <w:qFormat/>
    <w:uiPriority w:val="99"/>
    <w:rPr>
      <w:rFonts w:ascii="Calibri" w:hAnsi="Calibri" w:eastAsia="宋体" w:cs="宋体"/>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7</Pages>
  <Words>685</Words>
  <Characters>3906</Characters>
  <Lines>32</Lines>
  <Paragraphs>9</Paragraphs>
  <TotalTime>3</TotalTime>
  <ScaleCrop>false</ScaleCrop>
  <LinksUpToDate>false</LinksUpToDate>
  <CharactersWithSpaces>4582</CharactersWithSpaces>
  <Application>WPS Office_11.8.2.12309_F1E327BC-269C-435d-A152-05C5408002CA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2024-03-04T01:44:00Z</dcterms:created>
  <dc:creator>胡骁潇</dc:creator>
  <cp:lastModifiedBy>兰兰</cp:lastModifiedBy>
  <dcterms:modified xsi:type="dcterms:W3CDTF">2026-01-09T08:42:50Z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ICV">
    <vt:lpwstr>6B1DF0A3E21247E9904C2C6702B4AB3E</vt:lpwstr>
  </property>
</Properties>
</file>