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69E" w:rsidRDefault="007B0020">
      <w:pPr>
        <w:spacing w:beforeLines="100" w:before="312" w:afterLines="100" w:after="312"/>
        <w:jc w:val="center"/>
        <w:rPr>
          <w:rFonts w:asciiTheme="minorEastAsia" w:hAnsiTheme="minorEastAsia"/>
          <w:b/>
          <w:szCs w:val="20"/>
        </w:rPr>
      </w:pPr>
      <w:r>
        <w:rPr>
          <w:rFonts w:asciiTheme="minorEastAsia" w:hAnsiTheme="minorEastAsia" w:hint="eastAsia"/>
          <w:b/>
          <w:sz w:val="36"/>
          <w:szCs w:val="32"/>
        </w:rPr>
        <w:t>中银理财有限责任公司理财产品风险揭示书</w:t>
      </w:r>
    </w:p>
    <w:p w:rsidR="00C1769E" w:rsidRDefault="007B0020">
      <w:pPr>
        <w:rPr>
          <w:rFonts w:asciiTheme="minorEastAsia" w:hAnsiTheme="minorEastAsia"/>
          <w:b/>
          <w:szCs w:val="20"/>
        </w:rPr>
      </w:pPr>
      <w:r>
        <w:rPr>
          <w:rFonts w:asciiTheme="minorEastAsia" w:hAnsiTheme="minorEastAsia" w:hint="eastAsia"/>
          <w:b/>
          <w:szCs w:val="20"/>
        </w:rPr>
        <w:t>尊敬的投资者：</w:t>
      </w:r>
    </w:p>
    <w:p w:rsidR="00C1769E" w:rsidRDefault="007B0020">
      <w:pPr>
        <w:rPr>
          <w:rFonts w:asciiTheme="minorEastAsia" w:hAnsiTheme="minorEastAsia"/>
          <w:szCs w:val="20"/>
        </w:rPr>
      </w:pPr>
      <w:r>
        <w:rPr>
          <w:rFonts w:asciiTheme="minorEastAsia" w:hAnsiTheme="minorEastAsia"/>
          <w:szCs w:val="20"/>
        </w:rPr>
        <w:tab/>
      </w:r>
      <w:r>
        <w:rPr>
          <w:rFonts w:asciiTheme="minorEastAsia" w:hAnsiTheme="minorEastAsia" w:hint="eastAsia"/>
          <w:szCs w:val="20"/>
        </w:rPr>
        <w:t>由于理财产品投资运作管理中有可能面临各种风险因素，根据监管部门要求和投资者权益保护的需要，在您选择投资理财产品前，请仔细阅读以下风险揭示内容：</w:t>
      </w:r>
    </w:p>
    <w:p w:rsidR="00C1769E" w:rsidRDefault="007B0020">
      <w:pPr>
        <w:spacing w:beforeLines="50" w:before="156" w:afterLines="50" w:after="156"/>
        <w:jc w:val="center"/>
        <w:rPr>
          <w:rFonts w:asciiTheme="minorEastAsia" w:hAnsiTheme="minorEastAsia"/>
          <w:b/>
          <w:sz w:val="24"/>
          <w:szCs w:val="20"/>
        </w:rPr>
      </w:pPr>
      <w:r>
        <w:rPr>
          <w:rFonts w:asciiTheme="minorEastAsia" w:hAnsiTheme="minorEastAsia" w:hint="eastAsia"/>
          <w:b/>
          <w:sz w:val="24"/>
          <w:szCs w:val="20"/>
        </w:rPr>
        <w:t>一、风险揭示部分</w:t>
      </w:r>
    </w:p>
    <w:p w:rsidR="00C1769E" w:rsidRDefault="007B0020">
      <w:pPr>
        <w:pStyle w:val="10"/>
        <w:ind w:left="360"/>
        <w:jc w:val="center"/>
        <w:rPr>
          <w:rFonts w:asciiTheme="minorEastAsia" w:hAnsiTheme="minorEastAsia"/>
          <w:b/>
          <w:sz w:val="28"/>
          <w:szCs w:val="20"/>
        </w:rPr>
      </w:pPr>
      <w:r>
        <w:rPr>
          <w:rFonts w:asciiTheme="minorEastAsia" w:hAnsiTheme="minorEastAsia" w:hint="eastAsia"/>
          <w:b/>
          <w:sz w:val="28"/>
          <w:szCs w:val="20"/>
        </w:rPr>
        <w:t>理财非存款、产品有风险、投资须谨慎</w:t>
      </w:r>
    </w:p>
    <w:p w:rsidR="00C1769E" w:rsidRDefault="007B0020">
      <w:pPr>
        <w:pStyle w:val="10"/>
        <w:ind w:left="360"/>
        <w:jc w:val="center"/>
        <w:rPr>
          <w:rFonts w:asciiTheme="minorEastAsia" w:hAnsiTheme="minorEastAsia"/>
          <w:b/>
          <w:sz w:val="28"/>
          <w:szCs w:val="20"/>
        </w:rPr>
      </w:pPr>
      <w:r>
        <w:rPr>
          <w:rFonts w:asciiTheme="minorEastAsia" w:hAnsiTheme="minorEastAsia" w:hint="eastAsia"/>
          <w:b/>
          <w:sz w:val="28"/>
          <w:szCs w:val="20"/>
        </w:rPr>
        <w:t>理财产品过往业绩不代表其未来表现，不等于理财产品实际收益，投资须谨慎。</w:t>
      </w:r>
    </w:p>
    <w:p w:rsidR="00C1769E" w:rsidRDefault="007B0020" w:rsidP="007B0020">
      <w:pPr>
        <w:pStyle w:val="10"/>
        <w:widowControl w:val="0"/>
        <w:numPr>
          <w:ilvl w:val="0"/>
          <w:numId w:val="1"/>
        </w:numPr>
        <w:jc w:val="both"/>
        <w:rPr>
          <w:rFonts w:asciiTheme="minorEastAsia" w:hAnsiTheme="minorEastAsia"/>
          <w:b/>
          <w:szCs w:val="20"/>
        </w:rPr>
      </w:pPr>
      <w:r>
        <w:rPr>
          <w:rFonts w:asciiTheme="minorEastAsia" w:hAnsiTheme="minorEastAsia" w:hint="eastAsia"/>
          <w:b/>
          <w:szCs w:val="20"/>
        </w:rPr>
        <w:t>理财产品风险揭示：</w:t>
      </w:r>
    </w:p>
    <w:tbl>
      <w:tblPr>
        <w:tblStyle w:val="ab"/>
        <w:tblW w:w="8282" w:type="dxa"/>
        <w:tblInd w:w="360" w:type="dxa"/>
        <w:tblLayout w:type="fixed"/>
        <w:tblLook w:val="04A0" w:firstRow="1" w:lastRow="0" w:firstColumn="1" w:lastColumn="0" w:noHBand="0" w:noVBand="1"/>
      </w:tblPr>
      <w:tblGrid>
        <w:gridCol w:w="2045"/>
        <w:gridCol w:w="6237"/>
      </w:tblGrid>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产品名称</w:t>
            </w:r>
          </w:p>
        </w:tc>
        <w:tc>
          <w:tcPr>
            <w:tcW w:w="6237" w:type="dxa"/>
          </w:tcPr>
          <w:p w:rsidR="00C1769E" w:rsidRDefault="007B0020">
            <w:pPr>
              <w:pStyle w:val="10"/>
              <w:rPr>
                <w:rFonts w:asciiTheme="minorEastAsia" w:hAnsiTheme="minorEastAsia"/>
                <w:b/>
                <w:szCs w:val="20"/>
              </w:rPr>
            </w:pPr>
            <w:r>
              <w:rPr>
                <w:rFonts w:asciiTheme="minorEastAsia" w:hAnsiTheme="minorEastAsia" w:hint="eastAsia"/>
                <w:b/>
                <w:szCs w:val="20"/>
              </w:rPr>
              <w:t>中银理财</w:t>
            </w:r>
            <w:r>
              <w:rPr>
                <w:rFonts w:asciiTheme="minorEastAsia" w:hAnsiTheme="minorEastAsia"/>
                <w:b/>
                <w:szCs w:val="20"/>
              </w:rPr>
              <w:t>-</w:t>
            </w:r>
            <w:r>
              <w:rPr>
                <w:rFonts w:asciiTheme="minorEastAsia" w:hAnsiTheme="minorEastAsia" w:hint="eastAsia"/>
                <w:b/>
                <w:szCs w:val="20"/>
              </w:rPr>
              <w:t>乐享天天</w:t>
            </w:r>
            <w:r>
              <w:rPr>
                <w:rFonts w:asciiTheme="minorEastAsia" w:hAnsiTheme="minorEastAsia"/>
                <w:b/>
                <w:szCs w:val="20"/>
              </w:rPr>
              <w:t>27</w:t>
            </w:r>
            <w:r>
              <w:rPr>
                <w:rFonts w:asciiTheme="minorEastAsia" w:hAnsiTheme="minorEastAsia" w:hint="eastAsia"/>
                <w:b/>
                <w:szCs w:val="20"/>
              </w:rPr>
              <w:t>号</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产品代码</w:t>
            </w:r>
          </w:p>
        </w:tc>
        <w:tc>
          <w:tcPr>
            <w:tcW w:w="6237" w:type="dxa"/>
          </w:tcPr>
          <w:p w:rsidR="00C1769E" w:rsidRDefault="007B0020">
            <w:pPr>
              <w:pStyle w:val="10"/>
              <w:rPr>
                <w:rFonts w:asciiTheme="minorEastAsia" w:hAnsiTheme="minorEastAsia"/>
                <w:b/>
                <w:szCs w:val="20"/>
              </w:rPr>
            </w:pPr>
            <w:r>
              <w:rPr>
                <w:rFonts w:asciiTheme="minorEastAsia" w:hAnsiTheme="minorEastAsia" w:hint="eastAsia"/>
                <w:szCs w:val="21"/>
              </w:rPr>
              <w:t>L</w:t>
            </w:r>
            <w:r>
              <w:rPr>
                <w:rFonts w:asciiTheme="minorEastAsia" w:hAnsiTheme="minorEastAsia"/>
                <w:szCs w:val="21"/>
              </w:rPr>
              <w:t>XTT27</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产品类型</w:t>
            </w:r>
          </w:p>
        </w:tc>
        <w:tc>
          <w:tcPr>
            <w:tcW w:w="6237" w:type="dxa"/>
          </w:tcPr>
          <w:p w:rsidR="00C1769E" w:rsidRDefault="007B0020">
            <w:pPr>
              <w:pStyle w:val="10"/>
              <w:rPr>
                <w:rFonts w:asciiTheme="minorEastAsia" w:hAnsiTheme="minorEastAsia"/>
                <w:b/>
                <w:szCs w:val="20"/>
              </w:rPr>
            </w:pPr>
            <w:r>
              <w:rPr>
                <w:rFonts w:asciiTheme="minorEastAsia" w:hAnsiTheme="minorEastAsia" w:hint="eastAsia"/>
                <w:b/>
                <w:szCs w:val="20"/>
              </w:rPr>
              <w:t>固定收益类非保本浮动收益型</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产品期限</w:t>
            </w:r>
          </w:p>
        </w:tc>
        <w:tc>
          <w:tcPr>
            <w:tcW w:w="6237" w:type="dxa"/>
          </w:tcPr>
          <w:p w:rsidR="00C1769E" w:rsidRDefault="007B0020">
            <w:pPr>
              <w:rPr>
                <w:rFonts w:asciiTheme="minorEastAsia" w:hAnsiTheme="minorEastAsia"/>
                <w:szCs w:val="21"/>
              </w:rPr>
            </w:pPr>
            <w:r>
              <w:rPr>
                <w:rFonts w:asciiTheme="minorEastAsia" w:hAnsiTheme="minorEastAsia" w:hint="eastAsia"/>
                <w:b/>
                <w:szCs w:val="20"/>
              </w:rPr>
              <w:t>产品无固定存续期限（若产品提前终止</w:t>
            </w:r>
            <w:r>
              <w:rPr>
                <w:rFonts w:asciiTheme="minorEastAsia" w:hAnsiTheme="minorEastAsia" w:hint="eastAsia"/>
                <w:b/>
              </w:rPr>
              <w:t>或</w:t>
            </w:r>
            <w:r>
              <w:rPr>
                <w:rFonts w:asciiTheme="minorEastAsia" w:hAnsiTheme="minorEastAsia"/>
                <w:b/>
              </w:rPr>
              <w:t>延期结束</w:t>
            </w:r>
            <w:r>
              <w:rPr>
                <w:rFonts w:asciiTheme="minorEastAsia" w:hAnsiTheme="minorEastAsia" w:hint="eastAsia"/>
                <w:b/>
                <w:szCs w:val="20"/>
              </w:rPr>
              <w:t>，以理财产品实际存续天数为准。）</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风险级别</w:t>
            </w:r>
          </w:p>
        </w:tc>
        <w:tc>
          <w:tcPr>
            <w:tcW w:w="6237" w:type="dxa"/>
          </w:tcPr>
          <w:p w:rsidR="00C1769E" w:rsidRDefault="007B0020">
            <w:pPr>
              <w:pStyle w:val="10"/>
              <w:rPr>
                <w:rFonts w:asciiTheme="minorEastAsia" w:hAnsiTheme="minorEastAsia"/>
                <w:b/>
                <w:szCs w:val="20"/>
              </w:rPr>
            </w:pPr>
            <w:r>
              <w:rPr>
                <w:rFonts w:asciiTheme="minorEastAsia" w:hAnsiTheme="minorEastAsia"/>
                <w:b/>
                <w:szCs w:val="20"/>
              </w:rPr>
              <w:t>1级（低风险）。</w:t>
            </w:r>
            <w:r>
              <w:rPr>
                <w:rFonts w:asciiTheme="minorEastAsia" w:hAnsiTheme="minorEastAsia" w:cs="Arial Unicode MS" w:hint="eastAsia"/>
                <w:b/>
                <w:szCs w:val="21"/>
              </w:rPr>
              <w:t>本理财产品的风险评级，为中银理财有限责任公司（以下简称“中银理财”）内部评级；本产品通过代理销售机构渠道销售的，理财产品评级应当以代理销售机构最终披露的评级结果为准。</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适合购买的投资者</w:t>
            </w:r>
          </w:p>
        </w:tc>
        <w:tc>
          <w:tcPr>
            <w:tcW w:w="6237" w:type="dxa"/>
          </w:tcPr>
          <w:p w:rsidR="00C1769E" w:rsidRDefault="007B0020" w:rsidP="00A12C4E">
            <w:pPr>
              <w:pStyle w:val="10"/>
              <w:rPr>
                <w:rFonts w:asciiTheme="minorEastAsia" w:hAnsiTheme="minorEastAsia"/>
                <w:b/>
                <w:szCs w:val="20"/>
              </w:rPr>
            </w:pPr>
            <w:r>
              <w:rPr>
                <w:rFonts w:asciiTheme="minorEastAsia" w:hAnsiTheme="minorEastAsia" w:hint="eastAsia"/>
                <w:b/>
                <w:color w:val="000000" w:themeColor="text1"/>
                <w:szCs w:val="20"/>
              </w:rPr>
              <w:t>经产品销售机构风险承受能力评估为</w:t>
            </w:r>
            <w:r>
              <w:rPr>
                <w:rFonts w:asciiTheme="minorEastAsia" w:hAnsiTheme="minorEastAsia" w:hint="eastAsia"/>
                <w:b/>
                <w:szCs w:val="20"/>
              </w:rPr>
              <w:t>谨慎型、</w:t>
            </w:r>
            <w:r>
              <w:rPr>
                <w:rFonts w:asciiTheme="minorEastAsia" w:hAnsiTheme="minorEastAsia" w:hint="eastAsia"/>
                <w:b/>
                <w:color w:val="000000" w:themeColor="text1"/>
                <w:szCs w:val="20"/>
              </w:rPr>
              <w:t>稳健型、平衡型、进取型和</w:t>
            </w:r>
            <w:r>
              <w:rPr>
                <w:rFonts w:asciiTheme="minorEastAsia" w:hAnsiTheme="minorEastAsia"/>
                <w:b/>
                <w:color w:val="000000" w:themeColor="text1"/>
                <w:szCs w:val="20"/>
              </w:rPr>
              <w:t>激进</w:t>
            </w:r>
            <w:r>
              <w:rPr>
                <w:rFonts w:asciiTheme="minorEastAsia" w:hAnsiTheme="minorEastAsia" w:hint="eastAsia"/>
                <w:b/>
                <w:color w:val="000000" w:themeColor="text1"/>
                <w:szCs w:val="20"/>
              </w:rPr>
              <w:t>型的个人投资者。</w:t>
            </w:r>
            <w:r>
              <w:rPr>
                <w:rFonts w:asciiTheme="minorEastAsia" w:hAnsiTheme="minorEastAsia" w:hint="eastAsia"/>
                <w:b/>
                <w:szCs w:val="20"/>
              </w:rPr>
              <w:t>具体以销售机构风险评级结果和销售要求为准。</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风险揭示内容</w:t>
            </w:r>
          </w:p>
        </w:tc>
        <w:tc>
          <w:tcPr>
            <w:tcW w:w="6237" w:type="dxa"/>
          </w:tcPr>
          <w:p w:rsidR="00C1769E" w:rsidRDefault="007B0020">
            <w:pPr>
              <w:pStyle w:val="10"/>
              <w:rPr>
                <w:rFonts w:asciiTheme="minorEastAsia" w:hAnsiTheme="minorEastAsia"/>
                <w:szCs w:val="21"/>
              </w:rPr>
            </w:pPr>
            <w:r>
              <w:rPr>
                <w:rFonts w:asciiTheme="minorEastAsia" w:hAnsiTheme="minorEastAsia" w:hint="eastAsia"/>
              </w:rPr>
              <w:t>市场风险、信用风险、流动性风险、操作风险</w:t>
            </w:r>
            <w:r>
              <w:rPr>
                <w:rFonts w:asciiTheme="minorEastAsia" w:hAnsiTheme="minorEastAsia"/>
              </w:rPr>
              <w:t>、</w:t>
            </w:r>
            <w:r>
              <w:rPr>
                <w:rFonts w:asciiTheme="minorEastAsia" w:hAnsiTheme="minorEastAsia" w:hint="eastAsia"/>
              </w:rPr>
              <w:t>管理风险、法律风险、政策风险、</w:t>
            </w:r>
            <w:r>
              <w:rPr>
                <w:rFonts w:asciiTheme="minorEastAsia" w:hAnsiTheme="minorEastAsia" w:cs="宋体" w:hint="eastAsia"/>
                <w:color w:val="000000"/>
                <w:szCs w:val="21"/>
              </w:rPr>
              <w:t>产品不成立风险、</w:t>
            </w:r>
            <w:r>
              <w:rPr>
                <w:rFonts w:asciiTheme="minorEastAsia" w:hAnsiTheme="minorEastAsia" w:hint="eastAsia"/>
              </w:rPr>
              <w:t>提前终止的风险、信息传递风险、赎回款项支付延迟风险、投资标的特有风险、其他风险等。</w:t>
            </w:r>
          </w:p>
          <w:p w:rsidR="00C1769E" w:rsidRDefault="007B0020">
            <w:pPr>
              <w:pStyle w:val="a8"/>
              <w:overflowPunct w:val="0"/>
              <w:topLinePunct/>
              <w:autoSpaceDE w:val="0"/>
              <w:autoSpaceDN w:val="0"/>
              <w:spacing w:before="0" w:beforeAutospacing="0" w:after="0" w:afterAutospacing="0"/>
              <w:jc w:val="both"/>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本理财产品中银理财内部风险评级为</w:t>
            </w:r>
            <w:r>
              <w:rPr>
                <w:rFonts w:asciiTheme="minorEastAsia" w:eastAsiaTheme="minorEastAsia" w:hAnsiTheme="minorEastAsia" w:cs="Times New Roman"/>
                <w:kern w:val="2"/>
                <w:sz w:val="21"/>
                <w:szCs w:val="21"/>
              </w:rPr>
              <w:t>1级，为非保本浮动收益型低风险产品，出现本金损失的概率极低，且净值波动率极低。</w:t>
            </w:r>
          </w:p>
          <w:p w:rsidR="00C1769E" w:rsidRDefault="007B0020">
            <w:pPr>
              <w:pStyle w:val="10"/>
              <w:rPr>
                <w:rFonts w:asciiTheme="minorEastAsia" w:hAnsiTheme="minorEastAsia" w:cs="Times New Roman"/>
                <w:szCs w:val="21"/>
              </w:rPr>
            </w:pPr>
            <w:r>
              <w:rPr>
                <w:rFonts w:asciiTheme="minorEastAsia" w:hAnsiTheme="minorEastAsia" w:hint="eastAsia"/>
              </w:rPr>
              <w:t>上述风险评级和相关描述，均为中银理财内部评级。该产品通过代理销售机构渠道销售的，理财产品评级应当以代理销售机构最终披露的评级结果为准。</w:t>
            </w:r>
          </w:p>
          <w:p w:rsidR="00C1769E" w:rsidRDefault="007B0020">
            <w:pPr>
              <w:rPr>
                <w:rFonts w:asciiTheme="minorEastAsia" w:hAnsiTheme="minorEastAsia"/>
              </w:rPr>
            </w:pPr>
            <w:r>
              <w:rPr>
                <w:rFonts w:asciiTheme="minorEastAsia" w:hAnsiTheme="minorEastAsia" w:hint="eastAsia"/>
                <w:b/>
              </w:rPr>
              <w:t>本理财产品不保证资金本金和收益，如出现所投资的金融资产未按时足额支付</w:t>
            </w:r>
            <w:r>
              <w:rPr>
                <w:rFonts w:asciiTheme="minorEastAsia" w:hAnsiTheme="minorEastAsia"/>
                <w:b/>
              </w:rPr>
              <w:t>本金</w:t>
            </w:r>
            <w:r>
              <w:rPr>
                <w:rFonts w:asciiTheme="minorEastAsia" w:hAnsiTheme="minorEastAsia" w:hint="eastAsia"/>
                <w:b/>
              </w:rPr>
              <w:t>及</w:t>
            </w:r>
            <w:r>
              <w:rPr>
                <w:rFonts w:asciiTheme="minorEastAsia" w:hAnsiTheme="minorEastAsia" w:cs="Calibri"/>
                <w:b/>
              </w:rPr>
              <w:t>/</w:t>
            </w:r>
            <w:r>
              <w:rPr>
                <w:rFonts w:asciiTheme="minorEastAsia" w:hAnsiTheme="minorEastAsia" w:hint="eastAsia"/>
                <w:b/>
              </w:rPr>
              <w:t>或收益或提前终止等不利情况，则将出现理财收益为零或本金损失（甚至全部损失）的可能，并存在被提前终止的可能。请充分认识投资风险，谨慎投资。</w:t>
            </w:r>
          </w:p>
        </w:tc>
      </w:tr>
      <w:tr w:rsidR="00C1769E">
        <w:tc>
          <w:tcPr>
            <w:tcW w:w="2045" w:type="dxa"/>
          </w:tcPr>
          <w:p w:rsidR="00C1769E" w:rsidRDefault="007B0020">
            <w:pPr>
              <w:pStyle w:val="10"/>
              <w:rPr>
                <w:rFonts w:asciiTheme="minorEastAsia" w:hAnsiTheme="minorEastAsia"/>
                <w:b/>
                <w:szCs w:val="20"/>
              </w:rPr>
            </w:pPr>
            <w:r>
              <w:rPr>
                <w:rFonts w:asciiTheme="minorEastAsia" w:hAnsiTheme="minorEastAsia" w:hint="eastAsia"/>
                <w:b/>
                <w:szCs w:val="20"/>
              </w:rPr>
              <w:t>最不利投资情形下的投资结果示例</w:t>
            </w:r>
          </w:p>
        </w:tc>
        <w:tc>
          <w:tcPr>
            <w:tcW w:w="6237" w:type="dxa"/>
          </w:tcPr>
          <w:p w:rsidR="00C1769E" w:rsidRDefault="007B0020">
            <w:pPr>
              <w:pStyle w:val="10"/>
              <w:rPr>
                <w:rFonts w:asciiTheme="minorEastAsia" w:hAnsiTheme="minorEastAsia"/>
                <w:b/>
                <w:szCs w:val="20"/>
              </w:rPr>
            </w:pPr>
            <w:r>
              <w:rPr>
                <w:rFonts w:asciiTheme="minorEastAsia" w:hAnsiTheme="minorEastAsia" w:hint="eastAsia"/>
                <w:b/>
                <w:szCs w:val="20"/>
              </w:rPr>
              <w:t>本理财产品最不利投资情形为所投资的国债、信用债等金融工具出现市场价格剧烈波动或发行人违约等极端情况，本理财产品收益可能为零，本金全部损失。</w:t>
            </w:r>
          </w:p>
        </w:tc>
      </w:tr>
    </w:tbl>
    <w:p w:rsidR="00C1769E" w:rsidRDefault="007B0020" w:rsidP="007B0020">
      <w:pPr>
        <w:pStyle w:val="10"/>
        <w:widowControl w:val="0"/>
        <w:numPr>
          <w:ilvl w:val="0"/>
          <w:numId w:val="1"/>
        </w:numPr>
        <w:jc w:val="both"/>
        <w:rPr>
          <w:rFonts w:asciiTheme="minorEastAsia" w:hAnsiTheme="minorEastAsia"/>
          <w:b/>
          <w:szCs w:val="20"/>
        </w:rPr>
      </w:pPr>
      <w:r>
        <w:rPr>
          <w:rFonts w:asciiTheme="minorEastAsia" w:hAnsiTheme="minorEastAsia" w:hint="eastAsia"/>
          <w:b/>
          <w:szCs w:val="20"/>
        </w:rPr>
        <w:lastRenderedPageBreak/>
        <w:t>风险揭示内容</w:t>
      </w:r>
    </w:p>
    <w:p w:rsidR="00C1769E" w:rsidRDefault="007B0020">
      <w:pPr>
        <w:pStyle w:val="a8"/>
        <w:overflowPunct w:val="0"/>
        <w:topLinePunct/>
        <w:autoSpaceDE w:val="0"/>
        <w:autoSpaceDN w:val="0"/>
        <w:spacing w:before="0" w:beforeAutospacing="0" w:after="0" w:afterAutospacing="0"/>
        <w:ind w:firstLine="420"/>
        <w:rPr>
          <w:rFonts w:asciiTheme="minorEastAsia" w:eastAsiaTheme="minorEastAsia" w:hAnsiTheme="minorEastAsia"/>
          <w:b/>
          <w:sz w:val="21"/>
          <w:szCs w:val="21"/>
        </w:rPr>
      </w:pPr>
      <w:r>
        <w:rPr>
          <w:rFonts w:asciiTheme="minorEastAsia" w:eastAsiaTheme="minorEastAsia" w:hAnsiTheme="minorEastAsia" w:hint="eastAsia"/>
          <w:b/>
          <w:sz w:val="21"/>
          <w:szCs w:val="21"/>
        </w:rPr>
        <w:t>理财产品管理人将本着“恪守信用、勤勉尽责”的原则管理和运用理财产品财产，但并不对本理财产品提供保证本金和收益的承诺，投资者的本金和收益可能会因市场变动而蒙受一定程度的损失，投资者应充分认识投资风险，谨慎投资。</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b/>
          <w:sz w:val="21"/>
          <w:szCs w:val="21"/>
        </w:rPr>
      </w:pPr>
      <w:r>
        <w:rPr>
          <w:rFonts w:asciiTheme="minorEastAsia" w:eastAsiaTheme="minorEastAsia" w:hAnsiTheme="minorEastAsia" w:cs="Times New Roman" w:hint="eastAsia"/>
          <w:b/>
          <w:sz w:val="21"/>
          <w:szCs w:val="21"/>
        </w:rPr>
        <w:t>市场风险：受各种市场因素、宏观政策因素等的影响，本理财产品所投资的各类资产价值可能下跌，导致理财收益下降甚至本金损失。理财产品管理人将密切跟踪货币市场、债券市场及其他证券市场走势，在各类资产间灵活配置，设定单类资产的配置比例，降低市场风险。同时限制理财产品财产的投资范围和比例，严格按投资原则进行投资运作。</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信用风险：如果本理财产品的交易对手或者所投资的各类债券和其他债权发生信用违约、托管人破产，可能影响投资收益，甚至致使理财产品本金受到损失。理财产品管理人将对所投资的各类债权类资产的风险承担主体的财务状况、行业背景以及公司治理等进行密切跟踪及分析，并根据内部投资评级的要求，严格控制风险暴露；另外，理财产品管理人将基于谨慎性原则，对交易对手的资质进行严格挑选。</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流动性风险：流动性风险是指本理财产品无法通过变现资产等途径以合理成本及时获得充足资金，用于满足本理财产品的投资者赎回需求、履行其他支付义务的风险。理财产品管理人将对持仓证券的流动性进行研究和监控，使未来现金流尽可能地均匀分布，保留适当的现金和高流动性资产比例，同时增加剩余期限短、流动性好的资产比例。加强与投资者的沟通与宣传、分析投资者的行为方式、关注资金市场变化，提前判断流动性变化并且采取应对措施，力争理财产品的参与和退出较为平稳地运行。</w:t>
      </w:r>
    </w:p>
    <w:p w:rsidR="00C1769E" w:rsidRDefault="007B0020" w:rsidP="007B0020">
      <w:pPr>
        <w:pStyle w:val="a8"/>
        <w:numPr>
          <w:ilvl w:val="0"/>
          <w:numId w:val="3"/>
        </w:numPr>
        <w:overflowPunct w:val="0"/>
        <w:topLinePunct/>
        <w:autoSpaceDE w:val="0"/>
        <w:autoSpaceDN w:val="0"/>
        <w:spacing w:before="0" w:beforeAutospacing="0" w:after="0" w:afterAutospacing="0"/>
        <w:ind w:firstLine="71"/>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认（申）购和赎回安排</w:t>
      </w:r>
    </w:p>
    <w:p w:rsidR="00C1769E" w:rsidRDefault="007B0020">
      <w:pPr>
        <w:pStyle w:val="a8"/>
        <w:numPr>
          <w:ilvl w:val="255"/>
          <w:numId w:val="0"/>
        </w:numPr>
        <w:overflowPunct w:val="0"/>
        <w:topLinePunct/>
        <w:autoSpaceDE w:val="0"/>
        <w:autoSpaceDN w:val="0"/>
        <w:spacing w:before="0" w:beforeAutospacing="0" w:after="0" w:afterAutospacing="0"/>
        <w:ind w:firstLine="420"/>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本理财产品的认（申）购和赎回安排具体规则详见本《产品说明书》“三、认购”和“六、申购和赎回”部分。</w:t>
      </w:r>
    </w:p>
    <w:p w:rsidR="00C1769E" w:rsidRDefault="007B0020" w:rsidP="007B0020">
      <w:pPr>
        <w:pStyle w:val="a8"/>
        <w:numPr>
          <w:ilvl w:val="0"/>
          <w:numId w:val="3"/>
        </w:numPr>
        <w:overflowPunct w:val="0"/>
        <w:topLinePunct/>
        <w:autoSpaceDE w:val="0"/>
        <w:autoSpaceDN w:val="0"/>
        <w:spacing w:before="0" w:beforeAutospacing="0" w:after="0" w:afterAutospacing="0"/>
        <w:ind w:firstLine="71"/>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拟投资市场、资产的流动性风险评估</w:t>
      </w:r>
    </w:p>
    <w:p w:rsidR="00C1769E" w:rsidRDefault="007B0020">
      <w:pPr>
        <w:pStyle w:val="a8"/>
        <w:numPr>
          <w:ilvl w:val="255"/>
          <w:numId w:val="0"/>
        </w:numPr>
        <w:overflowPunct w:val="0"/>
        <w:topLinePunct/>
        <w:autoSpaceDE w:val="0"/>
        <w:autoSpaceDN w:val="0"/>
        <w:spacing w:before="0" w:beforeAutospacing="0" w:after="0" w:afterAutospacing="0"/>
        <w:ind w:firstLine="420"/>
        <w:rPr>
          <w:rFonts w:ascii="宋体" w:eastAsia="宋体" w:hAnsi="宋体"/>
          <w:b/>
          <w:sz w:val="21"/>
          <w:szCs w:val="21"/>
        </w:rPr>
      </w:pPr>
      <w:r>
        <w:rPr>
          <w:rFonts w:ascii="宋体" w:eastAsia="宋体" w:hAnsi="宋体" w:hint="eastAsia"/>
          <w:b/>
          <w:sz w:val="21"/>
          <w:szCs w:val="21"/>
        </w:rPr>
        <w:t>本理财产品主要投资于境内固定收益类资产，其中投资范围包含：现金、银行存款、债券回购、中央银行票据、同业存单、债券、非金融企业债务融资工具、资产支持证券以及国家金融监督管理机构、中国人民银行认可的其他具有良好流动性的货币市场工具。产品管理人会合理进行流动性资产配置以提高产品流动性。</w:t>
      </w:r>
    </w:p>
    <w:p w:rsidR="00C1769E" w:rsidRDefault="007B0020">
      <w:pPr>
        <w:pStyle w:val="a8"/>
        <w:numPr>
          <w:ilvl w:val="255"/>
          <w:numId w:val="0"/>
        </w:numPr>
        <w:overflowPunct w:val="0"/>
        <w:topLinePunct/>
        <w:autoSpaceDE w:val="0"/>
        <w:autoSpaceDN w:val="0"/>
        <w:spacing w:before="0" w:beforeAutospacing="0" w:after="0" w:afterAutospacing="0"/>
        <w:ind w:firstLine="420"/>
        <w:rPr>
          <w:rFonts w:ascii="宋体" w:eastAsia="宋体" w:hAnsi="宋体"/>
          <w:b/>
          <w:sz w:val="21"/>
          <w:szCs w:val="21"/>
        </w:rPr>
      </w:pPr>
      <w:r>
        <w:rPr>
          <w:rFonts w:ascii="宋体" w:eastAsia="宋体" w:hAnsi="宋体" w:hint="eastAsia"/>
          <w:b/>
          <w:sz w:val="21"/>
          <w:szCs w:val="21"/>
        </w:rPr>
        <w:t>本产品拟投资市场根据投资范围，可分为银行间债券市场和交易所债券市场。银行间市场是中国债券的主体市场，参与者主要是银行、基金、保险资管、券商等各类机构投资者，实行双边谈判逐笔成交，整体流动性较好，尤其是利率债和高等级信用债品种成交活跃。交易所债券市场参与者包含各类金融机构、企业和个人投资者，采用集合竞价和大宗交易模式互相补充，市场流动性视具体品种不同。</w:t>
      </w:r>
    </w:p>
    <w:p w:rsidR="00C1769E" w:rsidRDefault="007B0020">
      <w:pPr>
        <w:pStyle w:val="a8"/>
        <w:numPr>
          <w:ilvl w:val="255"/>
          <w:numId w:val="0"/>
        </w:numPr>
        <w:overflowPunct w:val="0"/>
        <w:topLinePunct/>
        <w:autoSpaceDE w:val="0"/>
        <w:autoSpaceDN w:val="0"/>
        <w:spacing w:before="0" w:beforeAutospacing="0" w:after="0" w:afterAutospacing="0"/>
        <w:ind w:firstLine="420"/>
        <w:rPr>
          <w:rFonts w:ascii="宋体" w:eastAsia="宋体" w:hAnsi="宋体"/>
          <w:b/>
          <w:sz w:val="21"/>
          <w:szCs w:val="21"/>
        </w:rPr>
      </w:pPr>
      <w:r>
        <w:rPr>
          <w:rFonts w:ascii="宋体" w:eastAsia="宋体" w:hAnsi="宋体" w:hint="eastAsia"/>
          <w:b/>
          <w:sz w:val="21"/>
          <w:szCs w:val="21"/>
        </w:rPr>
        <w:t>本产品拟投资的具体资产可分为银行间债券、交易所债券和货币市场类，整体上银行间发行债券的流动性要优于交易所发行的债券，货币市场类一般投资期限较短，流动性也较好。银行间市场发行的债券可分为三大类：第一类是银行间发行的国债、央票和政策性金融债，这三类债券的流动性最好。第二类是银行间发行的短期融资券、超短期融资券、中期票据和企业债，这几类信用债按照信用等级的不同，高等级的流动性优于中低等级，成交活跃品种以信用等级为</w:t>
      </w:r>
      <w:r>
        <w:rPr>
          <w:rFonts w:ascii="宋体" w:eastAsia="宋体" w:hAnsi="宋体"/>
          <w:b/>
          <w:sz w:val="21"/>
          <w:szCs w:val="21"/>
        </w:rPr>
        <w:t>AAA的债券为主。第三类是地方政府债、政策性银行之外金融机构发行的金融债（商业银行债、商业银行次级债券、保险公司债、证券公司债、证券公司短期融资</w:t>
      </w:r>
      <w:r>
        <w:rPr>
          <w:rFonts w:ascii="宋体" w:eastAsia="宋体" w:hAnsi="宋体" w:hint="eastAsia"/>
          <w:b/>
          <w:sz w:val="21"/>
          <w:szCs w:val="21"/>
        </w:rPr>
        <w:t>券和其它金融机构债）和资产支持证券，资产支持证券成交活跃度相对较低。交易所发行的债券也可分为三大类，一是流动性较好的国债；二是交易所发行的企业债和公募公司债，这两类信用债的个券流动性差异很大，部分债券竞价交易经常多日未有成交，成交活跃券种仍集中在</w:t>
      </w:r>
      <w:r>
        <w:rPr>
          <w:rFonts w:ascii="宋体" w:eastAsia="宋体" w:hAnsi="宋体"/>
          <w:b/>
          <w:sz w:val="21"/>
          <w:szCs w:val="21"/>
        </w:rPr>
        <w:t>AAA的高等级债券。三是交易所发行的地方政府债、证券公司</w:t>
      </w:r>
      <w:r>
        <w:rPr>
          <w:rFonts w:ascii="宋体" w:eastAsia="宋体" w:hAnsi="宋体"/>
          <w:b/>
          <w:sz w:val="21"/>
          <w:szCs w:val="21"/>
        </w:rPr>
        <w:lastRenderedPageBreak/>
        <w:t>债和政策银行债，这几类债券的成交量</w:t>
      </w:r>
      <w:r>
        <w:rPr>
          <w:rFonts w:ascii="宋体" w:eastAsia="宋体" w:hAnsi="宋体" w:hint="eastAsia"/>
          <w:b/>
          <w:sz w:val="21"/>
          <w:szCs w:val="21"/>
        </w:rPr>
        <w:t>占比较小。尤其是政策银行债因主要在银行间发行，交易所发行量较少，成交相对不活跃。货币市场类资产主要包括同业存单、债券回购和存款。同业存单在银行间发行和交易，单只发行金额一般较大，</w:t>
      </w:r>
      <w:r>
        <w:rPr>
          <w:rFonts w:ascii="宋体" w:eastAsia="宋体" w:hAnsi="宋体"/>
          <w:b/>
          <w:sz w:val="21"/>
          <w:szCs w:val="21"/>
        </w:rPr>
        <w:t>AAA存单的流动性最好，在二级市场交易活跃。债券回购有确定的到期日限制，到期前无法为流动性变现提供帮助，但相对其他可投资产来说，债券回购的期限较短。银行存款分为有提前支取条款和无提前支取条款两类，一般可提前支取的流动性好于不可提前支取的存款，但可提前支取也要看是否有额外的附加条款。</w:t>
      </w:r>
    </w:p>
    <w:p w:rsidR="00C1769E" w:rsidRDefault="007B0020" w:rsidP="007B0020">
      <w:pPr>
        <w:pStyle w:val="a8"/>
        <w:numPr>
          <w:ilvl w:val="0"/>
          <w:numId w:val="3"/>
        </w:numPr>
        <w:overflowPunct w:val="0"/>
        <w:topLinePunct/>
        <w:autoSpaceDE w:val="0"/>
        <w:autoSpaceDN w:val="0"/>
        <w:spacing w:before="0" w:beforeAutospacing="0" w:after="0" w:afterAutospacing="0"/>
        <w:ind w:left="0" w:firstLine="851"/>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拟运用的流动性风险应对措施及其使用情形、处理方法、程序及对投资者的潜在影响</w:t>
      </w:r>
    </w:p>
    <w:p w:rsidR="00C1769E" w:rsidRDefault="007B0020">
      <w:pPr>
        <w:pStyle w:val="a8"/>
        <w:numPr>
          <w:ilvl w:val="255"/>
          <w:numId w:val="0"/>
        </w:numPr>
        <w:overflowPunct w:val="0"/>
        <w:topLinePunct/>
        <w:autoSpaceDE w:val="0"/>
        <w:autoSpaceDN w:val="0"/>
        <w:spacing w:before="0" w:beforeAutospacing="0" w:after="0" w:afterAutospacing="0"/>
        <w:ind w:firstLine="420"/>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理财产品管理人可依照法律法规及本《产品说明书》的约定，综合运用各类流动性风险应对措施，对认（申）购和赎回申请进行适度调整，流动性风险应对措施分为认（申）购风险应对措施和赎回风险应对措施。</w:t>
      </w:r>
    </w:p>
    <w:p w:rsidR="00C1769E" w:rsidRDefault="007B0020" w:rsidP="007B0020">
      <w:pPr>
        <w:pStyle w:val="a8"/>
        <w:numPr>
          <w:ilvl w:val="0"/>
          <w:numId w:val="4"/>
        </w:numPr>
        <w:overflowPunct w:val="0"/>
        <w:topLinePunct/>
        <w:autoSpaceDE w:val="0"/>
        <w:autoSpaceDN w:val="0"/>
        <w:spacing w:before="0" w:beforeAutospacing="0" w:after="0" w:afterAutospacing="0"/>
        <w:ind w:firstLineChars="200" w:firstLine="422"/>
        <w:jc w:val="both"/>
        <w:rPr>
          <w:rFonts w:ascii="Times New Roman" w:eastAsiaTheme="minorEastAsia" w:hAnsi="Times New Roman" w:cstheme="minorBidi"/>
          <w:b/>
          <w:kern w:val="2"/>
          <w:sz w:val="21"/>
          <w:szCs w:val="20"/>
        </w:rPr>
      </w:pPr>
      <w:r>
        <w:rPr>
          <w:rFonts w:ascii="Times New Roman" w:eastAsiaTheme="minorEastAsia" w:hAnsi="Times New Roman" w:cstheme="minorBidi" w:hint="eastAsia"/>
          <w:b/>
          <w:kern w:val="2"/>
          <w:sz w:val="21"/>
          <w:szCs w:val="20"/>
        </w:rPr>
        <w:t>认（申）购风险应对措施</w:t>
      </w:r>
    </w:p>
    <w:p w:rsidR="00C1769E" w:rsidRDefault="007B0020">
      <w:pPr>
        <w:pStyle w:val="a8"/>
        <w:numPr>
          <w:ilvl w:val="255"/>
          <w:numId w:val="0"/>
        </w:numPr>
        <w:overflowPunct w:val="0"/>
        <w:topLinePunct/>
        <w:autoSpaceDE w:val="0"/>
        <w:autoSpaceDN w:val="0"/>
        <w:spacing w:before="0" w:beforeAutospacing="0" w:after="0" w:afterAutospacing="0"/>
        <w:ind w:firstLineChars="200" w:firstLine="422"/>
        <w:jc w:val="both"/>
        <w:rPr>
          <w:rFonts w:ascii="Times New Roman" w:eastAsiaTheme="minorEastAsia" w:hAnsi="Times New Roman" w:cstheme="minorBidi"/>
          <w:b/>
          <w:kern w:val="2"/>
          <w:sz w:val="21"/>
          <w:szCs w:val="20"/>
        </w:rPr>
      </w:pPr>
      <w:r>
        <w:rPr>
          <w:rFonts w:asciiTheme="minorEastAsia" w:eastAsiaTheme="minorEastAsia" w:hAnsiTheme="minorEastAsia" w:cs="Times New Roman" w:hint="eastAsia"/>
          <w:b/>
          <w:sz w:val="21"/>
          <w:szCs w:val="21"/>
        </w:rPr>
        <w:t>当接受认（申）购申请将导致产品规模大幅波动或超过上限，或对存量理财产品份额持有人利益构成潜在重大不利影响时，</w:t>
      </w:r>
      <w:r>
        <w:rPr>
          <w:rFonts w:ascii="宋体" w:eastAsia="宋体" w:hAnsi="宋体" w:hint="eastAsia"/>
          <w:b/>
          <w:sz w:val="21"/>
          <w:szCs w:val="21"/>
        </w:rPr>
        <w:t>或者基于投资运作与风险控制需要，</w:t>
      </w:r>
      <w:r>
        <w:rPr>
          <w:rFonts w:asciiTheme="minorEastAsia" w:eastAsiaTheme="minorEastAsia" w:hAnsiTheme="minorEastAsia" w:cs="Times New Roman" w:hint="eastAsia"/>
          <w:b/>
          <w:sz w:val="21"/>
          <w:szCs w:val="21"/>
        </w:rPr>
        <w:t>理财产品管理人将采取设定单一投资者认（申）购金额上限、拒绝巨额认（申）购、暂停认（申）购等措施，保护存量理财产品份额持有人的合法权益。实施认（申）购风险应对措施的情形、处理方式及程序详见本《产品说明书》“六、申购和赎回”部分的相关约定。若实施认（申）购风险应对措施，投资者可能无法正常提交认（申）购申请，已经提交的认（申）购申请可能被拒绝接受。</w:t>
      </w:r>
    </w:p>
    <w:p w:rsidR="00C1769E" w:rsidRDefault="007B0020" w:rsidP="007B0020">
      <w:pPr>
        <w:pStyle w:val="a8"/>
        <w:numPr>
          <w:ilvl w:val="0"/>
          <w:numId w:val="4"/>
        </w:numPr>
        <w:overflowPunct w:val="0"/>
        <w:topLinePunct/>
        <w:autoSpaceDE w:val="0"/>
        <w:autoSpaceDN w:val="0"/>
        <w:spacing w:before="0" w:beforeAutospacing="0" w:after="0" w:afterAutospacing="0"/>
        <w:ind w:firstLineChars="200" w:firstLine="422"/>
        <w:jc w:val="both"/>
        <w:rPr>
          <w:rFonts w:ascii="Times New Roman" w:eastAsiaTheme="minorEastAsia" w:hAnsi="Times New Roman" w:cstheme="minorBidi"/>
          <w:b/>
          <w:kern w:val="2"/>
          <w:sz w:val="21"/>
          <w:szCs w:val="20"/>
        </w:rPr>
      </w:pPr>
      <w:r>
        <w:rPr>
          <w:rFonts w:ascii="Times New Roman" w:eastAsiaTheme="minorEastAsia" w:hAnsi="Times New Roman" w:cstheme="minorBidi" w:hint="eastAsia"/>
          <w:b/>
          <w:kern w:val="2"/>
          <w:sz w:val="21"/>
          <w:szCs w:val="20"/>
        </w:rPr>
        <w:t>赎回风险应对措施</w:t>
      </w:r>
    </w:p>
    <w:p w:rsidR="00C1769E" w:rsidRDefault="007B0020" w:rsidP="007B0020">
      <w:pPr>
        <w:pStyle w:val="a8"/>
        <w:numPr>
          <w:ilvl w:val="0"/>
          <w:numId w:val="5"/>
        </w:numPr>
        <w:overflowPunct w:val="0"/>
        <w:topLinePunct/>
        <w:autoSpaceDE w:val="0"/>
        <w:autoSpaceDN w:val="0"/>
        <w:spacing w:before="0" w:beforeAutospacing="0" w:after="0" w:afterAutospacing="0"/>
        <w:ind w:left="0" w:firstLineChars="200" w:firstLine="422"/>
        <w:jc w:val="both"/>
        <w:rPr>
          <w:rFonts w:ascii="Times New Roman" w:eastAsiaTheme="minorEastAsia" w:hAnsi="Times New Roman" w:cstheme="minorBidi"/>
          <w:b/>
          <w:kern w:val="2"/>
          <w:sz w:val="21"/>
          <w:szCs w:val="20"/>
        </w:rPr>
      </w:pPr>
      <w:r>
        <w:rPr>
          <w:rFonts w:ascii="Times New Roman" w:eastAsiaTheme="minorEastAsia" w:hAnsi="Times New Roman" w:cstheme="minorBidi" w:hint="eastAsia"/>
          <w:b/>
          <w:kern w:val="2"/>
          <w:sz w:val="21"/>
          <w:szCs w:val="20"/>
        </w:rPr>
        <w:t>延期办理巨额赎回申请：当本理财产品触发巨额赎回限制时，产品管理人可以延期办理巨额赎回申请，详见本《产品说明书》“六、申购和赎回”部分关于巨额赎回的相关约定。当实施延期办理巨额赎回申请的措施时，投资者的赎回申请将无法按时全额获得确认，投资者自身的流动性可能受到影响，并将额外承担市场波动对理财产品净值的影响。</w:t>
      </w:r>
    </w:p>
    <w:p w:rsidR="00C1769E" w:rsidRDefault="007B0020" w:rsidP="007B0020">
      <w:pPr>
        <w:pStyle w:val="a8"/>
        <w:numPr>
          <w:ilvl w:val="0"/>
          <w:numId w:val="5"/>
        </w:numPr>
        <w:overflowPunct w:val="0"/>
        <w:topLinePunct/>
        <w:autoSpaceDE w:val="0"/>
        <w:autoSpaceDN w:val="0"/>
        <w:spacing w:before="0" w:beforeAutospacing="0" w:after="0" w:afterAutospacing="0"/>
        <w:ind w:left="0" w:firstLineChars="200" w:firstLine="422"/>
        <w:jc w:val="both"/>
        <w:rPr>
          <w:rFonts w:ascii="Times New Roman" w:eastAsiaTheme="minorEastAsia" w:hAnsi="Times New Roman" w:cstheme="minorBidi"/>
          <w:b/>
          <w:kern w:val="2"/>
          <w:sz w:val="21"/>
          <w:szCs w:val="20"/>
        </w:rPr>
      </w:pPr>
      <w:r>
        <w:rPr>
          <w:rFonts w:ascii="Times New Roman" w:eastAsiaTheme="minorEastAsia" w:hAnsi="Times New Roman" w:cstheme="minorBidi" w:hint="eastAsia"/>
          <w:b/>
          <w:kern w:val="2"/>
          <w:sz w:val="21"/>
          <w:szCs w:val="20"/>
        </w:rPr>
        <w:t>暂停接受赎回申请或延缓支付赎回款项：实施暂停接受赎回申请或延缓支付赎回款项的情形、处理方式及程序详见本《产品说明书》“六、申购和赎回”关于暂停接受赎回申请或延缓支付赎回款项的相关约定。若实施暂停接受赎回申请的措施，投资者一方面不能赎回理财产品份额，可能影响自身的流动性，另一方面将承担额外的市场波动对理财产品净值的影响；若实施延缓支付赎回款项，投资者不能如期获得全额赎回款，自身的流动性可能受到影响。</w:t>
      </w:r>
    </w:p>
    <w:p w:rsidR="00C1769E" w:rsidRDefault="007B0020" w:rsidP="007B0020">
      <w:pPr>
        <w:pStyle w:val="a8"/>
        <w:numPr>
          <w:ilvl w:val="0"/>
          <w:numId w:val="5"/>
        </w:numPr>
        <w:overflowPunct w:val="0"/>
        <w:topLinePunct/>
        <w:autoSpaceDE w:val="0"/>
        <w:autoSpaceDN w:val="0"/>
        <w:spacing w:before="0" w:beforeAutospacing="0" w:after="0" w:afterAutospacing="0"/>
        <w:ind w:left="0" w:firstLineChars="200" w:firstLine="422"/>
        <w:jc w:val="both"/>
        <w:rPr>
          <w:rFonts w:ascii="Times New Roman" w:eastAsiaTheme="minorEastAsia" w:hAnsi="Times New Roman" w:cstheme="minorBidi"/>
          <w:b/>
          <w:kern w:val="2"/>
          <w:sz w:val="21"/>
          <w:szCs w:val="20"/>
        </w:rPr>
      </w:pPr>
      <w:r>
        <w:rPr>
          <w:rFonts w:ascii="Times New Roman" w:eastAsiaTheme="minorEastAsia" w:hAnsi="Times New Roman" w:cstheme="minorBidi" w:hint="eastAsia"/>
          <w:b/>
          <w:kern w:val="2"/>
          <w:sz w:val="21"/>
          <w:szCs w:val="20"/>
        </w:rPr>
        <w:t>暂停理财产品估值：暂停理财产品估值的情形详见本《产品说明书》关于暂停理财产品估值情形的相关约定。若实施暂停理财产品估值，理财产品管理人会采取延缓支付赎回款项或暂停接受理财产品申购赎回申请的措施，对投资者产生的风险如前所述。</w:t>
      </w:r>
    </w:p>
    <w:p w:rsidR="00C1769E" w:rsidRDefault="007B0020" w:rsidP="007B0020">
      <w:pPr>
        <w:pStyle w:val="a8"/>
        <w:numPr>
          <w:ilvl w:val="0"/>
          <w:numId w:val="4"/>
        </w:numPr>
        <w:overflowPunct w:val="0"/>
        <w:topLinePunct/>
        <w:autoSpaceDE w:val="0"/>
        <w:autoSpaceDN w:val="0"/>
        <w:spacing w:before="0" w:beforeAutospacing="0" w:after="0" w:afterAutospacing="0"/>
        <w:jc w:val="both"/>
        <w:rPr>
          <w:rFonts w:ascii="Times New Roman" w:eastAsiaTheme="minorEastAsia" w:hAnsi="Times New Roman" w:cstheme="minorBidi"/>
          <w:b/>
          <w:kern w:val="2"/>
          <w:sz w:val="21"/>
          <w:szCs w:val="20"/>
        </w:rPr>
      </w:pPr>
      <w:r>
        <w:rPr>
          <w:rFonts w:ascii="Times New Roman" w:eastAsiaTheme="minorEastAsia" w:hAnsi="Times New Roman" w:cstheme="minorBidi" w:hint="eastAsia"/>
          <w:b/>
          <w:kern w:val="2"/>
          <w:sz w:val="21"/>
          <w:szCs w:val="20"/>
        </w:rPr>
        <w:t>如本理财产品采用国家金融监督管理机构规定的其他流动性风险控制措施或对上述流动性风险应对措施的使用情形、处理方法、程序进行调整，将在正式实施前至少</w:t>
      </w:r>
      <w:r>
        <w:rPr>
          <w:rFonts w:ascii="Times New Roman" w:eastAsiaTheme="minorEastAsia" w:hAnsi="Times New Roman" w:cstheme="minorBidi"/>
          <w:b/>
          <w:kern w:val="2"/>
          <w:sz w:val="21"/>
          <w:szCs w:val="20"/>
        </w:rPr>
        <w:t>3</w:t>
      </w:r>
      <w:r>
        <w:rPr>
          <w:rFonts w:ascii="Times New Roman" w:eastAsiaTheme="minorEastAsia" w:hAnsi="Times New Roman" w:cstheme="minorBidi" w:hint="eastAsia"/>
          <w:b/>
          <w:kern w:val="2"/>
          <w:sz w:val="21"/>
          <w:szCs w:val="20"/>
        </w:rPr>
        <w:t>个工作日通过相应信息披露渠道披露，并在理财产品销售文件中约定或更新相关措施的使用情形、处理方法、程序及对投资者的潜在影响。</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操作风险：产品运作过程中，因内部控制存在缺陷或者人为因素造成操作失误或违反操作规程等引致的风险，例如，越权违规交易、交易错误、</w:t>
      </w:r>
      <w:r>
        <w:rPr>
          <w:rFonts w:asciiTheme="minorEastAsia" w:eastAsiaTheme="minorEastAsia" w:hAnsiTheme="minorEastAsia" w:cs="Times New Roman"/>
          <w:b/>
          <w:sz w:val="21"/>
          <w:szCs w:val="21"/>
        </w:rPr>
        <w:t>IT系统故障等风险。</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管理风险：由于本理财产品管理人受技能和管理水平等因素的限制，可能会影响本理财产品的本金和投资收益，导致本金遭受损失和理财收益处于较低水平甚至为零的风险。</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lastRenderedPageBreak/>
        <w:t>法律风险：法律风险包括但不限于因监管措施和解决民商事争议而支付的罚款、罚金、违约金或者赔偿金所导致的风险。</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政策风险：本理财产品是针对当前的相关法规和政策设计的，如国家宏观政策以及市场相关法规政策发生变化，可能影响本理财产品的受理、投资、偿还等的正常进行，甚至导致本理财产品收益降低甚至本金损失。</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产品不成立风险：如果因不可抗力、募集规模低于说明书约定的最低规模（如有）或其他因素导致产品管理人宣布本理财产品不成立的情形，投资者将面临再投资风险。</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提前终止的风险：在投资期内，如本理财产品发生本《产品说明书》“七、提前终止”部分规定的情形，理财产品管理人有权提前终止本理财产品，投资者可能面临不能实现收益目标及不能进行再投资的风险。</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信息传递风险：本理财产品存续期内，投资者应根据本《产品说明书》所载明的信息披露方式及时、主动查询本理财产品的相关信息。如果投资者未及时、主动查询，或由于通讯故障、系统故障以及其他不可抗力等因素的影响使得投资者无法及时了解产品信息，并由此产生的责任和风险由投资者自行承担。</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赎回款项支付延迟风险：如因本产品项下对应的金融资产延期或无法变现等原因造成本产品不能按时支付赎回款项，或因技术因素而产生的风险，如电脑系统故障等，可能会造成赎回款项支付延迟，投资者将面临无法及时获得赎回款项的风险。</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投资标的特有风险：</w:t>
      </w:r>
    </w:p>
    <w:p w:rsidR="00C1769E" w:rsidRDefault="007B0020" w:rsidP="007B0020">
      <w:pPr>
        <w:pStyle w:val="a8"/>
        <w:numPr>
          <w:ilvl w:val="0"/>
          <w:numId w:val="6"/>
        </w:numPr>
        <w:overflowPunct w:val="0"/>
        <w:topLinePunct/>
        <w:autoSpaceDE w:val="0"/>
        <w:autoSpaceDN w:val="0"/>
        <w:spacing w:before="0" w:beforeAutospacing="0" w:after="0" w:afterAutospacing="0"/>
        <w:ind w:firstLine="71"/>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货币市场工具投资风险</w:t>
      </w:r>
    </w:p>
    <w:p w:rsidR="00C1769E" w:rsidRDefault="007B0020" w:rsidP="007B0020">
      <w:pPr>
        <w:pStyle w:val="ListParagraph1"/>
        <w:numPr>
          <w:ilvl w:val="0"/>
          <w:numId w:val="7"/>
        </w:numPr>
        <w:overflowPunct w:val="0"/>
        <w:topLinePunct/>
        <w:autoSpaceDE w:val="0"/>
        <w:autoSpaceDN w:val="0"/>
        <w:ind w:firstLine="422"/>
        <w:rPr>
          <w:rFonts w:asciiTheme="minorEastAsia" w:eastAsiaTheme="minorEastAsia" w:hAnsiTheme="minorEastAsia"/>
          <w:b/>
        </w:rPr>
      </w:pPr>
      <w:r>
        <w:rPr>
          <w:rFonts w:asciiTheme="minorEastAsia" w:eastAsiaTheme="minorEastAsia" w:hAnsiTheme="minorEastAsia" w:hint="eastAsia"/>
          <w:b/>
        </w:rPr>
        <w:t>本理财产品作为资金借出方参与货币市场工具交易时，交易对手可能无法及时偿还全部或部分本金和</w:t>
      </w:r>
      <w:r>
        <w:rPr>
          <w:rFonts w:asciiTheme="minorEastAsia" w:eastAsiaTheme="minorEastAsia" w:hAnsiTheme="minorEastAsia"/>
          <w:b/>
        </w:rPr>
        <w:t>/或收益，导致理财产品收益下降甚至本金损失；</w:t>
      </w:r>
    </w:p>
    <w:p w:rsidR="00C1769E" w:rsidRDefault="007B0020" w:rsidP="007B0020">
      <w:pPr>
        <w:pStyle w:val="ListParagraph1"/>
        <w:numPr>
          <w:ilvl w:val="0"/>
          <w:numId w:val="7"/>
        </w:numPr>
        <w:overflowPunct w:val="0"/>
        <w:topLinePunct/>
        <w:autoSpaceDE w:val="0"/>
        <w:autoSpaceDN w:val="0"/>
        <w:ind w:firstLine="422"/>
        <w:rPr>
          <w:rFonts w:asciiTheme="minorEastAsia" w:eastAsiaTheme="minorEastAsia" w:hAnsiTheme="minorEastAsia"/>
          <w:b/>
        </w:rPr>
      </w:pPr>
      <w:r>
        <w:rPr>
          <w:rFonts w:asciiTheme="minorEastAsia" w:eastAsiaTheme="minorEastAsia" w:hAnsiTheme="minorEastAsia" w:hint="eastAsia"/>
          <w:b/>
        </w:rPr>
        <w:t>本理财产品作为资金借入方参与货币市场工具交易时，交易利率可能大于债券投资收益，进而导致理财产品收益下降甚至本金损失。</w:t>
      </w:r>
    </w:p>
    <w:p w:rsidR="00C1769E" w:rsidRDefault="007B0020" w:rsidP="007B0020">
      <w:pPr>
        <w:pStyle w:val="ListParagraph1"/>
        <w:numPr>
          <w:ilvl w:val="0"/>
          <w:numId w:val="7"/>
        </w:numPr>
        <w:overflowPunct w:val="0"/>
        <w:topLinePunct/>
        <w:autoSpaceDE w:val="0"/>
        <w:autoSpaceDN w:val="0"/>
        <w:ind w:firstLine="422"/>
        <w:rPr>
          <w:rFonts w:asciiTheme="minorEastAsia" w:eastAsiaTheme="minorEastAsia" w:hAnsiTheme="minorEastAsia"/>
          <w:b/>
        </w:rPr>
      </w:pPr>
      <w:r>
        <w:rPr>
          <w:rFonts w:asciiTheme="minorEastAsia" w:eastAsiaTheme="minorEastAsia" w:hAnsiTheme="minorEastAsia" w:hint="eastAsia"/>
          <w:b/>
        </w:rPr>
        <w:t>本理财产品作为资金借入方参与货币市场工具交易，将增大产品投资总量，放大投资组合风险。资金借入比例越高，风险暴露程度越高，理财产品收益下降甚至本金损失的可能性越大。</w:t>
      </w:r>
    </w:p>
    <w:p w:rsidR="00C1769E" w:rsidRDefault="007B0020" w:rsidP="007B0020">
      <w:pPr>
        <w:pStyle w:val="a8"/>
        <w:numPr>
          <w:ilvl w:val="0"/>
          <w:numId w:val="6"/>
        </w:numPr>
        <w:overflowPunct w:val="0"/>
        <w:topLinePunct/>
        <w:autoSpaceDE w:val="0"/>
        <w:autoSpaceDN w:val="0"/>
        <w:spacing w:before="0" w:beforeAutospacing="0" w:after="0" w:afterAutospacing="0"/>
        <w:ind w:firstLine="71"/>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债券投资风险</w:t>
      </w:r>
    </w:p>
    <w:p w:rsidR="00C1769E" w:rsidRDefault="007B0020" w:rsidP="007B0020">
      <w:pPr>
        <w:pStyle w:val="ListParagraph1"/>
        <w:numPr>
          <w:ilvl w:val="0"/>
          <w:numId w:val="8"/>
        </w:numPr>
        <w:overflowPunct w:val="0"/>
        <w:topLinePunct/>
        <w:autoSpaceDE w:val="0"/>
        <w:autoSpaceDN w:val="0"/>
        <w:ind w:firstLine="422"/>
        <w:rPr>
          <w:rFonts w:asciiTheme="minorEastAsia" w:eastAsiaTheme="minorEastAsia" w:hAnsiTheme="minorEastAsia"/>
          <w:b/>
        </w:rPr>
      </w:pPr>
      <w:r>
        <w:rPr>
          <w:rFonts w:asciiTheme="minorEastAsia" w:eastAsiaTheme="minorEastAsia" w:hAnsiTheme="minorEastAsia" w:hint="eastAsia"/>
          <w:b/>
        </w:rPr>
        <w:t>市场风险</w:t>
      </w:r>
    </w:p>
    <w:p w:rsidR="00C1769E" w:rsidRDefault="007B0020">
      <w:pPr>
        <w:overflowPunct w:val="0"/>
        <w:topLinePunct/>
        <w:autoSpaceDE w:val="0"/>
        <w:autoSpaceDN w:val="0"/>
        <w:ind w:firstLineChars="200" w:firstLine="422"/>
        <w:rPr>
          <w:rFonts w:asciiTheme="minorEastAsia" w:hAnsiTheme="minorEastAsia"/>
          <w:b/>
        </w:rPr>
      </w:pPr>
      <w:r>
        <w:rPr>
          <w:rFonts w:asciiTheme="minorEastAsia" w:hAnsiTheme="minorEastAsia" w:hint="eastAsia"/>
          <w:b/>
        </w:rPr>
        <w:t>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rsidR="00C1769E" w:rsidRDefault="007B0020" w:rsidP="007B0020">
      <w:pPr>
        <w:pStyle w:val="ListParagraph1"/>
        <w:numPr>
          <w:ilvl w:val="0"/>
          <w:numId w:val="8"/>
        </w:numPr>
        <w:overflowPunct w:val="0"/>
        <w:topLinePunct/>
        <w:autoSpaceDE w:val="0"/>
        <w:autoSpaceDN w:val="0"/>
        <w:ind w:firstLine="422"/>
        <w:rPr>
          <w:rFonts w:asciiTheme="minorEastAsia" w:eastAsiaTheme="minorEastAsia" w:hAnsiTheme="minorEastAsia"/>
          <w:b/>
        </w:rPr>
      </w:pPr>
      <w:r>
        <w:rPr>
          <w:rFonts w:asciiTheme="minorEastAsia" w:eastAsiaTheme="minorEastAsia" w:hAnsiTheme="minorEastAsia" w:hint="eastAsia"/>
          <w:b/>
        </w:rPr>
        <w:t>信用风险</w:t>
      </w:r>
    </w:p>
    <w:p w:rsidR="00C1769E" w:rsidRDefault="007B0020">
      <w:pPr>
        <w:overflowPunct w:val="0"/>
        <w:topLinePunct/>
        <w:autoSpaceDE w:val="0"/>
        <w:autoSpaceDN w:val="0"/>
        <w:ind w:firstLineChars="200" w:firstLine="422"/>
        <w:rPr>
          <w:rFonts w:asciiTheme="minorEastAsia" w:hAnsiTheme="minorEastAsia"/>
          <w:b/>
        </w:rPr>
      </w:pPr>
      <w:r>
        <w:rPr>
          <w:rFonts w:asciiTheme="minorEastAsia" w:hAnsiTheme="minorEastAsia" w:hint="eastAsia"/>
          <w:b/>
        </w:rPr>
        <w:t>债券的发行人和</w:t>
      </w:r>
      <w:r>
        <w:rPr>
          <w:rFonts w:asciiTheme="minorEastAsia" w:hAnsiTheme="minorEastAsia"/>
          <w:b/>
        </w:rPr>
        <w:t>/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本金损失。资产支持证券项下的基础资产如发生原始权益人破产或基础资产项下现金流未能及时完整取得等情况，资产支持证券的收益将受到影响，可能导致理财产品收益下降甚至本金损失。</w:t>
      </w:r>
    </w:p>
    <w:p w:rsidR="00C1769E" w:rsidRDefault="007B0020" w:rsidP="007B0020">
      <w:pPr>
        <w:pStyle w:val="a8"/>
        <w:numPr>
          <w:ilvl w:val="0"/>
          <w:numId w:val="6"/>
        </w:numPr>
        <w:overflowPunct w:val="0"/>
        <w:topLinePunct/>
        <w:autoSpaceDE w:val="0"/>
        <w:autoSpaceDN w:val="0"/>
        <w:spacing w:before="0" w:beforeAutospacing="0" w:after="0" w:afterAutospacing="0"/>
        <w:ind w:firstLine="71"/>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t>资产管理产品投资风险（如有）</w:t>
      </w:r>
    </w:p>
    <w:p w:rsidR="00C1769E" w:rsidRDefault="007B0020">
      <w:pPr>
        <w:overflowPunct w:val="0"/>
        <w:topLinePunct/>
        <w:autoSpaceDE w:val="0"/>
        <w:autoSpaceDN w:val="0"/>
        <w:ind w:firstLineChars="200" w:firstLine="422"/>
        <w:rPr>
          <w:rFonts w:asciiTheme="minorEastAsia" w:hAnsiTheme="minorEastAsia"/>
          <w:b/>
        </w:rPr>
      </w:pPr>
      <w:r>
        <w:rPr>
          <w:rFonts w:asciiTheme="minorEastAsia" w:hAnsiTheme="minorEastAsia" w:hint="eastAsia"/>
          <w:b/>
        </w:rPr>
        <w:t>本理财产品通过其他资产管理产品投资时，可能因相关受托人、产品管理人违反法律法规和</w:t>
      </w:r>
      <w:r>
        <w:rPr>
          <w:rFonts w:asciiTheme="minorEastAsia" w:hAnsiTheme="minorEastAsia"/>
          <w:b/>
        </w:rPr>
        <w:t>/或合同约定、未尽职或发生其他情形，造成本理财产品所投资的资产管理产品的财产损失，进而导致本理财产品收益下降甚至本金损失。</w:t>
      </w:r>
    </w:p>
    <w:p w:rsidR="00C1769E" w:rsidRDefault="007B0020" w:rsidP="007B0020">
      <w:pPr>
        <w:pStyle w:val="a8"/>
        <w:numPr>
          <w:ilvl w:val="3"/>
          <w:numId w:val="2"/>
        </w:numPr>
        <w:overflowPunct w:val="0"/>
        <w:topLinePunct/>
        <w:autoSpaceDE w:val="0"/>
        <w:autoSpaceDN w:val="0"/>
        <w:spacing w:before="0" w:beforeAutospacing="0" w:after="0" w:afterAutospacing="0"/>
        <w:ind w:left="0" w:firstLine="426"/>
        <w:rPr>
          <w:rFonts w:asciiTheme="minorEastAsia" w:eastAsiaTheme="minorEastAsia" w:hAnsiTheme="minorEastAsia" w:cs="Times New Roman"/>
          <w:b/>
          <w:sz w:val="21"/>
          <w:szCs w:val="21"/>
        </w:rPr>
      </w:pPr>
      <w:r>
        <w:rPr>
          <w:rFonts w:asciiTheme="minorEastAsia" w:eastAsiaTheme="minorEastAsia" w:hAnsiTheme="minorEastAsia" w:cs="Times New Roman" w:hint="eastAsia"/>
          <w:b/>
          <w:sz w:val="21"/>
          <w:szCs w:val="21"/>
        </w:rPr>
        <w:lastRenderedPageBreak/>
        <w:t>其他风险：包括但不限于自然灾害、金融市场危机、战争等不可抗力因素造成的相关投资风险。理财产品管理人在代理本理财产品买卖投资标的物时，交易对手可能为理财产品管理人。理财产品管理人将秉承公允市价交易的原则进行交易，并且保留交易记录以备相关部门查询。</w:t>
      </w:r>
    </w:p>
    <w:p w:rsidR="00C1769E" w:rsidRDefault="007B0020">
      <w:pPr>
        <w:pStyle w:val="a8"/>
        <w:overflowPunct w:val="0"/>
        <w:topLinePunct/>
        <w:autoSpaceDE w:val="0"/>
        <w:autoSpaceDN w:val="0"/>
        <w:spacing w:before="0" w:beforeAutospacing="0" w:after="0" w:afterAutospacing="0"/>
        <w:ind w:firstLine="420"/>
        <w:rPr>
          <w:rFonts w:asciiTheme="minorEastAsia" w:eastAsiaTheme="minorEastAsia" w:hAnsiTheme="minorEastAsia"/>
          <w:b/>
          <w:sz w:val="21"/>
          <w:szCs w:val="21"/>
        </w:rPr>
      </w:pPr>
      <w:r>
        <w:rPr>
          <w:rFonts w:asciiTheme="minorEastAsia" w:eastAsiaTheme="minorEastAsia" w:hAnsiTheme="minorEastAsia" w:cs="Times New Roman" w:hint="eastAsia"/>
          <w:b/>
          <w:sz w:val="21"/>
          <w:szCs w:val="21"/>
        </w:rPr>
        <w:t>理财</w:t>
      </w:r>
      <w:r>
        <w:rPr>
          <w:rFonts w:asciiTheme="minorEastAsia" w:eastAsiaTheme="minorEastAsia" w:hAnsiTheme="minorEastAsia" w:hint="eastAsia"/>
          <w:b/>
          <w:sz w:val="21"/>
          <w:szCs w:val="21"/>
        </w:rPr>
        <w:t>产品管理人将本着“恪守信用、勤勉尽责”的原则管理和运用理财产品财产，但并不对本理财产品提供保证本金和收益的承诺。</w:t>
      </w:r>
    </w:p>
    <w:p w:rsidR="00C1769E" w:rsidRDefault="007B0020" w:rsidP="007B0020">
      <w:pPr>
        <w:pStyle w:val="10"/>
        <w:widowControl w:val="0"/>
        <w:numPr>
          <w:ilvl w:val="0"/>
          <w:numId w:val="1"/>
        </w:numPr>
        <w:ind w:left="0" w:firstLine="360"/>
        <w:jc w:val="both"/>
        <w:rPr>
          <w:rFonts w:asciiTheme="minorEastAsia" w:hAnsiTheme="minorEastAsia"/>
          <w:b/>
          <w:szCs w:val="20"/>
        </w:rPr>
      </w:pPr>
      <w:r>
        <w:rPr>
          <w:rFonts w:asciiTheme="minorEastAsia" w:hAnsiTheme="minorEastAsia" w:hint="eastAsia"/>
          <w:b/>
          <w:szCs w:val="20"/>
        </w:rPr>
        <w:t>投资者确认本《</w:t>
      </w:r>
      <w:r>
        <w:rPr>
          <w:rFonts w:asciiTheme="minorEastAsia" w:hAnsiTheme="minorEastAsia"/>
          <w:b/>
          <w:szCs w:val="20"/>
        </w:rPr>
        <w:t>风险揭示书</w:t>
      </w:r>
      <w:r>
        <w:rPr>
          <w:rFonts w:asciiTheme="minorEastAsia" w:hAnsiTheme="minorEastAsia" w:hint="eastAsia"/>
          <w:b/>
          <w:szCs w:val="20"/>
        </w:rPr>
        <w:t>》，即视为对《产品说明书》确认。</w:t>
      </w:r>
      <w:r>
        <w:rPr>
          <w:rFonts w:asciiTheme="minorEastAsia" w:hAnsiTheme="minorEastAsia"/>
          <w:b/>
          <w:szCs w:val="20"/>
        </w:rPr>
        <w:t>投资者应</w:t>
      </w:r>
      <w:r>
        <w:rPr>
          <w:rFonts w:asciiTheme="minorEastAsia" w:hAnsiTheme="minorEastAsia" w:hint="eastAsia"/>
          <w:b/>
          <w:szCs w:val="20"/>
        </w:rPr>
        <w:t>注意</w:t>
      </w:r>
      <w:r>
        <w:rPr>
          <w:rFonts w:asciiTheme="minorEastAsia" w:hAnsiTheme="minorEastAsia"/>
          <w:b/>
          <w:szCs w:val="20"/>
        </w:rPr>
        <w:t>投资风险，仔细</w:t>
      </w:r>
      <w:r>
        <w:rPr>
          <w:rFonts w:asciiTheme="minorEastAsia" w:hAnsiTheme="minorEastAsia" w:hint="eastAsia"/>
          <w:b/>
          <w:szCs w:val="20"/>
        </w:rPr>
        <w:t>阅读理财产品</w:t>
      </w:r>
      <w:r>
        <w:rPr>
          <w:rFonts w:asciiTheme="minorEastAsia" w:hAnsiTheme="minorEastAsia"/>
          <w:b/>
          <w:szCs w:val="20"/>
        </w:rPr>
        <w:t>销售文件</w:t>
      </w:r>
      <w:r>
        <w:rPr>
          <w:rFonts w:asciiTheme="minorEastAsia" w:hAnsiTheme="minorEastAsia" w:hint="eastAsia"/>
          <w:b/>
          <w:szCs w:val="20"/>
        </w:rPr>
        <w:t>，了解</w:t>
      </w:r>
      <w:r>
        <w:rPr>
          <w:rFonts w:asciiTheme="minorEastAsia" w:hAnsiTheme="minorEastAsia"/>
          <w:b/>
          <w:szCs w:val="20"/>
        </w:rPr>
        <w:t>理财产品具体情况</w:t>
      </w:r>
      <w:r>
        <w:rPr>
          <w:rFonts w:asciiTheme="minorEastAsia" w:hAnsiTheme="minorEastAsia" w:hint="eastAsia"/>
          <w:b/>
          <w:szCs w:val="20"/>
        </w:rPr>
        <w:t>。</w:t>
      </w:r>
    </w:p>
    <w:p w:rsidR="00C1769E" w:rsidRDefault="007B0020" w:rsidP="007B0020">
      <w:pPr>
        <w:pStyle w:val="10"/>
        <w:widowControl w:val="0"/>
        <w:numPr>
          <w:ilvl w:val="0"/>
          <w:numId w:val="1"/>
        </w:numPr>
        <w:jc w:val="both"/>
        <w:rPr>
          <w:rFonts w:asciiTheme="minorEastAsia" w:hAnsiTheme="minorEastAsia"/>
          <w:b/>
          <w:szCs w:val="20"/>
        </w:rPr>
      </w:pPr>
      <w:r>
        <w:rPr>
          <w:rFonts w:asciiTheme="minorEastAsia" w:hAnsiTheme="minorEastAsia" w:hint="eastAsia"/>
          <w:b/>
          <w:szCs w:val="20"/>
        </w:rPr>
        <w:t>特别提示</w:t>
      </w:r>
      <w:r>
        <w:rPr>
          <w:rFonts w:asciiTheme="minorEastAsia" w:hAnsiTheme="minorEastAsia"/>
          <w:b/>
          <w:szCs w:val="20"/>
        </w:rPr>
        <w:t>：</w:t>
      </w:r>
    </w:p>
    <w:p w:rsidR="00C1769E" w:rsidRDefault="007B0020">
      <w:pPr>
        <w:pStyle w:val="a8"/>
        <w:overflowPunct w:val="0"/>
        <w:topLinePunct/>
        <w:autoSpaceDE w:val="0"/>
        <w:autoSpaceDN w:val="0"/>
        <w:spacing w:before="0" w:beforeAutospacing="0" w:after="0" w:afterAutospacing="0"/>
        <w:ind w:firstLine="422"/>
        <w:jc w:val="both"/>
        <w:rPr>
          <w:rFonts w:asciiTheme="minorEastAsia" w:eastAsiaTheme="minorEastAsia" w:hAnsiTheme="minorEastAsia" w:cs="Times New Roman"/>
          <w:b/>
          <w:kern w:val="2"/>
          <w:sz w:val="21"/>
          <w:szCs w:val="21"/>
        </w:rPr>
      </w:pPr>
      <w:r>
        <w:rPr>
          <w:rFonts w:asciiTheme="minorEastAsia" w:eastAsiaTheme="minorEastAsia" w:hAnsiTheme="minorEastAsia" w:cs="Times New Roman" w:hint="eastAsia"/>
          <w:b/>
          <w:kern w:val="2"/>
          <w:sz w:val="21"/>
          <w:szCs w:val="21"/>
        </w:rPr>
        <w:t>本理财产品由中银理财有限责任公司（产品管理人）发行与管理。</w:t>
      </w:r>
    </w:p>
    <w:p w:rsidR="00C1769E" w:rsidRDefault="007B0020">
      <w:pPr>
        <w:pStyle w:val="a8"/>
        <w:overflowPunct w:val="0"/>
        <w:topLinePunct/>
        <w:autoSpaceDE w:val="0"/>
        <w:autoSpaceDN w:val="0"/>
        <w:spacing w:before="0" w:beforeAutospacing="0" w:after="0" w:afterAutospacing="0"/>
        <w:ind w:firstLine="422"/>
        <w:jc w:val="both"/>
        <w:rPr>
          <w:rFonts w:asciiTheme="minorEastAsia" w:eastAsiaTheme="minorEastAsia" w:hAnsiTheme="minorEastAsia"/>
          <w:b/>
        </w:rPr>
      </w:pPr>
      <w:r>
        <w:rPr>
          <w:rFonts w:asciiTheme="minorEastAsia" w:eastAsiaTheme="minorEastAsia" w:hAnsiTheme="minorEastAsia" w:cs="Times New Roman" w:hint="eastAsia"/>
          <w:b/>
          <w:kern w:val="2"/>
          <w:sz w:val="21"/>
          <w:szCs w:val="21"/>
        </w:rPr>
        <w:t>投资者理解并同意不以任何形式要求中银理财有限责任公司对上述理财产品出具直接或间接、显性或隐性的增信约定或承诺，如存在上述承诺均属无效，投资者不以此类增信约定或承诺向中银理财有限责任公司及其分支机构主张权利。</w:t>
      </w:r>
    </w:p>
    <w:p w:rsidR="00C1769E" w:rsidRDefault="007B0020">
      <w:pPr>
        <w:pStyle w:val="a8"/>
        <w:overflowPunct w:val="0"/>
        <w:topLinePunct/>
        <w:autoSpaceDE w:val="0"/>
        <w:autoSpaceDN w:val="0"/>
        <w:spacing w:before="0" w:beforeAutospacing="0" w:after="0" w:afterAutospacing="0"/>
        <w:ind w:firstLine="422"/>
        <w:jc w:val="both"/>
        <w:rPr>
          <w:rFonts w:asciiTheme="minorEastAsia" w:eastAsiaTheme="minorEastAsia" w:hAnsiTheme="minorEastAsia"/>
          <w:b/>
        </w:rPr>
      </w:pPr>
      <w:r>
        <w:rPr>
          <w:rFonts w:asciiTheme="minorEastAsia" w:eastAsiaTheme="minorEastAsia" w:hAnsiTheme="minorEastAsia" w:cs="Times New Roman" w:hint="eastAsia"/>
          <w:b/>
          <w:kern w:val="2"/>
          <w:sz w:val="21"/>
          <w:szCs w:val="21"/>
        </w:rPr>
        <w:t>如影响您风险承受能力的因素发生变化，请及时完成风险承受能力评估。</w:t>
      </w:r>
    </w:p>
    <w:p w:rsidR="00C1769E" w:rsidRDefault="007B0020">
      <w:pPr>
        <w:widowControl/>
        <w:jc w:val="left"/>
        <w:rPr>
          <w:rFonts w:asciiTheme="minorEastAsia" w:hAnsiTheme="minorEastAsia"/>
          <w:b/>
          <w:szCs w:val="20"/>
        </w:rPr>
      </w:pPr>
      <w:r>
        <w:rPr>
          <w:rFonts w:asciiTheme="minorEastAsia" w:hAnsiTheme="minorEastAsia"/>
          <w:b/>
          <w:szCs w:val="20"/>
        </w:rPr>
        <w:br w:type="page"/>
      </w:r>
    </w:p>
    <w:p w:rsidR="00C1769E" w:rsidRDefault="007B0020">
      <w:pPr>
        <w:spacing w:beforeLines="50" w:before="156" w:afterLines="50" w:after="156"/>
        <w:jc w:val="center"/>
        <w:rPr>
          <w:rFonts w:asciiTheme="minorEastAsia" w:hAnsiTheme="minorEastAsia"/>
          <w:b/>
          <w:sz w:val="24"/>
          <w:szCs w:val="20"/>
        </w:rPr>
      </w:pPr>
      <w:r>
        <w:rPr>
          <w:rFonts w:asciiTheme="minorEastAsia" w:hAnsiTheme="minorEastAsia" w:hint="eastAsia"/>
          <w:b/>
          <w:sz w:val="24"/>
          <w:szCs w:val="20"/>
        </w:rPr>
        <w:lastRenderedPageBreak/>
        <w:t>二、投资者确认部分</w:t>
      </w:r>
    </w:p>
    <w:p w:rsidR="00C1769E" w:rsidRDefault="00C1769E">
      <w:pPr>
        <w:ind w:firstLine="420"/>
        <w:rPr>
          <w:rFonts w:asciiTheme="minorEastAsia" w:hAnsiTheme="minorEastAsia"/>
          <w:color w:val="000000" w:themeColor="text1"/>
          <w:szCs w:val="20"/>
        </w:rPr>
      </w:pPr>
    </w:p>
    <w:p w:rsidR="00C1769E" w:rsidRDefault="007B0020" w:rsidP="007B0020">
      <w:pPr>
        <w:numPr>
          <w:ilvl w:val="0"/>
          <w:numId w:val="9"/>
        </w:numPr>
        <w:ind w:left="709" w:hanging="283"/>
        <w:rPr>
          <w:rFonts w:asciiTheme="minorEastAsia" w:hAnsiTheme="minorEastAsia"/>
          <w:color w:val="000000" w:themeColor="text1"/>
          <w:szCs w:val="20"/>
        </w:rPr>
      </w:pPr>
      <w:r>
        <w:rPr>
          <w:rFonts w:asciiTheme="minorEastAsia" w:hAnsiTheme="minorEastAsia"/>
          <w:color w:val="000000" w:themeColor="text1"/>
          <w:szCs w:val="20"/>
        </w:rPr>
        <w:t>个人投资者确认</w:t>
      </w:r>
    </w:p>
    <w:p w:rsidR="00C1769E" w:rsidRDefault="00C1769E">
      <w:pPr>
        <w:ind w:left="840"/>
        <w:rPr>
          <w:rFonts w:asciiTheme="minorEastAsia" w:hAnsiTheme="minorEastAsia"/>
          <w:color w:val="000000" w:themeColor="text1"/>
          <w:szCs w:val="20"/>
        </w:rPr>
      </w:pPr>
    </w:p>
    <w:p w:rsidR="00C1769E" w:rsidRDefault="007B0020">
      <w:pPr>
        <w:ind w:firstLine="420"/>
        <w:rPr>
          <w:rFonts w:asciiTheme="minorEastAsia" w:hAnsiTheme="minorEastAsia"/>
          <w:color w:val="000000" w:themeColor="text1"/>
          <w:szCs w:val="20"/>
        </w:rPr>
      </w:pPr>
      <w:r>
        <w:rPr>
          <w:rFonts w:asciiTheme="minorEastAsia" w:hAnsiTheme="minorEastAsia" w:hint="eastAsia"/>
          <w:color w:val="000000" w:themeColor="text1"/>
          <w:szCs w:val="20"/>
        </w:rPr>
        <w:t>本人</w:t>
      </w:r>
      <w:r>
        <w:rPr>
          <w:rFonts w:asciiTheme="minorEastAsia" w:hAnsiTheme="minorEastAsia"/>
          <w:color w:val="000000" w:themeColor="text1"/>
          <w:szCs w:val="20"/>
        </w:rPr>
        <w:t>确认如下：</w:t>
      </w:r>
      <w:r>
        <w:rPr>
          <w:rFonts w:asciiTheme="minorEastAsia" w:hAnsiTheme="minorEastAsia" w:hint="eastAsia"/>
          <w:color w:val="000000" w:themeColor="text1"/>
          <w:szCs w:val="20"/>
        </w:rPr>
        <w:t>（适用于下述评级体系的，请勾选，不适用的，请填写）</w:t>
      </w:r>
    </w:p>
    <w:p w:rsidR="00C1769E" w:rsidRDefault="007B0020">
      <w:pPr>
        <w:ind w:firstLine="420"/>
        <w:rPr>
          <w:rFonts w:asciiTheme="minorEastAsia" w:hAnsiTheme="minorEastAsia"/>
          <w:color w:val="000000" w:themeColor="text1"/>
          <w:szCs w:val="20"/>
        </w:rPr>
      </w:pPr>
      <w:r>
        <w:rPr>
          <w:rFonts w:asciiTheme="minorEastAsia" w:hAnsiTheme="minorEastAsia"/>
          <w:color w:val="000000" w:themeColor="text1"/>
          <w:szCs w:val="20"/>
        </w:rPr>
        <w:t>投资购买该理财产品</w:t>
      </w:r>
      <w:r>
        <w:rPr>
          <w:rFonts w:asciiTheme="minorEastAsia" w:hAnsiTheme="minorEastAsia" w:hint="eastAsia"/>
          <w:color w:val="000000" w:themeColor="text1"/>
          <w:szCs w:val="20"/>
        </w:rPr>
        <w:t>是</w:t>
      </w:r>
      <w:r>
        <w:rPr>
          <w:rFonts w:asciiTheme="minorEastAsia" w:hAnsiTheme="minorEastAsia"/>
          <w:color w:val="000000" w:themeColor="text1"/>
          <w:szCs w:val="20"/>
        </w:rPr>
        <w:t>本人</w:t>
      </w:r>
      <w:r>
        <w:rPr>
          <w:rFonts w:asciiTheme="minorEastAsia" w:hAnsiTheme="minorEastAsia" w:hint="eastAsia"/>
          <w:color w:val="000000" w:themeColor="text1"/>
          <w:szCs w:val="20"/>
        </w:rPr>
        <w:t>的</w:t>
      </w:r>
      <w:r>
        <w:rPr>
          <w:rFonts w:asciiTheme="minorEastAsia" w:hAnsiTheme="minorEastAsia"/>
          <w:color w:val="000000" w:themeColor="text1"/>
          <w:szCs w:val="20"/>
        </w:rPr>
        <w:t>真实意愿</w:t>
      </w:r>
      <w:r>
        <w:rPr>
          <w:rFonts w:asciiTheme="minorEastAsia" w:hAnsiTheme="minorEastAsia" w:hint="eastAsia"/>
          <w:color w:val="000000" w:themeColor="text1"/>
          <w:szCs w:val="20"/>
        </w:rPr>
        <w:t>，本人</w:t>
      </w:r>
      <w:r>
        <w:rPr>
          <w:rFonts w:asciiTheme="minorEastAsia" w:hAnsiTheme="minorEastAsia"/>
          <w:color w:val="000000" w:themeColor="text1"/>
          <w:szCs w:val="20"/>
        </w:rPr>
        <w:t>已充分认识该</w:t>
      </w:r>
      <w:r>
        <w:rPr>
          <w:rFonts w:asciiTheme="minorEastAsia" w:hAnsiTheme="minorEastAsia" w:hint="eastAsia"/>
          <w:color w:val="000000" w:themeColor="text1"/>
          <w:szCs w:val="20"/>
        </w:rPr>
        <w:t>理财</w:t>
      </w:r>
      <w:r>
        <w:rPr>
          <w:rFonts w:asciiTheme="minorEastAsia" w:hAnsiTheme="minorEastAsia"/>
          <w:color w:val="000000" w:themeColor="text1"/>
          <w:szCs w:val="20"/>
        </w:rPr>
        <w:t>产品的特征</w:t>
      </w:r>
      <w:r>
        <w:rPr>
          <w:rFonts w:asciiTheme="minorEastAsia" w:hAnsiTheme="minorEastAsia" w:hint="eastAsia"/>
          <w:color w:val="000000" w:themeColor="text1"/>
          <w:szCs w:val="20"/>
        </w:rPr>
        <w:t>、</w:t>
      </w:r>
      <w:r>
        <w:rPr>
          <w:rFonts w:asciiTheme="minorEastAsia" w:hAnsiTheme="minorEastAsia"/>
          <w:color w:val="000000" w:themeColor="text1"/>
          <w:szCs w:val="20"/>
        </w:rPr>
        <w:t>风险和投资者相关权利义务条款，完全理解并自愿接受。</w:t>
      </w:r>
    </w:p>
    <w:p w:rsidR="00C1769E" w:rsidRDefault="007B0020">
      <w:pPr>
        <w:ind w:firstLine="420"/>
        <w:rPr>
          <w:rFonts w:asciiTheme="minorEastAsia" w:hAnsiTheme="minorEastAsia"/>
          <w:color w:val="000000" w:themeColor="text1"/>
          <w:szCs w:val="20"/>
        </w:rPr>
      </w:pPr>
      <w:r>
        <w:rPr>
          <w:rFonts w:asciiTheme="minorEastAsia" w:hAnsiTheme="minorEastAsia" w:hint="eastAsia"/>
          <w:color w:val="000000" w:themeColor="text1"/>
          <w:szCs w:val="20"/>
        </w:rPr>
        <w:t>请确认</w:t>
      </w:r>
      <w:r>
        <w:rPr>
          <w:rFonts w:asciiTheme="minorEastAsia" w:hAnsiTheme="minorEastAsia"/>
          <w:color w:val="000000" w:themeColor="text1"/>
          <w:szCs w:val="20"/>
        </w:rPr>
        <w:t>本人</w:t>
      </w:r>
      <w:r>
        <w:rPr>
          <w:rFonts w:asciiTheme="minorEastAsia" w:hAnsiTheme="minorEastAsia" w:hint="eastAsia"/>
          <w:color w:val="000000" w:themeColor="text1"/>
          <w:szCs w:val="20"/>
        </w:rPr>
        <w:t>风险</w:t>
      </w:r>
      <w:r>
        <w:rPr>
          <w:rFonts w:asciiTheme="minorEastAsia" w:hAnsiTheme="minorEastAsia"/>
          <w:color w:val="000000" w:themeColor="text1"/>
          <w:szCs w:val="20"/>
        </w:rPr>
        <w:t>承受能力</w:t>
      </w:r>
      <w:r>
        <w:rPr>
          <w:rFonts w:asciiTheme="minorEastAsia" w:hAnsiTheme="minorEastAsia" w:hint="eastAsia"/>
          <w:color w:val="000000" w:themeColor="text1"/>
          <w:szCs w:val="20"/>
        </w:rPr>
        <w:t>测试</w:t>
      </w:r>
      <w:r>
        <w:rPr>
          <w:rFonts w:asciiTheme="minorEastAsia" w:hAnsiTheme="minorEastAsia"/>
          <w:color w:val="000000" w:themeColor="text1"/>
          <w:szCs w:val="20"/>
        </w:rPr>
        <w:t>评级</w:t>
      </w:r>
      <w:r>
        <w:rPr>
          <w:rFonts w:asciiTheme="minorEastAsia" w:hAnsiTheme="minorEastAsia" w:hint="eastAsia"/>
          <w:color w:val="000000" w:themeColor="text1"/>
          <w:szCs w:val="20"/>
        </w:rPr>
        <w:t>结果</w:t>
      </w:r>
      <w:r>
        <w:rPr>
          <w:rFonts w:asciiTheme="minorEastAsia" w:hAnsiTheme="minorEastAsia"/>
          <w:color w:val="000000" w:themeColor="text1"/>
          <w:szCs w:val="20"/>
        </w:rPr>
        <w:t>：</w:t>
      </w:r>
    </w:p>
    <w:p w:rsidR="00C1769E" w:rsidRDefault="007B0020">
      <w:pPr>
        <w:ind w:firstLine="420"/>
        <w:rPr>
          <w:rFonts w:asciiTheme="minorEastAsia" w:hAnsiTheme="minorEastAsia"/>
          <w:color w:val="000000" w:themeColor="text1"/>
          <w:szCs w:val="20"/>
        </w:rPr>
      </w:pPr>
      <w:r>
        <w:rPr>
          <w:rFonts w:asciiTheme="minorEastAsia" w:hAnsiTheme="minorEastAsia" w:hint="eastAsia"/>
          <w:color w:val="000000" w:themeColor="text1"/>
          <w:szCs w:val="20"/>
        </w:rPr>
        <w:t>□</w:t>
      </w:r>
      <w:r>
        <w:rPr>
          <w:rFonts w:asciiTheme="minorEastAsia" w:hAnsiTheme="minorEastAsia"/>
          <w:color w:val="000000" w:themeColor="text1"/>
          <w:szCs w:val="20"/>
        </w:rPr>
        <w:t>C1-谨慎型   □C2-稳健型   □C3-平衡型   □C4-进取型   □C5-激进型</w:t>
      </w:r>
    </w:p>
    <w:p w:rsidR="00C1769E" w:rsidRDefault="007B0020">
      <w:pPr>
        <w:ind w:firstLine="420"/>
        <w:rPr>
          <w:rFonts w:asciiTheme="minorEastAsia" w:hAnsiTheme="minorEastAsia"/>
          <w:color w:val="000000" w:themeColor="text1"/>
          <w:szCs w:val="20"/>
        </w:rPr>
      </w:pPr>
      <w:r>
        <w:rPr>
          <w:rFonts w:asciiTheme="minorEastAsia" w:hAnsiTheme="minorEastAsia"/>
          <w:color w:val="000000" w:themeColor="text1"/>
          <w:szCs w:val="20"/>
        </w:rPr>
        <w:t>本人风险评级结果为</w:t>
      </w:r>
      <w:r>
        <w:rPr>
          <w:rFonts w:asciiTheme="minorEastAsia" w:hAnsiTheme="minorEastAsia" w:hint="eastAsia"/>
          <w:color w:val="000000" w:themeColor="text1"/>
          <w:szCs w:val="20"/>
        </w:rPr>
        <w:t>：</w:t>
      </w:r>
      <w:r>
        <w:rPr>
          <w:rFonts w:asciiTheme="minorEastAsia" w:hAnsiTheme="minorEastAsia"/>
          <w:color w:val="000000" w:themeColor="text1"/>
          <w:szCs w:val="20"/>
        </w:rPr>
        <w:t>_______________</w:t>
      </w:r>
    </w:p>
    <w:p w:rsidR="00C1769E" w:rsidRDefault="00C1769E">
      <w:pPr>
        <w:ind w:firstLine="420"/>
        <w:rPr>
          <w:rFonts w:asciiTheme="minorEastAsia" w:hAnsiTheme="minorEastAsia"/>
          <w:i/>
          <w:color w:val="000000" w:themeColor="text1"/>
          <w:szCs w:val="20"/>
        </w:rPr>
      </w:pPr>
    </w:p>
    <w:p w:rsidR="00C1769E" w:rsidRDefault="007B0020">
      <w:pPr>
        <w:ind w:firstLineChars="200" w:firstLine="420"/>
        <w:rPr>
          <w:rFonts w:asciiTheme="minorEastAsia" w:hAnsiTheme="minorEastAsia"/>
          <w:b/>
          <w:color w:val="000000" w:themeColor="text1"/>
          <w:szCs w:val="20"/>
        </w:rPr>
      </w:pPr>
      <w:r>
        <w:rPr>
          <w:rFonts w:asciiTheme="minorEastAsia" w:hAnsiTheme="minorEastAsia" w:hint="eastAsia"/>
          <w:color w:val="000000" w:themeColor="text1"/>
          <w:szCs w:val="20"/>
        </w:rPr>
        <w:t>请</w:t>
      </w:r>
      <w:r>
        <w:rPr>
          <w:rFonts w:asciiTheme="minorEastAsia" w:hAnsiTheme="minorEastAsia"/>
          <w:color w:val="000000" w:themeColor="text1"/>
          <w:szCs w:val="20"/>
        </w:rPr>
        <w:t>全文抄录：</w:t>
      </w:r>
      <w:r>
        <w:rPr>
          <w:rFonts w:asciiTheme="minorEastAsia" w:hAnsiTheme="minorEastAsia" w:hint="eastAsia"/>
          <w:b/>
          <w:color w:val="000000" w:themeColor="text1"/>
          <w:szCs w:val="20"/>
        </w:rPr>
        <w:t>“本人已经阅读风险揭示，愿意承担投资风险”。</w:t>
      </w:r>
      <w:r>
        <w:rPr>
          <w:rFonts w:asciiTheme="minorEastAsia" w:hAnsiTheme="minorEastAsia"/>
          <w:b/>
          <w:color w:val="000000" w:themeColor="text1"/>
          <w:szCs w:val="20"/>
        </w:rPr>
        <w:t xml:space="preserve"> </w:t>
      </w:r>
    </w:p>
    <w:p w:rsidR="00C1769E" w:rsidRDefault="007B0020">
      <w:pPr>
        <w:ind w:firstLineChars="200" w:firstLine="420"/>
        <w:rPr>
          <w:rFonts w:asciiTheme="minorEastAsia" w:hAnsiTheme="minorEastAsia"/>
          <w:color w:val="000000" w:themeColor="text1"/>
          <w:szCs w:val="20"/>
        </w:rPr>
      </w:pPr>
      <w:r>
        <w:rPr>
          <w:rFonts w:asciiTheme="minorEastAsia" w:hAnsiTheme="minorEastAsia"/>
          <w:color w:val="000000" w:themeColor="text1"/>
          <w:szCs w:val="20"/>
          <w:u w:val="single"/>
        </w:rPr>
        <w:t xml:space="preserve">                                                            </w:t>
      </w:r>
      <w:r>
        <w:rPr>
          <w:rFonts w:asciiTheme="minorEastAsia" w:hAnsiTheme="minorEastAsia"/>
          <w:color w:val="000000" w:themeColor="text1"/>
          <w:szCs w:val="20"/>
        </w:rPr>
        <w:t xml:space="preserve">  </w:t>
      </w:r>
    </w:p>
    <w:p w:rsidR="00C1769E" w:rsidRDefault="007B0020">
      <w:pPr>
        <w:ind w:firstLineChars="200" w:firstLine="420"/>
        <w:rPr>
          <w:rFonts w:asciiTheme="minorEastAsia" w:hAnsiTheme="minorEastAsia"/>
          <w:color w:val="000000" w:themeColor="text1"/>
          <w:szCs w:val="20"/>
        </w:rPr>
      </w:pPr>
      <w:r>
        <w:rPr>
          <w:rFonts w:asciiTheme="minorEastAsia" w:hAnsiTheme="minorEastAsia"/>
          <w:color w:val="000000" w:themeColor="text1"/>
          <w:szCs w:val="20"/>
        </w:rPr>
        <w:t xml:space="preserve"> </w:t>
      </w:r>
    </w:p>
    <w:p w:rsidR="00C1769E" w:rsidRDefault="007B0020">
      <w:pPr>
        <w:ind w:right="-58"/>
        <w:jc w:val="center"/>
        <w:rPr>
          <w:rFonts w:asciiTheme="minorEastAsia" w:hAnsiTheme="minorEastAsia"/>
          <w:color w:val="000000" w:themeColor="text1"/>
          <w:szCs w:val="20"/>
          <w:u w:val="single"/>
        </w:rPr>
      </w:pPr>
      <w:r>
        <w:rPr>
          <w:rFonts w:asciiTheme="minorEastAsia" w:hAnsiTheme="minorEastAsia"/>
          <w:color w:val="000000" w:themeColor="text1"/>
          <w:szCs w:val="20"/>
        </w:rPr>
        <w:t xml:space="preserve">                                         投资者签字：</w:t>
      </w:r>
      <w:r>
        <w:rPr>
          <w:rFonts w:asciiTheme="minorEastAsia" w:hAnsiTheme="minorEastAsia"/>
          <w:color w:val="000000" w:themeColor="text1"/>
          <w:szCs w:val="20"/>
          <w:u w:val="single"/>
        </w:rPr>
        <w:t xml:space="preserve">            </w:t>
      </w:r>
    </w:p>
    <w:p w:rsidR="00C1769E" w:rsidRDefault="007B0020">
      <w:pPr>
        <w:spacing w:beforeLines="50" w:before="156" w:afterLines="50" w:after="156"/>
        <w:jc w:val="right"/>
        <w:rPr>
          <w:rFonts w:asciiTheme="minorEastAsia" w:hAnsiTheme="minorEastAsia"/>
          <w:color w:val="000000" w:themeColor="text1"/>
          <w:szCs w:val="20"/>
        </w:rPr>
      </w:pPr>
      <w:r>
        <w:rPr>
          <w:rFonts w:asciiTheme="minorEastAsia" w:hAnsiTheme="minorEastAsia" w:hint="eastAsia"/>
          <w:color w:val="000000" w:themeColor="text1"/>
          <w:szCs w:val="20"/>
        </w:rPr>
        <w:t>日期</w:t>
      </w:r>
      <w:r>
        <w:rPr>
          <w:rFonts w:asciiTheme="minorEastAsia" w:hAnsiTheme="minorEastAsia"/>
          <w:color w:val="000000" w:themeColor="text1"/>
          <w:szCs w:val="20"/>
        </w:rPr>
        <w:t xml:space="preserve">：     年     月    </w:t>
      </w:r>
      <w:r>
        <w:rPr>
          <w:rFonts w:asciiTheme="minorEastAsia" w:hAnsiTheme="minorEastAsia" w:hint="eastAsia"/>
          <w:color w:val="000000" w:themeColor="text1"/>
          <w:szCs w:val="20"/>
        </w:rPr>
        <w:t>日</w:t>
      </w:r>
    </w:p>
    <w:p w:rsidR="00C1769E" w:rsidRPr="00804C35" w:rsidRDefault="00C1769E" w:rsidP="00804C35">
      <w:pPr>
        <w:widowControl/>
        <w:jc w:val="left"/>
        <w:rPr>
          <w:rFonts w:ascii="宋体" w:eastAsia="宋体" w:hAnsi="宋体" w:cs="宋体" w:hint="eastAsia"/>
          <w:b/>
          <w:bCs/>
          <w:sz w:val="32"/>
        </w:rPr>
      </w:pPr>
      <w:bookmarkStart w:id="0" w:name="_GoBack"/>
      <w:bookmarkEnd w:id="0"/>
    </w:p>
    <w:sectPr w:rsidR="00C1769E" w:rsidRPr="00804C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E6D" w:rsidRDefault="00170E6D">
      <w:r>
        <w:separator/>
      </w:r>
    </w:p>
  </w:endnote>
  <w:endnote w:type="continuationSeparator" w:id="0">
    <w:p w:rsidR="00170E6D" w:rsidRDefault="00170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E6D" w:rsidRDefault="00170E6D">
      <w:r>
        <w:separator/>
      </w:r>
    </w:p>
  </w:footnote>
  <w:footnote w:type="continuationSeparator" w:id="0">
    <w:p w:rsidR="00170E6D" w:rsidRDefault="00170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2DBD3E5"/>
    <w:multiLevelType w:val="singleLevel"/>
    <w:tmpl w:val="B2DBD3E5"/>
    <w:lvl w:ilvl="0">
      <w:start w:val="1"/>
      <w:numFmt w:val="decimalEnclosedCircleChinese"/>
      <w:suff w:val="nothing"/>
      <w:lvlText w:val="%1　"/>
      <w:lvlJc w:val="left"/>
      <w:pPr>
        <w:ind w:left="0" w:firstLine="400"/>
      </w:pPr>
      <w:rPr>
        <w:rFonts w:hint="eastAsia"/>
      </w:rPr>
    </w:lvl>
  </w:abstractNum>
  <w:abstractNum w:abstractNumId="1">
    <w:nsid w:val="FBD967AE"/>
    <w:multiLevelType w:val="singleLevel"/>
    <w:tmpl w:val="FBD967AE"/>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2">
    <w:nsid w:val="01780991"/>
    <w:multiLevelType w:val="multilevel"/>
    <w:tmpl w:val="01780991"/>
    <w:lvl w:ilvl="0">
      <w:start w:val="1"/>
      <w:numFmt w:val="chineseCount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45263C1"/>
    <w:multiLevelType w:val="multilevel"/>
    <w:tmpl w:val="045263C1"/>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55C52BB"/>
    <w:multiLevelType w:val="multilevel"/>
    <w:tmpl w:val="055C52BB"/>
    <w:lvl w:ilvl="0">
      <w:start w:val="1"/>
      <w:numFmt w:val="chineseCounting"/>
      <w:suff w:val="nothing"/>
      <w:lvlText w:val="（%1）"/>
      <w:lvlJc w:val="left"/>
      <w:pPr>
        <w:ind w:left="0" w:firstLine="420"/>
      </w:pPr>
      <w:rPr>
        <w:rFonts w:hint="eastAsia"/>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
    <w:nsid w:val="066F106D"/>
    <w:multiLevelType w:val="multilevel"/>
    <w:tmpl w:val="066F106D"/>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suff w:val="nothing"/>
      <w:lvlText w:val="%4."/>
      <w:lvlJc w:val="left"/>
      <w:pPr>
        <w:ind w:left="2100" w:hanging="420"/>
      </w:pPr>
      <w:rPr>
        <w:rFonts w:hint="eastAsia"/>
      </w:r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09455121"/>
    <w:multiLevelType w:val="multilevel"/>
    <w:tmpl w:val="09455121"/>
    <w:lvl w:ilvl="0">
      <w:start w:val="1"/>
      <w:numFmt w:val="decimal"/>
      <w:suff w:val="nothing"/>
      <w:lvlText w:val="  （%1）"/>
      <w:lvlJc w:val="right"/>
      <w:pPr>
        <w:ind w:left="78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CF255EA"/>
    <w:multiLevelType w:val="multilevel"/>
    <w:tmpl w:val="0CF255EA"/>
    <w:lvl w:ilvl="0">
      <w:start w:val="1"/>
      <w:numFmt w:val="decimal"/>
      <w:lvlText w:val="  （%1）"/>
      <w:lvlJc w:val="right"/>
      <w:pPr>
        <w:ind w:left="840" w:hanging="420"/>
      </w:pPr>
      <w:rPr>
        <w:rFonts w:hint="eastAsia"/>
      </w:rPr>
    </w:lvl>
    <w:lvl w:ilvl="1">
      <w:start w:val="1"/>
      <w:numFmt w:val="decimal"/>
      <w:suff w:val="nothing"/>
      <w:lvlText w:val="  （%2）"/>
      <w:lvlJc w:val="righ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3502A4B"/>
    <w:multiLevelType w:val="multilevel"/>
    <w:tmpl w:val="13502A4B"/>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144C6A10"/>
    <w:multiLevelType w:val="multilevel"/>
    <w:tmpl w:val="144C6A10"/>
    <w:lvl w:ilvl="0">
      <w:start w:val="1"/>
      <w:numFmt w:val="decimal"/>
      <w:suff w:val="nothing"/>
      <w:lvlText w:val="%1．"/>
      <w:lvlJc w:val="left"/>
      <w:pPr>
        <w:ind w:left="0" w:firstLine="400"/>
      </w:pPr>
      <w:rPr>
        <w:rFonts w:ascii="楷体" w:eastAsia="楷体" w:hAnsi="楷体" w:cs="楷体" w:hint="default"/>
        <w:color w:val="auto"/>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14C20416"/>
    <w:multiLevelType w:val="multilevel"/>
    <w:tmpl w:val="14C20416"/>
    <w:lvl w:ilvl="0">
      <w:start w:val="1"/>
      <w:numFmt w:val="decimal"/>
      <w:suff w:val="nothing"/>
      <w:lvlText w:val="%1."/>
      <w:lvlJc w:val="left"/>
      <w:pPr>
        <w:ind w:left="2100" w:hanging="420"/>
      </w:pPr>
      <w:rPr>
        <w:rFonts w:hint="eastAsia"/>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9481E7E"/>
    <w:multiLevelType w:val="multilevel"/>
    <w:tmpl w:val="19481E7E"/>
    <w:lvl w:ilvl="0">
      <w:start w:val="1"/>
      <w:numFmt w:val="chineseCountingThousand"/>
      <w:suff w:val="nothing"/>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2">
    <w:nsid w:val="1F072E7F"/>
    <w:multiLevelType w:val="singleLevel"/>
    <w:tmpl w:val="1F072E7F"/>
    <w:lvl w:ilvl="0">
      <w:start w:val="1"/>
      <w:numFmt w:val="decimal"/>
      <w:suff w:val="nothing"/>
      <w:lvlText w:val="%1．"/>
      <w:lvlJc w:val="left"/>
      <w:pPr>
        <w:ind w:left="26" w:firstLine="400"/>
      </w:pPr>
      <w:rPr>
        <w:rFonts w:hint="default"/>
      </w:rPr>
    </w:lvl>
  </w:abstractNum>
  <w:abstractNum w:abstractNumId="13">
    <w:nsid w:val="24FFF104"/>
    <w:multiLevelType w:val="singleLevel"/>
    <w:tmpl w:val="24FFF104"/>
    <w:lvl w:ilvl="0">
      <w:start w:val="1"/>
      <w:numFmt w:val="upperLetter"/>
      <w:lvlText w:val="%1"/>
      <w:lvlJc w:val="left"/>
      <w:pPr>
        <w:tabs>
          <w:tab w:val="left" w:pos="420"/>
        </w:tabs>
        <w:ind w:left="425" w:hanging="425"/>
      </w:pPr>
      <w:rPr>
        <w:rFonts w:hint="default"/>
      </w:rPr>
    </w:lvl>
  </w:abstractNum>
  <w:abstractNum w:abstractNumId="14">
    <w:nsid w:val="2D153623"/>
    <w:multiLevelType w:val="multilevel"/>
    <w:tmpl w:val="2D153623"/>
    <w:lvl w:ilvl="0">
      <w:start w:val="1"/>
      <w:numFmt w:val="decimal"/>
      <w:suff w:val="nothing"/>
      <w:lvlText w:val="%1."/>
      <w:lvlJc w:val="left"/>
      <w:pPr>
        <w:ind w:left="6090" w:hanging="420"/>
      </w:pPr>
      <w:rPr>
        <w:rFonts w:hint="eastAsia"/>
      </w:rPr>
    </w:lvl>
    <w:lvl w:ilvl="1">
      <w:start w:val="1"/>
      <w:numFmt w:val="lowerLetter"/>
      <w:lvlText w:val="%2)"/>
      <w:lvlJc w:val="left"/>
      <w:pPr>
        <w:ind w:left="6510" w:hanging="420"/>
      </w:pPr>
    </w:lvl>
    <w:lvl w:ilvl="2">
      <w:start w:val="1"/>
      <w:numFmt w:val="lowerRoman"/>
      <w:lvlText w:val="%3."/>
      <w:lvlJc w:val="right"/>
      <w:pPr>
        <w:ind w:left="6930" w:hanging="420"/>
      </w:pPr>
    </w:lvl>
    <w:lvl w:ilvl="3">
      <w:start w:val="1"/>
      <w:numFmt w:val="decimal"/>
      <w:lvlText w:val="%4."/>
      <w:lvlJc w:val="left"/>
      <w:pPr>
        <w:ind w:left="7350" w:hanging="420"/>
      </w:pPr>
    </w:lvl>
    <w:lvl w:ilvl="4">
      <w:start w:val="1"/>
      <w:numFmt w:val="lowerLetter"/>
      <w:lvlText w:val="%5)"/>
      <w:lvlJc w:val="left"/>
      <w:pPr>
        <w:ind w:left="7770" w:hanging="420"/>
      </w:pPr>
    </w:lvl>
    <w:lvl w:ilvl="5">
      <w:start w:val="1"/>
      <w:numFmt w:val="lowerRoman"/>
      <w:lvlText w:val="%6."/>
      <w:lvlJc w:val="right"/>
      <w:pPr>
        <w:ind w:left="8190" w:hanging="420"/>
      </w:pPr>
    </w:lvl>
    <w:lvl w:ilvl="6">
      <w:start w:val="1"/>
      <w:numFmt w:val="decimal"/>
      <w:lvlText w:val="%7."/>
      <w:lvlJc w:val="left"/>
      <w:pPr>
        <w:ind w:left="8610" w:hanging="420"/>
      </w:pPr>
    </w:lvl>
    <w:lvl w:ilvl="7">
      <w:start w:val="1"/>
      <w:numFmt w:val="lowerLetter"/>
      <w:lvlText w:val="%8)"/>
      <w:lvlJc w:val="left"/>
      <w:pPr>
        <w:ind w:left="9030" w:hanging="420"/>
      </w:pPr>
    </w:lvl>
    <w:lvl w:ilvl="8">
      <w:start w:val="1"/>
      <w:numFmt w:val="lowerRoman"/>
      <w:lvlText w:val="%9."/>
      <w:lvlJc w:val="right"/>
      <w:pPr>
        <w:ind w:left="9450" w:hanging="420"/>
      </w:pPr>
    </w:lvl>
  </w:abstractNum>
  <w:abstractNum w:abstractNumId="15">
    <w:nsid w:val="2D25145A"/>
    <w:multiLevelType w:val="multilevel"/>
    <w:tmpl w:val="2D25145A"/>
    <w:lvl w:ilvl="0">
      <w:start w:val="1"/>
      <w:numFmt w:val="chineseCounting"/>
      <w:suff w:val="nothing"/>
      <w:lvlText w:val="（%1）"/>
      <w:lvlJc w:val="left"/>
      <w:pPr>
        <w:ind w:left="0" w:firstLine="420"/>
      </w:pPr>
      <w:rPr>
        <w:rFonts w:ascii="楷体" w:eastAsia="楷体" w:hAnsi="楷体" w:cs="楷体" w:hint="eastAsia"/>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2E0543ED"/>
    <w:multiLevelType w:val="multilevel"/>
    <w:tmpl w:val="2E0543ED"/>
    <w:lvl w:ilvl="0">
      <w:start w:val="1"/>
      <w:numFmt w:val="chineseCounting"/>
      <w:suff w:val="nothing"/>
      <w:lvlText w:val="（%1）"/>
      <w:lvlJc w:val="left"/>
      <w:pPr>
        <w:ind w:left="0" w:firstLine="420"/>
      </w:pPr>
      <w:rPr>
        <w:rFonts w:ascii="楷体" w:eastAsia="楷体" w:hAnsi="楷体" w:hint="eastAsia"/>
      </w:rPr>
    </w:lvl>
    <w:lvl w:ilvl="1">
      <w:start w:val="1"/>
      <w:numFmt w:val="lowerLetter"/>
      <w:lvlText w:val="%2)"/>
      <w:lvlJc w:val="left"/>
      <w:pPr>
        <w:tabs>
          <w:tab w:val="left" w:pos="840"/>
        </w:tabs>
        <w:ind w:left="840" w:hanging="420"/>
      </w:pPr>
      <w:rPr>
        <w:rFonts w:ascii="Times New Roman" w:hAnsi="Times New Roman" w:cs="Times New Roman" w:hint="default"/>
      </w:rPr>
    </w:lvl>
    <w:lvl w:ilvl="2">
      <w:start w:val="1"/>
      <w:numFmt w:val="lowerRoman"/>
      <w:lvlText w:val="%3."/>
      <w:lvlJc w:val="left"/>
      <w:pPr>
        <w:tabs>
          <w:tab w:val="left" w:pos="1260"/>
        </w:tabs>
        <w:ind w:left="1260" w:hanging="420"/>
      </w:pPr>
      <w:rPr>
        <w:rFonts w:ascii="Times New Roman" w:hAnsi="Times New Roman" w:cs="Times New Roman" w:hint="default"/>
      </w:rPr>
    </w:lvl>
    <w:lvl w:ilvl="3">
      <w:start w:val="1"/>
      <w:numFmt w:val="decimal"/>
      <w:lvlText w:val="%4."/>
      <w:lvlJc w:val="left"/>
      <w:pPr>
        <w:tabs>
          <w:tab w:val="left" w:pos="1680"/>
        </w:tabs>
        <w:ind w:left="1680" w:hanging="420"/>
      </w:pPr>
      <w:rPr>
        <w:rFonts w:ascii="Times New Roman" w:hAnsi="Times New Roman" w:cs="Times New Roman" w:hint="default"/>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lef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left"/>
      <w:pPr>
        <w:tabs>
          <w:tab w:val="left" w:pos="3780"/>
        </w:tabs>
        <w:ind w:left="3780" w:hanging="420"/>
      </w:pPr>
      <w:rPr>
        <w:rFonts w:ascii="Times New Roman" w:hAnsi="Times New Roman" w:cs="Times New Roman" w:hint="default"/>
      </w:rPr>
    </w:lvl>
  </w:abstractNum>
  <w:abstractNum w:abstractNumId="17">
    <w:nsid w:val="348169FF"/>
    <w:multiLevelType w:val="singleLevel"/>
    <w:tmpl w:val="348169FF"/>
    <w:lvl w:ilvl="0">
      <w:start w:val="1"/>
      <w:numFmt w:val="decimal"/>
      <w:suff w:val="nothing"/>
      <w:lvlText w:val="%1．"/>
      <w:lvlJc w:val="left"/>
      <w:pPr>
        <w:ind w:left="0" w:firstLine="400"/>
      </w:pPr>
      <w:rPr>
        <w:rFonts w:hint="default"/>
      </w:rPr>
    </w:lvl>
  </w:abstractNum>
  <w:abstractNum w:abstractNumId="18">
    <w:nsid w:val="363A1A86"/>
    <w:multiLevelType w:val="singleLevel"/>
    <w:tmpl w:val="363A1A86"/>
    <w:lvl w:ilvl="0">
      <w:start w:val="1"/>
      <w:numFmt w:val="decimal"/>
      <w:suff w:val="nothing"/>
      <w:lvlText w:val="%1．"/>
      <w:lvlJc w:val="left"/>
      <w:pPr>
        <w:ind w:left="0" w:firstLine="400"/>
      </w:pPr>
      <w:rPr>
        <w:rFonts w:hint="default"/>
      </w:rPr>
    </w:lvl>
  </w:abstractNum>
  <w:abstractNum w:abstractNumId="19">
    <w:nsid w:val="38E747BE"/>
    <w:multiLevelType w:val="singleLevel"/>
    <w:tmpl w:val="38E747BE"/>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20">
    <w:nsid w:val="3A3B2D07"/>
    <w:multiLevelType w:val="singleLevel"/>
    <w:tmpl w:val="3A3B2D07"/>
    <w:lvl w:ilvl="0">
      <w:start w:val="1"/>
      <w:numFmt w:val="decimal"/>
      <w:suff w:val="nothing"/>
      <w:lvlText w:val="%1．"/>
      <w:lvlJc w:val="left"/>
      <w:pPr>
        <w:ind w:left="26" w:firstLine="400"/>
      </w:pPr>
      <w:rPr>
        <w:rFonts w:hint="default"/>
      </w:rPr>
    </w:lvl>
  </w:abstractNum>
  <w:abstractNum w:abstractNumId="21">
    <w:nsid w:val="3A422DBF"/>
    <w:multiLevelType w:val="multilevel"/>
    <w:tmpl w:val="3A422DBF"/>
    <w:lvl w:ilvl="0">
      <w:start w:val="1"/>
      <w:numFmt w:val="decimal"/>
      <w:suff w:val="nothing"/>
      <w:lvlText w:val="%1．"/>
      <w:lvlJc w:val="left"/>
      <w:pPr>
        <w:ind w:left="0" w:firstLine="40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2">
    <w:nsid w:val="3ABD13D0"/>
    <w:multiLevelType w:val="singleLevel"/>
    <w:tmpl w:val="3ABD13D0"/>
    <w:lvl w:ilvl="0">
      <w:start w:val="1"/>
      <w:numFmt w:val="decimal"/>
      <w:suff w:val="nothing"/>
      <w:lvlText w:val="%1．"/>
      <w:lvlJc w:val="left"/>
      <w:pPr>
        <w:ind w:left="0" w:firstLine="400"/>
      </w:pPr>
      <w:rPr>
        <w:rFonts w:hint="default"/>
        <w:sz w:val="21"/>
        <w:szCs w:val="21"/>
      </w:rPr>
    </w:lvl>
  </w:abstractNum>
  <w:abstractNum w:abstractNumId="23">
    <w:nsid w:val="3C5C66A7"/>
    <w:multiLevelType w:val="singleLevel"/>
    <w:tmpl w:val="3C5C66A7"/>
    <w:lvl w:ilvl="0">
      <w:start w:val="1"/>
      <w:numFmt w:val="decimal"/>
      <w:suff w:val="nothing"/>
      <w:lvlText w:val="%1．"/>
      <w:lvlJc w:val="left"/>
      <w:pPr>
        <w:ind w:left="0" w:firstLine="400"/>
      </w:pPr>
      <w:rPr>
        <w:rFonts w:hint="default"/>
      </w:rPr>
    </w:lvl>
  </w:abstractNum>
  <w:abstractNum w:abstractNumId="24">
    <w:nsid w:val="3FF27571"/>
    <w:multiLevelType w:val="multilevel"/>
    <w:tmpl w:val="3FF27571"/>
    <w:lvl w:ilvl="0">
      <w:start w:val="1"/>
      <w:numFmt w:val="chineseCountingThousand"/>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5">
    <w:nsid w:val="40831362"/>
    <w:multiLevelType w:val="multilevel"/>
    <w:tmpl w:val="40831362"/>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26">
    <w:nsid w:val="42AFE30F"/>
    <w:multiLevelType w:val="singleLevel"/>
    <w:tmpl w:val="42AFE30F"/>
    <w:lvl w:ilvl="0">
      <w:start w:val="1"/>
      <w:numFmt w:val="decimal"/>
      <w:suff w:val="nothing"/>
      <w:lvlText w:val="%1．"/>
      <w:lvlJc w:val="left"/>
      <w:pPr>
        <w:ind w:left="0" w:firstLine="400"/>
      </w:pPr>
      <w:rPr>
        <w:rFonts w:hint="default"/>
      </w:rPr>
    </w:lvl>
  </w:abstractNum>
  <w:abstractNum w:abstractNumId="27">
    <w:nsid w:val="451A3C40"/>
    <w:multiLevelType w:val="multilevel"/>
    <w:tmpl w:val="451A3C40"/>
    <w:lvl w:ilvl="0">
      <w:start w:val="1"/>
      <w:numFmt w:val="decimal"/>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4822010B"/>
    <w:multiLevelType w:val="multilevel"/>
    <w:tmpl w:val="4822010B"/>
    <w:lvl w:ilvl="0">
      <w:start w:val="1"/>
      <w:numFmt w:val="decimal"/>
      <w:suff w:val="nothing"/>
      <w:lvlText w:val="%1．"/>
      <w:lvlJc w:val="left"/>
      <w:pPr>
        <w:ind w:left="0" w:firstLine="400"/>
      </w:pPr>
      <w:rPr>
        <w:rFonts w:ascii="楷体" w:eastAsia="楷体" w:hAnsi="楷体" w:cs="楷体" w:hint="default"/>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4AA006AA"/>
    <w:multiLevelType w:val="singleLevel"/>
    <w:tmpl w:val="4AA006AA"/>
    <w:lvl w:ilvl="0">
      <w:start w:val="1"/>
      <w:numFmt w:val="decimal"/>
      <w:suff w:val="nothing"/>
      <w:lvlText w:val="%1．"/>
      <w:lvlJc w:val="left"/>
      <w:pPr>
        <w:ind w:left="26" w:firstLine="400"/>
      </w:pPr>
      <w:rPr>
        <w:rFonts w:hint="default"/>
      </w:rPr>
    </w:lvl>
  </w:abstractNum>
  <w:abstractNum w:abstractNumId="30">
    <w:nsid w:val="4EB54A78"/>
    <w:multiLevelType w:val="multilevel"/>
    <w:tmpl w:val="4EB54A78"/>
    <w:lvl w:ilvl="0">
      <w:start w:val="1"/>
      <w:numFmt w:val="decimal"/>
      <w:suff w:val="nothing"/>
      <w:lvlText w:val="  （%1）"/>
      <w:lvlJc w:val="right"/>
      <w:pPr>
        <w:ind w:left="78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4F787D0C"/>
    <w:multiLevelType w:val="multilevel"/>
    <w:tmpl w:val="4F787D0C"/>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504B0E84"/>
    <w:multiLevelType w:val="multilevel"/>
    <w:tmpl w:val="504B0E84"/>
    <w:lvl w:ilvl="0">
      <w:start w:val="1"/>
      <w:numFmt w:val="chineseCounting"/>
      <w:suff w:val="nothing"/>
      <w:lvlText w:val="（%1）"/>
      <w:lvlJc w:val="left"/>
      <w:pPr>
        <w:ind w:left="0" w:firstLine="420"/>
      </w:pPr>
      <w:rPr>
        <w:rFonts w:ascii="楷体" w:eastAsia="楷体" w:hAnsi="楷体" w:cs="楷体" w:hint="eastAsia"/>
        <w:sz w:val="21"/>
        <w:szCs w:val="21"/>
        <w:lang w:val="en-US"/>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3">
    <w:nsid w:val="52E84F29"/>
    <w:multiLevelType w:val="singleLevel"/>
    <w:tmpl w:val="52E84F29"/>
    <w:lvl w:ilvl="0">
      <w:start w:val="1"/>
      <w:numFmt w:val="decimal"/>
      <w:suff w:val="nothing"/>
      <w:lvlText w:val="%1．"/>
      <w:lvlJc w:val="left"/>
      <w:pPr>
        <w:ind w:left="0" w:firstLine="400"/>
      </w:pPr>
      <w:rPr>
        <w:rFonts w:hint="default"/>
      </w:rPr>
    </w:lvl>
  </w:abstractNum>
  <w:abstractNum w:abstractNumId="34">
    <w:nsid w:val="549B7BF6"/>
    <w:multiLevelType w:val="multilevel"/>
    <w:tmpl w:val="549B7BF6"/>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555679AD"/>
    <w:multiLevelType w:val="multilevel"/>
    <w:tmpl w:val="555679AD"/>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77318D3"/>
    <w:multiLevelType w:val="singleLevel"/>
    <w:tmpl w:val="577318D3"/>
    <w:lvl w:ilvl="0">
      <w:start w:val="1"/>
      <w:numFmt w:val="decimal"/>
      <w:suff w:val="nothing"/>
      <w:lvlText w:val="%1．"/>
      <w:lvlJc w:val="left"/>
      <w:pPr>
        <w:ind w:left="26" w:firstLine="400"/>
      </w:pPr>
      <w:rPr>
        <w:rFonts w:hint="default"/>
      </w:rPr>
    </w:lvl>
  </w:abstractNum>
  <w:abstractNum w:abstractNumId="37">
    <w:nsid w:val="5B6A47DE"/>
    <w:multiLevelType w:val="singleLevel"/>
    <w:tmpl w:val="5B6A47DE"/>
    <w:lvl w:ilvl="0">
      <w:start w:val="1"/>
      <w:numFmt w:val="chineseCounting"/>
      <w:suff w:val="nothing"/>
      <w:lvlText w:val="（%1）"/>
      <w:lvlJc w:val="left"/>
      <w:pPr>
        <w:ind w:left="0" w:firstLine="420"/>
      </w:pPr>
      <w:rPr>
        <w:rFonts w:hint="eastAsia"/>
      </w:rPr>
    </w:lvl>
  </w:abstractNum>
  <w:abstractNum w:abstractNumId="38">
    <w:nsid w:val="5B6A5D8E"/>
    <w:multiLevelType w:val="multilevel"/>
    <w:tmpl w:val="5B6A5D8E"/>
    <w:lvl w:ilvl="0">
      <w:start w:val="1"/>
      <w:numFmt w:val="chineseCounting"/>
      <w:suff w:val="nothing"/>
      <w:lvlText w:val="（%1）"/>
      <w:lvlJc w:val="left"/>
      <w:pPr>
        <w:ind w:left="0" w:firstLine="420"/>
      </w:pPr>
      <w:rPr>
        <w:rFonts w:ascii="楷体" w:eastAsia="楷体" w:hAnsi="楷体" w:cs="楷体" w:hint="eastAsia"/>
        <w:sz w:val="21"/>
        <w:szCs w:val="21"/>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9">
    <w:nsid w:val="5B6A5E7C"/>
    <w:multiLevelType w:val="singleLevel"/>
    <w:tmpl w:val="5B6A5E7C"/>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40">
    <w:nsid w:val="5B6A5EA3"/>
    <w:multiLevelType w:val="singleLevel"/>
    <w:tmpl w:val="5B6A5EA3"/>
    <w:lvl w:ilvl="0">
      <w:start w:val="1"/>
      <w:numFmt w:val="decimal"/>
      <w:suff w:val="nothing"/>
      <w:lvlText w:val="%1．"/>
      <w:lvlJc w:val="left"/>
      <w:pPr>
        <w:ind w:left="0" w:firstLine="400"/>
      </w:pPr>
      <w:rPr>
        <w:rFonts w:hint="default"/>
      </w:rPr>
    </w:lvl>
  </w:abstractNum>
  <w:abstractNum w:abstractNumId="41">
    <w:nsid w:val="627B7E5D"/>
    <w:multiLevelType w:val="singleLevel"/>
    <w:tmpl w:val="627B7E5D"/>
    <w:lvl w:ilvl="0">
      <w:start w:val="1"/>
      <w:numFmt w:val="decimalEnclosedCircleChinese"/>
      <w:suff w:val="nothing"/>
      <w:lvlText w:val="%1　"/>
      <w:lvlJc w:val="left"/>
      <w:pPr>
        <w:ind w:left="0" w:firstLine="400"/>
      </w:pPr>
      <w:rPr>
        <w:rFonts w:hint="eastAsia"/>
      </w:rPr>
    </w:lvl>
  </w:abstractNum>
  <w:abstractNum w:abstractNumId="42">
    <w:nsid w:val="627B7E79"/>
    <w:multiLevelType w:val="singleLevel"/>
    <w:tmpl w:val="627B7E79"/>
    <w:lvl w:ilvl="0">
      <w:start w:val="1"/>
      <w:numFmt w:val="decimalEnclosedCircleChinese"/>
      <w:suff w:val="nothing"/>
      <w:lvlText w:val="%1　"/>
      <w:lvlJc w:val="left"/>
      <w:pPr>
        <w:ind w:left="0" w:firstLine="400"/>
      </w:pPr>
      <w:rPr>
        <w:rFonts w:hint="eastAsia"/>
      </w:rPr>
    </w:lvl>
  </w:abstractNum>
  <w:abstractNum w:abstractNumId="43">
    <w:nsid w:val="627B8302"/>
    <w:multiLevelType w:val="multilevel"/>
    <w:tmpl w:val="627B8302"/>
    <w:lvl w:ilvl="0">
      <w:start w:val="1"/>
      <w:numFmt w:val="decimal"/>
      <w:suff w:val="nothing"/>
      <w:lvlText w:val="%1．"/>
      <w:lvlJc w:val="left"/>
      <w:pPr>
        <w:ind w:left="0" w:firstLine="40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4">
    <w:nsid w:val="627B8318"/>
    <w:multiLevelType w:val="multilevel"/>
    <w:tmpl w:val="627B8318"/>
    <w:lvl w:ilvl="0">
      <w:start w:val="1"/>
      <w:numFmt w:val="decimal"/>
      <w:suff w:val="nothing"/>
      <w:lvlText w:val="%1．"/>
      <w:lvlJc w:val="left"/>
      <w:pPr>
        <w:ind w:left="0" w:firstLine="40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627B8433"/>
    <w:multiLevelType w:val="singleLevel"/>
    <w:tmpl w:val="627B8433"/>
    <w:lvl w:ilvl="0">
      <w:start w:val="1"/>
      <w:numFmt w:val="decimal"/>
      <w:suff w:val="nothing"/>
      <w:lvlText w:val="%1．"/>
      <w:lvlJc w:val="left"/>
      <w:pPr>
        <w:ind w:left="0" w:firstLine="400"/>
      </w:pPr>
      <w:rPr>
        <w:rFonts w:hint="default"/>
      </w:rPr>
    </w:lvl>
  </w:abstractNum>
  <w:abstractNum w:abstractNumId="46">
    <w:nsid w:val="627B849C"/>
    <w:multiLevelType w:val="singleLevel"/>
    <w:tmpl w:val="627B849C"/>
    <w:lvl w:ilvl="0">
      <w:start w:val="1"/>
      <w:numFmt w:val="decimalEnclosedCircleChinese"/>
      <w:suff w:val="nothing"/>
      <w:lvlText w:val="%1　"/>
      <w:lvlJc w:val="left"/>
      <w:pPr>
        <w:ind w:left="0" w:firstLine="400"/>
      </w:pPr>
      <w:rPr>
        <w:rFonts w:hint="eastAsia"/>
      </w:rPr>
    </w:lvl>
  </w:abstractNum>
  <w:abstractNum w:abstractNumId="47">
    <w:nsid w:val="66325FCD"/>
    <w:multiLevelType w:val="multilevel"/>
    <w:tmpl w:val="66325FCD"/>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48">
    <w:nsid w:val="68A600A8"/>
    <w:multiLevelType w:val="singleLevel"/>
    <w:tmpl w:val="68A600A8"/>
    <w:lvl w:ilvl="0">
      <w:start w:val="1"/>
      <w:numFmt w:val="chineseCounting"/>
      <w:suff w:val="nothing"/>
      <w:lvlText w:val="（%1）"/>
      <w:lvlJc w:val="left"/>
      <w:pPr>
        <w:ind w:left="0" w:firstLine="420"/>
      </w:pPr>
      <w:rPr>
        <w:rFonts w:hint="eastAsia"/>
      </w:rPr>
    </w:lvl>
  </w:abstractNum>
  <w:abstractNum w:abstractNumId="49">
    <w:nsid w:val="6B476159"/>
    <w:multiLevelType w:val="multilevel"/>
    <w:tmpl w:val="6B476159"/>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50">
    <w:nsid w:val="6C19578D"/>
    <w:multiLevelType w:val="singleLevel"/>
    <w:tmpl w:val="6C19578D"/>
    <w:lvl w:ilvl="0">
      <w:start w:val="1"/>
      <w:numFmt w:val="chineseCounting"/>
      <w:suff w:val="nothing"/>
      <w:lvlText w:val="（%1）"/>
      <w:lvlJc w:val="left"/>
      <w:pPr>
        <w:ind w:left="0" w:firstLine="420"/>
      </w:pPr>
      <w:rPr>
        <w:rFonts w:hint="eastAsia"/>
        <w:b w:val="0"/>
      </w:rPr>
    </w:lvl>
  </w:abstractNum>
  <w:abstractNum w:abstractNumId="51">
    <w:nsid w:val="700C313E"/>
    <w:multiLevelType w:val="singleLevel"/>
    <w:tmpl w:val="700C313E"/>
    <w:lvl w:ilvl="0">
      <w:start w:val="1"/>
      <w:numFmt w:val="decimal"/>
      <w:suff w:val="space"/>
      <w:lvlText w:val="%1."/>
      <w:lvlJc w:val="left"/>
    </w:lvl>
  </w:abstractNum>
  <w:abstractNum w:abstractNumId="52">
    <w:nsid w:val="71DC61AC"/>
    <w:multiLevelType w:val="singleLevel"/>
    <w:tmpl w:val="71DC61AC"/>
    <w:lvl w:ilvl="0">
      <w:start w:val="1"/>
      <w:numFmt w:val="decimal"/>
      <w:suff w:val="nothing"/>
      <w:lvlText w:val="%1．"/>
      <w:lvlJc w:val="left"/>
      <w:pPr>
        <w:ind w:left="0" w:firstLine="400"/>
      </w:pPr>
      <w:rPr>
        <w:rFonts w:hint="default"/>
      </w:rPr>
    </w:lvl>
  </w:abstractNum>
  <w:abstractNum w:abstractNumId="53">
    <w:nsid w:val="743C69E1"/>
    <w:multiLevelType w:val="multilevel"/>
    <w:tmpl w:val="743C69E1"/>
    <w:lvl w:ilvl="0">
      <w:start w:val="1"/>
      <w:numFmt w:val="chineseCounting"/>
      <w:suff w:val="nothing"/>
      <w:lvlText w:val="（%1）"/>
      <w:lvlJc w:val="left"/>
      <w:pPr>
        <w:ind w:left="0" w:firstLine="420"/>
      </w:pPr>
      <w:rPr>
        <w:rFonts w:ascii="楷体" w:eastAsia="楷体" w:hAnsi="楷体" w:hint="eastAsia"/>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4">
    <w:nsid w:val="746F0928"/>
    <w:multiLevelType w:val="singleLevel"/>
    <w:tmpl w:val="746F0928"/>
    <w:lvl w:ilvl="0">
      <w:start w:val="1"/>
      <w:numFmt w:val="decimal"/>
      <w:suff w:val="nothing"/>
      <w:lvlText w:val="%1．"/>
      <w:lvlJc w:val="left"/>
      <w:pPr>
        <w:ind w:left="0" w:firstLine="400"/>
      </w:pPr>
      <w:rPr>
        <w:rFonts w:hint="default"/>
      </w:rPr>
    </w:lvl>
  </w:abstractNum>
  <w:abstractNum w:abstractNumId="55">
    <w:nsid w:val="74D61102"/>
    <w:multiLevelType w:val="multilevel"/>
    <w:tmpl w:val="74D61102"/>
    <w:lvl w:ilvl="0">
      <w:start w:val="1"/>
      <w:numFmt w:val="decimal"/>
      <w:suff w:val="nothing"/>
      <w:lvlText w:val="%1．"/>
      <w:lvlJc w:val="left"/>
      <w:pPr>
        <w:ind w:left="0" w:firstLine="40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56">
    <w:nsid w:val="75906C30"/>
    <w:multiLevelType w:val="multilevel"/>
    <w:tmpl w:val="75906C30"/>
    <w:lvl w:ilvl="0">
      <w:start w:val="1"/>
      <w:numFmt w:val="chineseCounting"/>
      <w:suff w:val="nothing"/>
      <w:lvlText w:val="（%1）"/>
      <w:lvlJc w:val="left"/>
      <w:pPr>
        <w:ind w:left="0" w:firstLine="420"/>
      </w:pPr>
      <w:rPr>
        <w:rFonts w:hint="eastAsia"/>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7">
    <w:nsid w:val="75F46DDD"/>
    <w:multiLevelType w:val="multilevel"/>
    <w:tmpl w:val="75F46DDD"/>
    <w:lvl w:ilvl="0">
      <w:start w:val="1"/>
      <w:numFmt w:val="decimal"/>
      <w:lvlText w:val="%1."/>
      <w:lvlJc w:val="left"/>
      <w:pPr>
        <w:ind w:left="842" w:hanging="420"/>
      </w:pPr>
      <w:rPr>
        <w:rFonts w:hint="eastAsia"/>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suff w:val="nothing"/>
      <w:lvlText w:val="%4."/>
      <w:lvlJc w:val="left"/>
      <w:pPr>
        <w:ind w:left="2100" w:hanging="420"/>
      </w:pPr>
      <w:rPr>
        <w:rFonts w:hint="eastAsia"/>
      </w:r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58">
    <w:nsid w:val="7E90243C"/>
    <w:multiLevelType w:val="multilevel"/>
    <w:tmpl w:val="7E90243C"/>
    <w:lvl w:ilvl="0">
      <w:start w:val="1"/>
      <w:numFmt w:val="decimal"/>
      <w:lvlText w:val="  （%1）"/>
      <w:lvlJc w:val="right"/>
      <w:pPr>
        <w:ind w:left="840" w:hanging="420"/>
      </w:pPr>
      <w:rPr>
        <w:rFonts w:hint="eastAsia"/>
      </w:rPr>
    </w:lvl>
    <w:lvl w:ilvl="1">
      <w:start w:val="1"/>
      <w:numFmt w:val="decimal"/>
      <w:suff w:val="nothing"/>
      <w:lvlText w:val="  （%2）"/>
      <w:lvlJc w:val="righ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9">
    <w:nsid w:val="7F2338DB"/>
    <w:multiLevelType w:val="multilevel"/>
    <w:tmpl w:val="7F2338DB"/>
    <w:lvl w:ilvl="0">
      <w:start w:val="1"/>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4"/>
  </w:num>
  <w:num w:numId="2">
    <w:abstractNumId w:val="5"/>
  </w:num>
  <w:num w:numId="3">
    <w:abstractNumId w:val="30"/>
  </w:num>
  <w:num w:numId="4">
    <w:abstractNumId w:val="0"/>
  </w:num>
  <w:num w:numId="5">
    <w:abstractNumId w:val="13"/>
  </w:num>
  <w:num w:numId="6">
    <w:abstractNumId w:val="6"/>
  </w:num>
  <w:num w:numId="7">
    <w:abstractNumId w:val="41"/>
  </w:num>
  <w:num w:numId="8">
    <w:abstractNumId w:val="42"/>
  </w:num>
  <w:num w:numId="9">
    <w:abstractNumId w:val="2"/>
  </w:num>
  <w:num w:numId="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8"/>
  </w:num>
  <w:num w:numId="13">
    <w:abstractNumId w:val="36"/>
  </w:num>
  <w:num w:numId="14">
    <w:abstractNumId w:val="20"/>
  </w:num>
  <w:num w:numId="15">
    <w:abstractNumId w:val="26"/>
  </w:num>
  <w:num w:numId="16">
    <w:abstractNumId w:val="17"/>
  </w:num>
  <w:num w:numId="17">
    <w:abstractNumId w:val="29"/>
  </w:num>
  <w:num w:numId="18">
    <w:abstractNumId w:val="37"/>
  </w:num>
  <w:num w:numId="19">
    <w:abstractNumId w:val="50"/>
  </w:num>
  <w:num w:numId="20">
    <w:abstractNumId w:val="4"/>
  </w:num>
  <w:num w:numId="21">
    <w:abstractNumId w:val="57"/>
  </w:num>
  <w:num w:numId="22">
    <w:abstractNumId w:val="10"/>
  </w:num>
  <w:num w:numId="23">
    <w:abstractNumId w:val="32"/>
  </w:num>
  <w:num w:numId="24">
    <w:abstractNumId w:val="12"/>
  </w:num>
  <w:num w:numId="25">
    <w:abstractNumId w:val="23"/>
  </w:num>
  <w:num w:numId="26">
    <w:abstractNumId w:val="52"/>
  </w:num>
  <w:num w:numId="27">
    <w:abstractNumId w:val="22"/>
  </w:num>
  <w:num w:numId="28">
    <w:abstractNumId w:val="7"/>
  </w:num>
  <w:num w:numId="29">
    <w:abstractNumId w:val="54"/>
  </w:num>
  <w:num w:numId="30">
    <w:abstractNumId w:val="44"/>
  </w:num>
  <w:num w:numId="31">
    <w:abstractNumId w:val="4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58"/>
  </w:num>
  <w:num w:numId="39">
    <w:abstractNumId w:val="46"/>
  </w:num>
  <w:num w:numId="40">
    <w:abstractNumId w:val="18"/>
  </w:num>
  <w:num w:numId="41">
    <w:abstractNumId w:val="3"/>
  </w:num>
  <w:num w:numId="42">
    <w:abstractNumId w:val="34"/>
  </w:num>
  <w:num w:numId="43">
    <w:abstractNumId w:val="39"/>
  </w:num>
  <w:num w:numId="44">
    <w:abstractNumId w:val="40"/>
  </w:num>
  <w:num w:numId="45">
    <w:abstractNumId w:val="51"/>
  </w:num>
  <w:num w:numId="46">
    <w:abstractNumId w:val="35"/>
  </w:num>
  <w:num w:numId="47">
    <w:abstractNumId w:val="33"/>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num>
  <w:num w:numId="56">
    <w:abstractNumId w:val="27"/>
  </w:num>
  <w:num w:numId="57">
    <w:abstractNumId w:val="1"/>
  </w:num>
  <w:num w:numId="58">
    <w:abstractNumId w:val="14"/>
  </w:num>
  <w:num w:numId="59">
    <w:abstractNumId w:val="48"/>
  </w:num>
  <w:num w:numId="60">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mNmQ2YzY3NWNmYzMxMmU1NjRjMDJhODQxMGRkOGYifQ=="/>
    <w:docVar w:name="KSO_WPS_MARK_KEY" w:val="dcd610a4-be60-4782-99bb-2c1b10486ceb"/>
  </w:docVars>
  <w:rsids>
    <w:rsidRoot w:val="600239E6"/>
    <w:rsid w:val="00002562"/>
    <w:rsid w:val="00006F7E"/>
    <w:rsid w:val="00013269"/>
    <w:rsid w:val="00013D1A"/>
    <w:rsid w:val="00016807"/>
    <w:rsid w:val="00020050"/>
    <w:rsid w:val="00027AE5"/>
    <w:rsid w:val="00033BCF"/>
    <w:rsid w:val="00034027"/>
    <w:rsid w:val="00035354"/>
    <w:rsid w:val="00037499"/>
    <w:rsid w:val="00043220"/>
    <w:rsid w:val="00051287"/>
    <w:rsid w:val="000525DE"/>
    <w:rsid w:val="00055741"/>
    <w:rsid w:val="000565BB"/>
    <w:rsid w:val="00056D09"/>
    <w:rsid w:val="00057794"/>
    <w:rsid w:val="00061B65"/>
    <w:rsid w:val="00063598"/>
    <w:rsid w:val="000675F4"/>
    <w:rsid w:val="000707AF"/>
    <w:rsid w:val="00071E9A"/>
    <w:rsid w:val="000750D8"/>
    <w:rsid w:val="00076767"/>
    <w:rsid w:val="00081F89"/>
    <w:rsid w:val="00081FC4"/>
    <w:rsid w:val="00086141"/>
    <w:rsid w:val="00090E98"/>
    <w:rsid w:val="000918E1"/>
    <w:rsid w:val="000939B3"/>
    <w:rsid w:val="00093C3A"/>
    <w:rsid w:val="00093DAD"/>
    <w:rsid w:val="00095C7D"/>
    <w:rsid w:val="000A1713"/>
    <w:rsid w:val="000A2667"/>
    <w:rsid w:val="000A2736"/>
    <w:rsid w:val="000B0A36"/>
    <w:rsid w:val="000B5876"/>
    <w:rsid w:val="000C1938"/>
    <w:rsid w:val="000C7249"/>
    <w:rsid w:val="000D3BB6"/>
    <w:rsid w:val="000D72FF"/>
    <w:rsid w:val="000E1BF1"/>
    <w:rsid w:val="000E6FCC"/>
    <w:rsid w:val="000E7D2D"/>
    <w:rsid w:val="000F01F4"/>
    <w:rsid w:val="000F1290"/>
    <w:rsid w:val="000F1711"/>
    <w:rsid w:val="000F3530"/>
    <w:rsid w:val="000F5C09"/>
    <w:rsid w:val="00104667"/>
    <w:rsid w:val="00104C6B"/>
    <w:rsid w:val="00105160"/>
    <w:rsid w:val="00111800"/>
    <w:rsid w:val="001145DA"/>
    <w:rsid w:val="00116E3F"/>
    <w:rsid w:val="00117431"/>
    <w:rsid w:val="00120F25"/>
    <w:rsid w:val="00127EAC"/>
    <w:rsid w:val="00131289"/>
    <w:rsid w:val="001314EB"/>
    <w:rsid w:val="001314F2"/>
    <w:rsid w:val="001327E7"/>
    <w:rsid w:val="00132AEE"/>
    <w:rsid w:val="00137F04"/>
    <w:rsid w:val="00140A71"/>
    <w:rsid w:val="00142586"/>
    <w:rsid w:val="00142AF8"/>
    <w:rsid w:val="00142C03"/>
    <w:rsid w:val="0014394E"/>
    <w:rsid w:val="00146149"/>
    <w:rsid w:val="0015314B"/>
    <w:rsid w:val="00155A7F"/>
    <w:rsid w:val="00157BAF"/>
    <w:rsid w:val="00157D95"/>
    <w:rsid w:val="0016205F"/>
    <w:rsid w:val="001632E3"/>
    <w:rsid w:val="00166407"/>
    <w:rsid w:val="00170062"/>
    <w:rsid w:val="00170E6D"/>
    <w:rsid w:val="00171CCA"/>
    <w:rsid w:val="00173644"/>
    <w:rsid w:val="001750C6"/>
    <w:rsid w:val="00186BCD"/>
    <w:rsid w:val="00187179"/>
    <w:rsid w:val="001901FF"/>
    <w:rsid w:val="0019152F"/>
    <w:rsid w:val="00191FCF"/>
    <w:rsid w:val="00192B2A"/>
    <w:rsid w:val="00193364"/>
    <w:rsid w:val="00196673"/>
    <w:rsid w:val="00196842"/>
    <w:rsid w:val="001B0D00"/>
    <w:rsid w:val="001B100D"/>
    <w:rsid w:val="001B598D"/>
    <w:rsid w:val="001B7594"/>
    <w:rsid w:val="001C189C"/>
    <w:rsid w:val="001C2282"/>
    <w:rsid w:val="001C2307"/>
    <w:rsid w:val="001C2E35"/>
    <w:rsid w:val="001C621A"/>
    <w:rsid w:val="001C7C1C"/>
    <w:rsid w:val="001D0619"/>
    <w:rsid w:val="001D1ABA"/>
    <w:rsid w:val="001D2E66"/>
    <w:rsid w:val="001D47D6"/>
    <w:rsid w:val="001E1D87"/>
    <w:rsid w:val="001E1E2F"/>
    <w:rsid w:val="001E5C19"/>
    <w:rsid w:val="001F287E"/>
    <w:rsid w:val="001F5618"/>
    <w:rsid w:val="001F5EB3"/>
    <w:rsid w:val="001F6A96"/>
    <w:rsid w:val="00201E23"/>
    <w:rsid w:val="002036D1"/>
    <w:rsid w:val="00205101"/>
    <w:rsid w:val="00212397"/>
    <w:rsid w:val="002125D5"/>
    <w:rsid w:val="0021698E"/>
    <w:rsid w:val="002171F1"/>
    <w:rsid w:val="002233E5"/>
    <w:rsid w:val="00231CC3"/>
    <w:rsid w:val="00235245"/>
    <w:rsid w:val="00242F61"/>
    <w:rsid w:val="002456AD"/>
    <w:rsid w:val="0025167E"/>
    <w:rsid w:val="002525C5"/>
    <w:rsid w:val="00267AFD"/>
    <w:rsid w:val="0027043A"/>
    <w:rsid w:val="002738BB"/>
    <w:rsid w:val="002740F2"/>
    <w:rsid w:val="00274704"/>
    <w:rsid w:val="00280222"/>
    <w:rsid w:val="0028028F"/>
    <w:rsid w:val="0028029E"/>
    <w:rsid w:val="002974B6"/>
    <w:rsid w:val="002B26B6"/>
    <w:rsid w:val="002B374F"/>
    <w:rsid w:val="002B3DFA"/>
    <w:rsid w:val="002B55DE"/>
    <w:rsid w:val="002C130B"/>
    <w:rsid w:val="002C133E"/>
    <w:rsid w:val="002C4916"/>
    <w:rsid w:val="002D1E32"/>
    <w:rsid w:val="002D524E"/>
    <w:rsid w:val="002E2ED9"/>
    <w:rsid w:val="002E6D7D"/>
    <w:rsid w:val="002F1982"/>
    <w:rsid w:val="002F310F"/>
    <w:rsid w:val="002F5466"/>
    <w:rsid w:val="002F5D96"/>
    <w:rsid w:val="002F6CD3"/>
    <w:rsid w:val="003010DF"/>
    <w:rsid w:val="00303212"/>
    <w:rsid w:val="00303EC7"/>
    <w:rsid w:val="00304D25"/>
    <w:rsid w:val="00320C0A"/>
    <w:rsid w:val="00321F6A"/>
    <w:rsid w:val="003224B5"/>
    <w:rsid w:val="0032763F"/>
    <w:rsid w:val="00340D36"/>
    <w:rsid w:val="003412F3"/>
    <w:rsid w:val="00341E0A"/>
    <w:rsid w:val="00343AF5"/>
    <w:rsid w:val="00343E52"/>
    <w:rsid w:val="00344880"/>
    <w:rsid w:val="00346929"/>
    <w:rsid w:val="003555FE"/>
    <w:rsid w:val="00361933"/>
    <w:rsid w:val="00361FD2"/>
    <w:rsid w:val="00364A7F"/>
    <w:rsid w:val="00383FEF"/>
    <w:rsid w:val="0038733E"/>
    <w:rsid w:val="0039065F"/>
    <w:rsid w:val="00393EE4"/>
    <w:rsid w:val="0039711B"/>
    <w:rsid w:val="003A203A"/>
    <w:rsid w:val="003A755E"/>
    <w:rsid w:val="003B04C0"/>
    <w:rsid w:val="003B354B"/>
    <w:rsid w:val="003B63E8"/>
    <w:rsid w:val="003C0658"/>
    <w:rsid w:val="003C56E8"/>
    <w:rsid w:val="003D0E07"/>
    <w:rsid w:val="003D1AF1"/>
    <w:rsid w:val="003E2974"/>
    <w:rsid w:val="003E51E1"/>
    <w:rsid w:val="003E6481"/>
    <w:rsid w:val="003F083E"/>
    <w:rsid w:val="003F2DBB"/>
    <w:rsid w:val="003F6968"/>
    <w:rsid w:val="003F7BEA"/>
    <w:rsid w:val="004006FA"/>
    <w:rsid w:val="00401E9C"/>
    <w:rsid w:val="00405E40"/>
    <w:rsid w:val="00407989"/>
    <w:rsid w:val="00411CA4"/>
    <w:rsid w:val="00412BF3"/>
    <w:rsid w:val="004145A1"/>
    <w:rsid w:val="00414A46"/>
    <w:rsid w:val="00414ACB"/>
    <w:rsid w:val="0041764E"/>
    <w:rsid w:val="004232F4"/>
    <w:rsid w:val="00423EF0"/>
    <w:rsid w:val="00425155"/>
    <w:rsid w:val="004264E7"/>
    <w:rsid w:val="004268D0"/>
    <w:rsid w:val="00430313"/>
    <w:rsid w:val="004329BE"/>
    <w:rsid w:val="0043411E"/>
    <w:rsid w:val="00434F9F"/>
    <w:rsid w:val="00436685"/>
    <w:rsid w:val="00441025"/>
    <w:rsid w:val="00450BCE"/>
    <w:rsid w:val="004532C6"/>
    <w:rsid w:val="0045652A"/>
    <w:rsid w:val="00464B50"/>
    <w:rsid w:val="004669A1"/>
    <w:rsid w:val="00467363"/>
    <w:rsid w:val="004716D7"/>
    <w:rsid w:val="004723E6"/>
    <w:rsid w:val="00473F2B"/>
    <w:rsid w:val="004801DC"/>
    <w:rsid w:val="00482A0B"/>
    <w:rsid w:val="00482CB7"/>
    <w:rsid w:val="004832FE"/>
    <w:rsid w:val="0048588A"/>
    <w:rsid w:val="004868C2"/>
    <w:rsid w:val="0049031A"/>
    <w:rsid w:val="004910D8"/>
    <w:rsid w:val="004948BF"/>
    <w:rsid w:val="004A08E4"/>
    <w:rsid w:val="004A57CB"/>
    <w:rsid w:val="004A5FCC"/>
    <w:rsid w:val="004C0C51"/>
    <w:rsid w:val="004C15B9"/>
    <w:rsid w:val="004C7EBA"/>
    <w:rsid w:val="004D3AD8"/>
    <w:rsid w:val="004D5B5E"/>
    <w:rsid w:val="004D6180"/>
    <w:rsid w:val="004D628A"/>
    <w:rsid w:val="004E23B3"/>
    <w:rsid w:val="004E3877"/>
    <w:rsid w:val="004E654F"/>
    <w:rsid w:val="004E7AAC"/>
    <w:rsid w:val="004F2915"/>
    <w:rsid w:val="004F29F4"/>
    <w:rsid w:val="004F7315"/>
    <w:rsid w:val="00500596"/>
    <w:rsid w:val="00500BBB"/>
    <w:rsid w:val="00502172"/>
    <w:rsid w:val="005032F9"/>
    <w:rsid w:val="0050575D"/>
    <w:rsid w:val="005059D1"/>
    <w:rsid w:val="00507477"/>
    <w:rsid w:val="00512FCF"/>
    <w:rsid w:val="00520888"/>
    <w:rsid w:val="005239CA"/>
    <w:rsid w:val="00527050"/>
    <w:rsid w:val="00527DE5"/>
    <w:rsid w:val="005319D1"/>
    <w:rsid w:val="00535783"/>
    <w:rsid w:val="0053600D"/>
    <w:rsid w:val="00537306"/>
    <w:rsid w:val="00541A97"/>
    <w:rsid w:val="005449ED"/>
    <w:rsid w:val="00546DE2"/>
    <w:rsid w:val="005510E5"/>
    <w:rsid w:val="00556AA2"/>
    <w:rsid w:val="005602DC"/>
    <w:rsid w:val="00560AAA"/>
    <w:rsid w:val="00565874"/>
    <w:rsid w:val="005717A4"/>
    <w:rsid w:val="00584726"/>
    <w:rsid w:val="00584EC9"/>
    <w:rsid w:val="00585996"/>
    <w:rsid w:val="00585FE7"/>
    <w:rsid w:val="00592E7D"/>
    <w:rsid w:val="00594D2A"/>
    <w:rsid w:val="005958E8"/>
    <w:rsid w:val="00595EF4"/>
    <w:rsid w:val="005A24D4"/>
    <w:rsid w:val="005A33A0"/>
    <w:rsid w:val="005A5C31"/>
    <w:rsid w:val="005A5F3C"/>
    <w:rsid w:val="005A6D70"/>
    <w:rsid w:val="005A7060"/>
    <w:rsid w:val="005A7FDB"/>
    <w:rsid w:val="005B1628"/>
    <w:rsid w:val="005B16BD"/>
    <w:rsid w:val="005B6F74"/>
    <w:rsid w:val="005B70D6"/>
    <w:rsid w:val="005C26A1"/>
    <w:rsid w:val="005C3907"/>
    <w:rsid w:val="005C64CB"/>
    <w:rsid w:val="005D3DE0"/>
    <w:rsid w:val="005D4B53"/>
    <w:rsid w:val="005E066C"/>
    <w:rsid w:val="005E0C1F"/>
    <w:rsid w:val="005E45C7"/>
    <w:rsid w:val="005E50F8"/>
    <w:rsid w:val="005E7919"/>
    <w:rsid w:val="005F0C31"/>
    <w:rsid w:val="005F1CE4"/>
    <w:rsid w:val="005F21F0"/>
    <w:rsid w:val="005F3F59"/>
    <w:rsid w:val="005F66C4"/>
    <w:rsid w:val="00605CBE"/>
    <w:rsid w:val="00610ABA"/>
    <w:rsid w:val="00610FFA"/>
    <w:rsid w:val="0061112B"/>
    <w:rsid w:val="00615C11"/>
    <w:rsid w:val="00616E86"/>
    <w:rsid w:val="00620787"/>
    <w:rsid w:val="006229D1"/>
    <w:rsid w:val="00625982"/>
    <w:rsid w:val="0062785F"/>
    <w:rsid w:val="0063693F"/>
    <w:rsid w:val="00636D25"/>
    <w:rsid w:val="0064168F"/>
    <w:rsid w:val="0064799D"/>
    <w:rsid w:val="00647D70"/>
    <w:rsid w:val="006502A1"/>
    <w:rsid w:val="00653B0C"/>
    <w:rsid w:val="006614A6"/>
    <w:rsid w:val="006727EB"/>
    <w:rsid w:val="00677231"/>
    <w:rsid w:val="00680CBF"/>
    <w:rsid w:val="00685658"/>
    <w:rsid w:val="00686123"/>
    <w:rsid w:val="00686F11"/>
    <w:rsid w:val="00687153"/>
    <w:rsid w:val="00690A33"/>
    <w:rsid w:val="00693BAC"/>
    <w:rsid w:val="00696370"/>
    <w:rsid w:val="006A0964"/>
    <w:rsid w:val="006A132D"/>
    <w:rsid w:val="006A17F1"/>
    <w:rsid w:val="006A4EBB"/>
    <w:rsid w:val="006A5606"/>
    <w:rsid w:val="006A561B"/>
    <w:rsid w:val="006A59B5"/>
    <w:rsid w:val="006A66AB"/>
    <w:rsid w:val="006A7616"/>
    <w:rsid w:val="006B1942"/>
    <w:rsid w:val="006B4EBA"/>
    <w:rsid w:val="006B7C4E"/>
    <w:rsid w:val="006C0B1D"/>
    <w:rsid w:val="006C46AB"/>
    <w:rsid w:val="006C74DA"/>
    <w:rsid w:val="006D13B6"/>
    <w:rsid w:val="006D7651"/>
    <w:rsid w:val="006E0F36"/>
    <w:rsid w:val="006E3071"/>
    <w:rsid w:val="006F2297"/>
    <w:rsid w:val="006F23F4"/>
    <w:rsid w:val="0070052C"/>
    <w:rsid w:val="00703611"/>
    <w:rsid w:val="00703F68"/>
    <w:rsid w:val="0070645D"/>
    <w:rsid w:val="0070704A"/>
    <w:rsid w:val="00710CAD"/>
    <w:rsid w:val="0071318A"/>
    <w:rsid w:val="00723A92"/>
    <w:rsid w:val="00723F38"/>
    <w:rsid w:val="00725274"/>
    <w:rsid w:val="007365D7"/>
    <w:rsid w:val="00736EC8"/>
    <w:rsid w:val="00737305"/>
    <w:rsid w:val="00740760"/>
    <w:rsid w:val="00741DE6"/>
    <w:rsid w:val="007472A6"/>
    <w:rsid w:val="00747812"/>
    <w:rsid w:val="00747EBA"/>
    <w:rsid w:val="007530F4"/>
    <w:rsid w:val="00756FA7"/>
    <w:rsid w:val="00775005"/>
    <w:rsid w:val="007801EB"/>
    <w:rsid w:val="00780CDF"/>
    <w:rsid w:val="007848D1"/>
    <w:rsid w:val="00796A02"/>
    <w:rsid w:val="00796C7D"/>
    <w:rsid w:val="007971CA"/>
    <w:rsid w:val="007A17F8"/>
    <w:rsid w:val="007A219A"/>
    <w:rsid w:val="007A2549"/>
    <w:rsid w:val="007A3224"/>
    <w:rsid w:val="007A560A"/>
    <w:rsid w:val="007A705D"/>
    <w:rsid w:val="007B0020"/>
    <w:rsid w:val="007B1721"/>
    <w:rsid w:val="007B1E9B"/>
    <w:rsid w:val="007B2524"/>
    <w:rsid w:val="007B7EC5"/>
    <w:rsid w:val="007C1832"/>
    <w:rsid w:val="007C6125"/>
    <w:rsid w:val="007C7033"/>
    <w:rsid w:val="007D0429"/>
    <w:rsid w:val="007D1A17"/>
    <w:rsid w:val="007D6FCE"/>
    <w:rsid w:val="007E0729"/>
    <w:rsid w:val="007E3330"/>
    <w:rsid w:val="007E6536"/>
    <w:rsid w:val="007E7AA0"/>
    <w:rsid w:val="007F225E"/>
    <w:rsid w:val="007F4D77"/>
    <w:rsid w:val="007F7AE0"/>
    <w:rsid w:val="00801F1D"/>
    <w:rsid w:val="008020CA"/>
    <w:rsid w:val="0080347B"/>
    <w:rsid w:val="00803B5E"/>
    <w:rsid w:val="00804C35"/>
    <w:rsid w:val="00810638"/>
    <w:rsid w:val="00810BB2"/>
    <w:rsid w:val="00813356"/>
    <w:rsid w:val="00816AF6"/>
    <w:rsid w:val="008222E9"/>
    <w:rsid w:val="00827176"/>
    <w:rsid w:val="00831597"/>
    <w:rsid w:val="008337F4"/>
    <w:rsid w:val="00835D66"/>
    <w:rsid w:val="00837965"/>
    <w:rsid w:val="00842D7B"/>
    <w:rsid w:val="00842E0C"/>
    <w:rsid w:val="00843882"/>
    <w:rsid w:val="008475FC"/>
    <w:rsid w:val="008505E2"/>
    <w:rsid w:val="00851265"/>
    <w:rsid w:val="00851AF6"/>
    <w:rsid w:val="00854AE0"/>
    <w:rsid w:val="0085500F"/>
    <w:rsid w:val="008571A8"/>
    <w:rsid w:val="00867C9C"/>
    <w:rsid w:val="008710C2"/>
    <w:rsid w:val="00872EB2"/>
    <w:rsid w:val="00875633"/>
    <w:rsid w:val="0088195A"/>
    <w:rsid w:val="008834EF"/>
    <w:rsid w:val="008851A5"/>
    <w:rsid w:val="00885998"/>
    <w:rsid w:val="00886291"/>
    <w:rsid w:val="00894F56"/>
    <w:rsid w:val="0089614C"/>
    <w:rsid w:val="00896E2A"/>
    <w:rsid w:val="008A0372"/>
    <w:rsid w:val="008A175A"/>
    <w:rsid w:val="008A2515"/>
    <w:rsid w:val="008A720F"/>
    <w:rsid w:val="008B0DFC"/>
    <w:rsid w:val="008B53F5"/>
    <w:rsid w:val="008B5847"/>
    <w:rsid w:val="008C2AB4"/>
    <w:rsid w:val="008C341B"/>
    <w:rsid w:val="008D2D5F"/>
    <w:rsid w:val="008D2E48"/>
    <w:rsid w:val="008D45E4"/>
    <w:rsid w:val="008E344A"/>
    <w:rsid w:val="008E734E"/>
    <w:rsid w:val="008E79D6"/>
    <w:rsid w:val="008F2872"/>
    <w:rsid w:val="008F3025"/>
    <w:rsid w:val="00902EA6"/>
    <w:rsid w:val="0090394A"/>
    <w:rsid w:val="00903B15"/>
    <w:rsid w:val="00904C00"/>
    <w:rsid w:val="0090501B"/>
    <w:rsid w:val="00907B9C"/>
    <w:rsid w:val="00910CB0"/>
    <w:rsid w:val="009129A7"/>
    <w:rsid w:val="0091475E"/>
    <w:rsid w:val="00917893"/>
    <w:rsid w:val="00920228"/>
    <w:rsid w:val="00924C18"/>
    <w:rsid w:val="0092641F"/>
    <w:rsid w:val="00926E71"/>
    <w:rsid w:val="00934A89"/>
    <w:rsid w:val="00935673"/>
    <w:rsid w:val="009444D4"/>
    <w:rsid w:val="0094614C"/>
    <w:rsid w:val="00946272"/>
    <w:rsid w:val="00947D41"/>
    <w:rsid w:val="00962354"/>
    <w:rsid w:val="009641DC"/>
    <w:rsid w:val="00971937"/>
    <w:rsid w:val="00972A56"/>
    <w:rsid w:val="00974A9E"/>
    <w:rsid w:val="00977B34"/>
    <w:rsid w:val="00981EAF"/>
    <w:rsid w:val="00991021"/>
    <w:rsid w:val="00991873"/>
    <w:rsid w:val="00994288"/>
    <w:rsid w:val="0099538F"/>
    <w:rsid w:val="009A0009"/>
    <w:rsid w:val="009A3039"/>
    <w:rsid w:val="009A3D18"/>
    <w:rsid w:val="009B372E"/>
    <w:rsid w:val="009B4527"/>
    <w:rsid w:val="009B524E"/>
    <w:rsid w:val="009C0903"/>
    <w:rsid w:val="009C1D22"/>
    <w:rsid w:val="009C2203"/>
    <w:rsid w:val="009C221C"/>
    <w:rsid w:val="009C6D39"/>
    <w:rsid w:val="009C714E"/>
    <w:rsid w:val="009D2209"/>
    <w:rsid w:val="009E0F4E"/>
    <w:rsid w:val="009E2BB5"/>
    <w:rsid w:val="009E39C8"/>
    <w:rsid w:val="009E558B"/>
    <w:rsid w:val="009E5858"/>
    <w:rsid w:val="009E6C80"/>
    <w:rsid w:val="009F063F"/>
    <w:rsid w:val="009F1376"/>
    <w:rsid w:val="009F2587"/>
    <w:rsid w:val="009F4461"/>
    <w:rsid w:val="009F63B5"/>
    <w:rsid w:val="00A02C23"/>
    <w:rsid w:val="00A03391"/>
    <w:rsid w:val="00A0393F"/>
    <w:rsid w:val="00A10159"/>
    <w:rsid w:val="00A10B06"/>
    <w:rsid w:val="00A111C4"/>
    <w:rsid w:val="00A113DC"/>
    <w:rsid w:val="00A12C4E"/>
    <w:rsid w:val="00A13073"/>
    <w:rsid w:val="00A15F78"/>
    <w:rsid w:val="00A22756"/>
    <w:rsid w:val="00A24F0B"/>
    <w:rsid w:val="00A250A6"/>
    <w:rsid w:val="00A27963"/>
    <w:rsid w:val="00A3553D"/>
    <w:rsid w:val="00A42C6A"/>
    <w:rsid w:val="00A51A18"/>
    <w:rsid w:val="00A51ADB"/>
    <w:rsid w:val="00A526E2"/>
    <w:rsid w:val="00A546B0"/>
    <w:rsid w:val="00A57359"/>
    <w:rsid w:val="00A66CBE"/>
    <w:rsid w:val="00A67F2C"/>
    <w:rsid w:val="00A708DD"/>
    <w:rsid w:val="00A73AFF"/>
    <w:rsid w:val="00A74C78"/>
    <w:rsid w:val="00A76818"/>
    <w:rsid w:val="00A776F7"/>
    <w:rsid w:val="00A81C70"/>
    <w:rsid w:val="00A95754"/>
    <w:rsid w:val="00A9580C"/>
    <w:rsid w:val="00AA2829"/>
    <w:rsid w:val="00AA5008"/>
    <w:rsid w:val="00AA501E"/>
    <w:rsid w:val="00AB11A1"/>
    <w:rsid w:val="00AB1CE1"/>
    <w:rsid w:val="00AB2B04"/>
    <w:rsid w:val="00AB2B2C"/>
    <w:rsid w:val="00AB2FA7"/>
    <w:rsid w:val="00AB3784"/>
    <w:rsid w:val="00AB4210"/>
    <w:rsid w:val="00AB71F3"/>
    <w:rsid w:val="00AD0AFB"/>
    <w:rsid w:val="00AD54F1"/>
    <w:rsid w:val="00AD7736"/>
    <w:rsid w:val="00AE04FA"/>
    <w:rsid w:val="00AE7F10"/>
    <w:rsid w:val="00AF4E0F"/>
    <w:rsid w:val="00B02193"/>
    <w:rsid w:val="00B052C2"/>
    <w:rsid w:val="00B110EF"/>
    <w:rsid w:val="00B165CF"/>
    <w:rsid w:val="00B17436"/>
    <w:rsid w:val="00B22506"/>
    <w:rsid w:val="00B24485"/>
    <w:rsid w:val="00B248CC"/>
    <w:rsid w:val="00B30FB4"/>
    <w:rsid w:val="00B31C21"/>
    <w:rsid w:val="00B33FAA"/>
    <w:rsid w:val="00B3494E"/>
    <w:rsid w:val="00B45764"/>
    <w:rsid w:val="00B462AA"/>
    <w:rsid w:val="00B51797"/>
    <w:rsid w:val="00B51E3A"/>
    <w:rsid w:val="00B5280C"/>
    <w:rsid w:val="00B61056"/>
    <w:rsid w:val="00B61383"/>
    <w:rsid w:val="00B63753"/>
    <w:rsid w:val="00B73276"/>
    <w:rsid w:val="00B7400A"/>
    <w:rsid w:val="00B76E71"/>
    <w:rsid w:val="00B80A06"/>
    <w:rsid w:val="00B81065"/>
    <w:rsid w:val="00B90249"/>
    <w:rsid w:val="00B90E78"/>
    <w:rsid w:val="00BA1950"/>
    <w:rsid w:val="00BA1ABD"/>
    <w:rsid w:val="00BA1C48"/>
    <w:rsid w:val="00BA4096"/>
    <w:rsid w:val="00BB6E42"/>
    <w:rsid w:val="00BC118D"/>
    <w:rsid w:val="00BC44FE"/>
    <w:rsid w:val="00BC49AE"/>
    <w:rsid w:val="00BC614E"/>
    <w:rsid w:val="00BC6731"/>
    <w:rsid w:val="00BC76C4"/>
    <w:rsid w:val="00BD2C64"/>
    <w:rsid w:val="00BD76CA"/>
    <w:rsid w:val="00BF3AFC"/>
    <w:rsid w:val="00BF6B1C"/>
    <w:rsid w:val="00C02AC6"/>
    <w:rsid w:val="00C12BDB"/>
    <w:rsid w:val="00C13C35"/>
    <w:rsid w:val="00C1769E"/>
    <w:rsid w:val="00C20A0A"/>
    <w:rsid w:val="00C20C66"/>
    <w:rsid w:val="00C221AB"/>
    <w:rsid w:val="00C25896"/>
    <w:rsid w:val="00C26429"/>
    <w:rsid w:val="00C35A10"/>
    <w:rsid w:val="00C37F64"/>
    <w:rsid w:val="00C43AC4"/>
    <w:rsid w:val="00C56F2D"/>
    <w:rsid w:val="00C62F6B"/>
    <w:rsid w:val="00C73744"/>
    <w:rsid w:val="00C75084"/>
    <w:rsid w:val="00C80FF0"/>
    <w:rsid w:val="00C85A1B"/>
    <w:rsid w:val="00C85BAB"/>
    <w:rsid w:val="00C86E56"/>
    <w:rsid w:val="00C873E9"/>
    <w:rsid w:val="00C922D6"/>
    <w:rsid w:val="00C92D00"/>
    <w:rsid w:val="00C93D59"/>
    <w:rsid w:val="00C9558E"/>
    <w:rsid w:val="00C964D5"/>
    <w:rsid w:val="00CA0394"/>
    <w:rsid w:val="00CA3079"/>
    <w:rsid w:val="00CA592B"/>
    <w:rsid w:val="00CB1154"/>
    <w:rsid w:val="00CB21DD"/>
    <w:rsid w:val="00CB368A"/>
    <w:rsid w:val="00CB4CF7"/>
    <w:rsid w:val="00CC216F"/>
    <w:rsid w:val="00CC6D5D"/>
    <w:rsid w:val="00CC7578"/>
    <w:rsid w:val="00CD0660"/>
    <w:rsid w:val="00CD0A6B"/>
    <w:rsid w:val="00CD3EE6"/>
    <w:rsid w:val="00CE34A6"/>
    <w:rsid w:val="00CE5DDF"/>
    <w:rsid w:val="00CF0E20"/>
    <w:rsid w:val="00CF104B"/>
    <w:rsid w:val="00CF3951"/>
    <w:rsid w:val="00CF4654"/>
    <w:rsid w:val="00CF71F8"/>
    <w:rsid w:val="00D030C5"/>
    <w:rsid w:val="00D13DF4"/>
    <w:rsid w:val="00D143D2"/>
    <w:rsid w:val="00D1583C"/>
    <w:rsid w:val="00D16CB3"/>
    <w:rsid w:val="00D20B62"/>
    <w:rsid w:val="00D21FAF"/>
    <w:rsid w:val="00D23AEC"/>
    <w:rsid w:val="00D23F0C"/>
    <w:rsid w:val="00D27317"/>
    <w:rsid w:val="00D31B31"/>
    <w:rsid w:val="00D33730"/>
    <w:rsid w:val="00D34D5B"/>
    <w:rsid w:val="00D36656"/>
    <w:rsid w:val="00D41C67"/>
    <w:rsid w:val="00D4408A"/>
    <w:rsid w:val="00D45A25"/>
    <w:rsid w:val="00D5588B"/>
    <w:rsid w:val="00D60D3B"/>
    <w:rsid w:val="00D619AE"/>
    <w:rsid w:val="00D65904"/>
    <w:rsid w:val="00D70F13"/>
    <w:rsid w:val="00D75795"/>
    <w:rsid w:val="00D76B91"/>
    <w:rsid w:val="00D76E0A"/>
    <w:rsid w:val="00D77E47"/>
    <w:rsid w:val="00D8031D"/>
    <w:rsid w:val="00D8101C"/>
    <w:rsid w:val="00D82FF0"/>
    <w:rsid w:val="00D853E6"/>
    <w:rsid w:val="00D90D23"/>
    <w:rsid w:val="00D91425"/>
    <w:rsid w:val="00D9220D"/>
    <w:rsid w:val="00D941C5"/>
    <w:rsid w:val="00D97319"/>
    <w:rsid w:val="00DA3C16"/>
    <w:rsid w:val="00DA4AA5"/>
    <w:rsid w:val="00DB238B"/>
    <w:rsid w:val="00DB3B15"/>
    <w:rsid w:val="00DC45B9"/>
    <w:rsid w:val="00DE562C"/>
    <w:rsid w:val="00DF0BB2"/>
    <w:rsid w:val="00DF1648"/>
    <w:rsid w:val="00DF3A13"/>
    <w:rsid w:val="00DF55B5"/>
    <w:rsid w:val="00E0349D"/>
    <w:rsid w:val="00E0476D"/>
    <w:rsid w:val="00E0506F"/>
    <w:rsid w:val="00E06A8B"/>
    <w:rsid w:val="00E11FFE"/>
    <w:rsid w:val="00E17AD4"/>
    <w:rsid w:val="00E17E00"/>
    <w:rsid w:val="00E302B3"/>
    <w:rsid w:val="00E30FC6"/>
    <w:rsid w:val="00E34806"/>
    <w:rsid w:val="00E436BA"/>
    <w:rsid w:val="00E469B3"/>
    <w:rsid w:val="00E50535"/>
    <w:rsid w:val="00E50680"/>
    <w:rsid w:val="00E52260"/>
    <w:rsid w:val="00E52B47"/>
    <w:rsid w:val="00E55649"/>
    <w:rsid w:val="00E62708"/>
    <w:rsid w:val="00E65743"/>
    <w:rsid w:val="00E6635C"/>
    <w:rsid w:val="00E7196D"/>
    <w:rsid w:val="00E721A0"/>
    <w:rsid w:val="00E73920"/>
    <w:rsid w:val="00E77EF2"/>
    <w:rsid w:val="00E87B41"/>
    <w:rsid w:val="00E93C4C"/>
    <w:rsid w:val="00E97902"/>
    <w:rsid w:val="00EA3C14"/>
    <w:rsid w:val="00EA40CA"/>
    <w:rsid w:val="00EB16C3"/>
    <w:rsid w:val="00EB1E91"/>
    <w:rsid w:val="00EB2F4F"/>
    <w:rsid w:val="00EB38F4"/>
    <w:rsid w:val="00EB4AD3"/>
    <w:rsid w:val="00EB4CE7"/>
    <w:rsid w:val="00EB71B8"/>
    <w:rsid w:val="00ED0FB5"/>
    <w:rsid w:val="00ED1094"/>
    <w:rsid w:val="00ED4E14"/>
    <w:rsid w:val="00EE16F9"/>
    <w:rsid w:val="00EE184A"/>
    <w:rsid w:val="00EE3C3F"/>
    <w:rsid w:val="00EE64A4"/>
    <w:rsid w:val="00EE73CF"/>
    <w:rsid w:val="00EE7D30"/>
    <w:rsid w:val="00EF06D6"/>
    <w:rsid w:val="00EF0C2E"/>
    <w:rsid w:val="00EF3CE7"/>
    <w:rsid w:val="00EF76E1"/>
    <w:rsid w:val="00F00EE0"/>
    <w:rsid w:val="00F01900"/>
    <w:rsid w:val="00F023C6"/>
    <w:rsid w:val="00F14E6A"/>
    <w:rsid w:val="00F2318E"/>
    <w:rsid w:val="00F236FF"/>
    <w:rsid w:val="00F30B61"/>
    <w:rsid w:val="00F3122C"/>
    <w:rsid w:val="00F33793"/>
    <w:rsid w:val="00F34A5F"/>
    <w:rsid w:val="00F36073"/>
    <w:rsid w:val="00F37963"/>
    <w:rsid w:val="00F37EBD"/>
    <w:rsid w:val="00F37FEF"/>
    <w:rsid w:val="00F5036E"/>
    <w:rsid w:val="00F503F2"/>
    <w:rsid w:val="00F51A36"/>
    <w:rsid w:val="00F51CBC"/>
    <w:rsid w:val="00F57E83"/>
    <w:rsid w:val="00F637DD"/>
    <w:rsid w:val="00F70F17"/>
    <w:rsid w:val="00F7155D"/>
    <w:rsid w:val="00F7385F"/>
    <w:rsid w:val="00F73AD2"/>
    <w:rsid w:val="00F82102"/>
    <w:rsid w:val="00F8377C"/>
    <w:rsid w:val="00F842E7"/>
    <w:rsid w:val="00F85639"/>
    <w:rsid w:val="00F874A9"/>
    <w:rsid w:val="00F878F7"/>
    <w:rsid w:val="00FA3536"/>
    <w:rsid w:val="00FA66EF"/>
    <w:rsid w:val="00FB2191"/>
    <w:rsid w:val="00FB2889"/>
    <w:rsid w:val="00FB7425"/>
    <w:rsid w:val="00FC3A68"/>
    <w:rsid w:val="00FC5369"/>
    <w:rsid w:val="00FC7892"/>
    <w:rsid w:val="00FD380B"/>
    <w:rsid w:val="00FD483E"/>
    <w:rsid w:val="00FE1175"/>
    <w:rsid w:val="00FE273B"/>
    <w:rsid w:val="00FE29B3"/>
    <w:rsid w:val="00FE64C2"/>
    <w:rsid w:val="00FE675A"/>
    <w:rsid w:val="00FF0C21"/>
    <w:rsid w:val="00FF0D67"/>
    <w:rsid w:val="00FF1133"/>
    <w:rsid w:val="00FF25DB"/>
    <w:rsid w:val="00FF5F1E"/>
    <w:rsid w:val="00FF72A0"/>
    <w:rsid w:val="01C472C9"/>
    <w:rsid w:val="01FE2FD8"/>
    <w:rsid w:val="02741C66"/>
    <w:rsid w:val="02761A5A"/>
    <w:rsid w:val="02F2685F"/>
    <w:rsid w:val="03C54999"/>
    <w:rsid w:val="05E62219"/>
    <w:rsid w:val="05EE4777"/>
    <w:rsid w:val="0663039E"/>
    <w:rsid w:val="06E5539B"/>
    <w:rsid w:val="07D36EF5"/>
    <w:rsid w:val="08C61215"/>
    <w:rsid w:val="08DF3507"/>
    <w:rsid w:val="0B3404EB"/>
    <w:rsid w:val="0E433D4A"/>
    <w:rsid w:val="0EDD4F12"/>
    <w:rsid w:val="103D484C"/>
    <w:rsid w:val="109E1430"/>
    <w:rsid w:val="10CF7BC1"/>
    <w:rsid w:val="11480073"/>
    <w:rsid w:val="11CB4FD1"/>
    <w:rsid w:val="123A51D6"/>
    <w:rsid w:val="124D097B"/>
    <w:rsid w:val="129B3047"/>
    <w:rsid w:val="12C41AAC"/>
    <w:rsid w:val="12FB0C7B"/>
    <w:rsid w:val="13865729"/>
    <w:rsid w:val="153655A0"/>
    <w:rsid w:val="155365BB"/>
    <w:rsid w:val="15A707C1"/>
    <w:rsid w:val="180008BE"/>
    <w:rsid w:val="18F24C1C"/>
    <w:rsid w:val="19531A1C"/>
    <w:rsid w:val="1A7B5B6F"/>
    <w:rsid w:val="1A7E3A1B"/>
    <w:rsid w:val="1ADF0A0B"/>
    <w:rsid w:val="1AEA0CCF"/>
    <w:rsid w:val="1AF5152F"/>
    <w:rsid w:val="1B770086"/>
    <w:rsid w:val="1BE942CB"/>
    <w:rsid w:val="1CD0256D"/>
    <w:rsid w:val="1D016944"/>
    <w:rsid w:val="1FC4030B"/>
    <w:rsid w:val="214E3856"/>
    <w:rsid w:val="21712F9C"/>
    <w:rsid w:val="22030852"/>
    <w:rsid w:val="2258574C"/>
    <w:rsid w:val="253B2592"/>
    <w:rsid w:val="25555E58"/>
    <w:rsid w:val="260B3E4A"/>
    <w:rsid w:val="26663E63"/>
    <w:rsid w:val="269C7214"/>
    <w:rsid w:val="27055FBF"/>
    <w:rsid w:val="27A84681"/>
    <w:rsid w:val="2A803D10"/>
    <w:rsid w:val="2A9775C7"/>
    <w:rsid w:val="2ABB560A"/>
    <w:rsid w:val="2C331046"/>
    <w:rsid w:val="2C8D2C9D"/>
    <w:rsid w:val="2CD14422"/>
    <w:rsid w:val="2CE607C1"/>
    <w:rsid w:val="2E0B6C56"/>
    <w:rsid w:val="30CA0FF6"/>
    <w:rsid w:val="31C74E05"/>
    <w:rsid w:val="32F061CF"/>
    <w:rsid w:val="33FA321A"/>
    <w:rsid w:val="342F50F2"/>
    <w:rsid w:val="34EB06E4"/>
    <w:rsid w:val="35AD70CB"/>
    <w:rsid w:val="36645C7C"/>
    <w:rsid w:val="38DE73A6"/>
    <w:rsid w:val="3C7C7282"/>
    <w:rsid w:val="3F6F68CA"/>
    <w:rsid w:val="3F7B7DB5"/>
    <w:rsid w:val="3FC76DC7"/>
    <w:rsid w:val="45B87970"/>
    <w:rsid w:val="4A7372FE"/>
    <w:rsid w:val="4BB80926"/>
    <w:rsid w:val="4CCE5C39"/>
    <w:rsid w:val="4D5F79B8"/>
    <w:rsid w:val="4E183E11"/>
    <w:rsid w:val="505F6B6A"/>
    <w:rsid w:val="516255F2"/>
    <w:rsid w:val="530A199A"/>
    <w:rsid w:val="55D25404"/>
    <w:rsid w:val="57ED15E6"/>
    <w:rsid w:val="58CB5F4A"/>
    <w:rsid w:val="59665BF4"/>
    <w:rsid w:val="59AE768F"/>
    <w:rsid w:val="5AE82CB5"/>
    <w:rsid w:val="5C0D6B0F"/>
    <w:rsid w:val="5C2C0DB9"/>
    <w:rsid w:val="5CEE283B"/>
    <w:rsid w:val="5DBC33DC"/>
    <w:rsid w:val="5E9F1397"/>
    <w:rsid w:val="5EE33132"/>
    <w:rsid w:val="5F2B6EB7"/>
    <w:rsid w:val="5F400E87"/>
    <w:rsid w:val="5F7B1F67"/>
    <w:rsid w:val="600239E6"/>
    <w:rsid w:val="60830965"/>
    <w:rsid w:val="612A5B6E"/>
    <w:rsid w:val="61385BAB"/>
    <w:rsid w:val="621259CA"/>
    <w:rsid w:val="63C9076B"/>
    <w:rsid w:val="64F25221"/>
    <w:rsid w:val="6561181A"/>
    <w:rsid w:val="65C97BD9"/>
    <w:rsid w:val="66AB5E28"/>
    <w:rsid w:val="6719678D"/>
    <w:rsid w:val="67B95E3B"/>
    <w:rsid w:val="68762AA6"/>
    <w:rsid w:val="68E549FB"/>
    <w:rsid w:val="69EF5690"/>
    <w:rsid w:val="69F927E8"/>
    <w:rsid w:val="6AA71125"/>
    <w:rsid w:val="6ACB2FE5"/>
    <w:rsid w:val="6B172183"/>
    <w:rsid w:val="6B1B3082"/>
    <w:rsid w:val="6B9419A4"/>
    <w:rsid w:val="6BE446D9"/>
    <w:rsid w:val="6C3C102C"/>
    <w:rsid w:val="6C8A61BC"/>
    <w:rsid w:val="6CC142E4"/>
    <w:rsid w:val="6DC57D1E"/>
    <w:rsid w:val="6EAD090F"/>
    <w:rsid w:val="6EDE4561"/>
    <w:rsid w:val="6F29273F"/>
    <w:rsid w:val="6F955A03"/>
    <w:rsid w:val="704801F8"/>
    <w:rsid w:val="704F1897"/>
    <w:rsid w:val="71C32FE3"/>
    <w:rsid w:val="71DD51F2"/>
    <w:rsid w:val="720609B1"/>
    <w:rsid w:val="72847E93"/>
    <w:rsid w:val="749E6BDC"/>
    <w:rsid w:val="74DB4CD4"/>
    <w:rsid w:val="754B57C9"/>
    <w:rsid w:val="759506DA"/>
    <w:rsid w:val="75BC7F38"/>
    <w:rsid w:val="763C145A"/>
    <w:rsid w:val="7A960B34"/>
    <w:rsid w:val="7B365EE5"/>
    <w:rsid w:val="7C7E7345"/>
    <w:rsid w:val="7D561930"/>
    <w:rsid w:val="7D6D6990"/>
    <w:rsid w:val="7D874DA3"/>
    <w:rsid w:val="7E8E2FE7"/>
    <w:rsid w:val="7F257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FD74C9-285F-4286-BA7A-AAAF3857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qFormat="1"/>
    <w:lsdException w:name="header" w:unhideWhenUsed="1" w:qFormat="1"/>
    <w:lsdException w:name="footer" w:uiPriority="99" w:unhideWhenUsed="1" w:qFormat="1"/>
    <w:lsdException w:name="caption" w:semiHidden="1" w:unhideWhenUsed="1" w:qFormat="1"/>
    <w:lsdException w:name="footnote reference" w:uiPriority="99" w:qFormat="1"/>
    <w:lsdException w:name="annotation reference" w:qFormat="1"/>
    <w:lsdException w:name="Title" w:uiPriority="10"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ind w:firstLineChars="151" w:firstLine="151"/>
      <w:outlineLvl w:val="0"/>
    </w:pPr>
    <w:rPr>
      <w:b/>
      <w:bCs/>
      <w:kern w:val="44"/>
      <w:sz w:val="28"/>
      <w:szCs w:val="44"/>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rPr>
      <w:rFonts w:ascii="Times New Roman" w:eastAsia="宋体" w:hAnsi="Times New Roman" w:cs="Times New Roman"/>
      <w:szCs w:val="24"/>
    </w:rPr>
  </w:style>
  <w:style w:type="paragraph" w:styleId="a4">
    <w:name w:val="Balloon Text"/>
    <w:basedOn w:val="a"/>
    <w:link w:val="Char0"/>
    <w:qFormat/>
    <w:rPr>
      <w:sz w:val="18"/>
      <w:szCs w:val="18"/>
    </w:rPr>
  </w:style>
  <w:style w:type="paragraph" w:styleId="a5">
    <w:name w:val="footer"/>
    <w:basedOn w:val="a"/>
    <w:uiPriority w:val="99"/>
    <w:unhideWhenUsed/>
    <w:qFormat/>
    <w:pPr>
      <w:tabs>
        <w:tab w:val="center" w:pos="4153"/>
        <w:tab w:val="right" w:pos="8306"/>
      </w:tabs>
      <w:jc w:val="left"/>
    </w:pPr>
    <w:rPr>
      <w:sz w:val="18"/>
      <w:szCs w:val="18"/>
    </w:rPr>
  </w:style>
  <w:style w:type="paragraph" w:styleId="a6">
    <w:name w:val="header"/>
    <w:basedOn w:val="a"/>
    <w:unhideWhenUsed/>
    <w:qFormat/>
    <w:pPr>
      <w:pBdr>
        <w:bottom w:val="single" w:sz="6" w:space="1" w:color="auto"/>
      </w:pBdr>
      <w:tabs>
        <w:tab w:val="center" w:pos="4153"/>
        <w:tab w:val="right" w:pos="8306"/>
      </w:tabs>
      <w:jc w:val="center"/>
    </w:pPr>
    <w:rPr>
      <w:sz w:val="18"/>
      <w:szCs w:val="18"/>
    </w:rPr>
  </w:style>
  <w:style w:type="paragraph" w:styleId="a7">
    <w:name w:val="footnote text"/>
    <w:basedOn w:val="a"/>
    <w:link w:val="Char1"/>
    <w:uiPriority w:val="99"/>
    <w:qFormat/>
    <w:pPr>
      <w:jc w:val="left"/>
    </w:pPr>
    <w:rPr>
      <w:rFonts w:ascii="Times New Roman" w:eastAsia="宋体" w:hAnsi="Times New Roman" w:cs="Times New Roman"/>
      <w:sz w:val="18"/>
      <w:szCs w:val="18"/>
    </w:rPr>
  </w:style>
  <w:style w:type="paragraph" w:styleId="a8">
    <w:name w:val="Normal (Web)"/>
    <w:basedOn w:val="a"/>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9">
    <w:name w:val="Title"/>
    <w:basedOn w:val="a"/>
    <w:next w:val="a"/>
    <w:uiPriority w:val="10"/>
    <w:qFormat/>
    <w:pPr>
      <w:spacing w:before="240" w:after="60"/>
      <w:jc w:val="center"/>
      <w:outlineLvl w:val="0"/>
    </w:pPr>
    <w:rPr>
      <w:rFonts w:asciiTheme="majorHAnsi" w:eastAsia="宋体" w:hAnsiTheme="majorHAnsi" w:cstheme="majorBidi"/>
      <w:b/>
      <w:bCs/>
      <w:sz w:val="32"/>
      <w:szCs w:val="32"/>
    </w:rPr>
  </w:style>
  <w:style w:type="paragraph" w:styleId="aa">
    <w:name w:val="annotation subject"/>
    <w:basedOn w:val="a3"/>
    <w:next w:val="a3"/>
    <w:link w:val="Char2"/>
    <w:qFormat/>
    <w:rPr>
      <w:b/>
      <w:bCs/>
    </w:rPr>
  </w:style>
  <w:style w:type="table" w:styleId="ab">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qFormat/>
    <w:rPr>
      <w:color w:val="0000FF"/>
      <w:u w:val="single"/>
    </w:rPr>
  </w:style>
  <w:style w:type="character" w:styleId="ad">
    <w:name w:val="annotation reference"/>
    <w:basedOn w:val="a0"/>
    <w:qFormat/>
    <w:rPr>
      <w:sz w:val="21"/>
      <w:szCs w:val="21"/>
    </w:rPr>
  </w:style>
  <w:style w:type="character" w:styleId="ae">
    <w:name w:val="footnote reference"/>
    <w:basedOn w:val="a0"/>
    <w:uiPriority w:val="99"/>
    <w:qFormat/>
    <w:rPr>
      <w:vertAlign w:val="superscript"/>
    </w:rPr>
  </w:style>
  <w:style w:type="paragraph" w:customStyle="1" w:styleId="10">
    <w:name w:val="列出段落1"/>
    <w:basedOn w:val="a"/>
    <w:uiPriority w:val="34"/>
    <w:qFormat/>
    <w:pPr>
      <w:widowControl/>
      <w:jc w:val="left"/>
    </w:pPr>
    <w:rPr>
      <w:rFonts w:ascii="Times New Roman" w:hAnsi="Times New Roman"/>
    </w:rPr>
  </w:style>
  <w:style w:type="paragraph" w:customStyle="1" w:styleId="2">
    <w:name w:val="列出段落2"/>
    <w:basedOn w:val="a"/>
    <w:uiPriority w:val="34"/>
    <w:qFormat/>
    <w:pPr>
      <w:ind w:firstLineChars="200" w:firstLine="420"/>
    </w:pPr>
  </w:style>
  <w:style w:type="paragraph" w:customStyle="1" w:styleId="11">
    <w:name w:val="列出段落11"/>
    <w:basedOn w:val="a"/>
    <w:qFormat/>
    <w:pPr>
      <w:widowControl/>
      <w:jc w:val="left"/>
    </w:pPr>
    <w:rPr>
      <w:rFonts w:ascii="Times New Roman" w:eastAsia="宋体" w:hAnsi="Times New Roman" w:cs="Times New Roman"/>
    </w:rPr>
  </w:style>
  <w:style w:type="paragraph" w:customStyle="1" w:styleId="af">
    <w:name w:val="正文所"/>
    <w:basedOn w:val="a"/>
    <w:qFormat/>
    <w:pPr>
      <w:ind w:firstLine="420"/>
    </w:pPr>
    <w:rPr>
      <w:szCs w:val="24"/>
    </w:rPr>
  </w:style>
  <w:style w:type="table" w:customStyle="1" w:styleId="12">
    <w:name w:val="网格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4"/>
    <w:qFormat/>
    <w:rPr>
      <w:kern w:val="2"/>
      <w:sz w:val="18"/>
      <w:szCs w:val="18"/>
    </w:rPr>
  </w:style>
  <w:style w:type="character" w:customStyle="1" w:styleId="3Char">
    <w:name w:val="标题 3 Char"/>
    <w:basedOn w:val="a0"/>
    <w:link w:val="3"/>
    <w:semiHidden/>
    <w:qFormat/>
    <w:rPr>
      <w:b/>
      <w:bCs/>
      <w:kern w:val="2"/>
      <w:sz w:val="32"/>
      <w:szCs w:val="32"/>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 w:type="character" w:customStyle="1" w:styleId="Char">
    <w:name w:val="批注文字 Char"/>
    <w:basedOn w:val="a0"/>
    <w:link w:val="a3"/>
    <w:uiPriority w:val="99"/>
    <w:qFormat/>
    <w:rPr>
      <w:kern w:val="2"/>
      <w:sz w:val="21"/>
      <w:szCs w:val="22"/>
    </w:rPr>
  </w:style>
  <w:style w:type="character" w:customStyle="1" w:styleId="Char2">
    <w:name w:val="批注主题 Char"/>
    <w:basedOn w:val="Char"/>
    <w:link w:val="aa"/>
    <w:qFormat/>
    <w:rPr>
      <w:b/>
      <w:bCs/>
      <w:kern w:val="2"/>
      <w:sz w:val="21"/>
      <w:szCs w:val="22"/>
    </w:rPr>
  </w:style>
  <w:style w:type="paragraph" w:customStyle="1" w:styleId="ListParagraph1">
    <w:name w:val="List Paragraph1"/>
    <w:basedOn w:val="a"/>
    <w:qFormat/>
    <w:pPr>
      <w:ind w:firstLineChars="200" w:firstLine="420"/>
    </w:pPr>
    <w:rPr>
      <w:rFonts w:ascii="Calibri" w:eastAsia="宋体" w:hAnsi="Calibri" w:cs="Times New Roman"/>
      <w:szCs w:val="21"/>
    </w:rPr>
  </w:style>
  <w:style w:type="paragraph" w:customStyle="1" w:styleId="20">
    <w:name w:val="修订2"/>
    <w:hidden/>
    <w:uiPriority w:val="99"/>
    <w:semiHidden/>
    <w:qFormat/>
    <w:rPr>
      <w:rFonts w:asciiTheme="minorHAnsi" w:eastAsiaTheme="minorEastAsia" w:hAnsiTheme="minorHAnsi" w:cstheme="minorBidi"/>
      <w:kern w:val="2"/>
      <w:sz w:val="21"/>
      <w:szCs w:val="22"/>
    </w:rPr>
  </w:style>
  <w:style w:type="character" w:customStyle="1" w:styleId="Char1">
    <w:name w:val="脚注文本 Char"/>
    <w:basedOn w:val="a0"/>
    <w:link w:val="a7"/>
    <w:uiPriority w:val="99"/>
    <w:qFormat/>
    <w:rPr>
      <w:rFonts w:ascii="Times New Roman" w:hAnsi="Times New Roman" w:cs="Times New Roman" w:hint="default"/>
      <w:kern w:val="2"/>
      <w:sz w:val="18"/>
      <w:szCs w:val="18"/>
    </w:rPr>
  </w:style>
  <w:style w:type="paragraph" w:customStyle="1" w:styleId="30">
    <w:name w:val="修订3"/>
    <w:hidden/>
    <w:uiPriority w:val="99"/>
    <w:semiHidden/>
    <w:qFormat/>
    <w:rPr>
      <w:rFonts w:asciiTheme="minorHAnsi" w:eastAsiaTheme="minorEastAsia" w:hAnsiTheme="minorHAnsi" w:cstheme="minorBidi"/>
      <w:kern w:val="2"/>
      <w:sz w:val="21"/>
      <w:szCs w:val="22"/>
    </w:rPr>
  </w:style>
  <w:style w:type="paragraph" w:customStyle="1" w:styleId="31">
    <w:name w:val="列出段落3"/>
    <w:basedOn w:val="a"/>
    <w:qFormat/>
    <w:pPr>
      <w:ind w:firstLineChars="200" w:firstLine="420"/>
    </w:pPr>
    <w:rPr>
      <w:rFonts w:ascii="Calibri" w:eastAsia="宋体" w:hAnsi="Calibri" w:cs="Times New Roman"/>
      <w:szCs w:val="21"/>
    </w:rPr>
  </w:style>
  <w:style w:type="paragraph" w:styleId="af0">
    <w:name w:val="List Paragraph"/>
    <w:basedOn w:val="a"/>
    <w:uiPriority w:val="34"/>
    <w:qFormat/>
    <w:pPr>
      <w:ind w:firstLine="420"/>
    </w:pPr>
  </w:style>
  <w:style w:type="paragraph" w:customStyle="1" w:styleId="4">
    <w:name w:val="修订4"/>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58CEB-B4C0-4FB1-91A6-5524D675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869</Words>
  <Characters>4954</Characters>
  <Application>Microsoft Office Word</Application>
  <DocSecurity>0</DocSecurity>
  <Lines>41</Lines>
  <Paragraphs>11</Paragraphs>
  <ScaleCrop>false</ScaleCrop>
  <Company>BOC</Company>
  <LinksUpToDate>false</LinksUpToDate>
  <CharactersWithSpaces>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2047159</dc:creator>
  <cp:lastModifiedBy>孟可心</cp:lastModifiedBy>
  <cp:revision>18</cp:revision>
  <cp:lastPrinted>2024-09-18T10:07:00Z</cp:lastPrinted>
  <dcterms:created xsi:type="dcterms:W3CDTF">2025-08-22T02:23:00Z</dcterms:created>
  <dcterms:modified xsi:type="dcterms:W3CDTF">2025-10-24T00:30:00Z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D281E976627C4303A19A65F48F6974CE</vt:lpwstr>
  </property>
</Properties>
</file>