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69E" w:rsidRDefault="007B0020">
      <w:pPr>
        <w:jc w:val="center"/>
        <w:rPr>
          <w:rFonts w:ascii="黑体" w:eastAsia="黑体" w:hAnsi="黑体" w:cs="宋体"/>
          <w:b/>
          <w:bCs/>
          <w:sz w:val="32"/>
        </w:rPr>
      </w:pPr>
      <w:bookmarkStart w:id="0" w:name="_GoBack"/>
      <w:bookmarkEnd w:id="0"/>
      <w:r>
        <w:rPr>
          <w:rFonts w:ascii="黑体" w:eastAsia="黑体" w:hAnsi="黑体" w:cs="宋体" w:hint="eastAsia"/>
          <w:b/>
          <w:bCs/>
          <w:sz w:val="32"/>
        </w:rPr>
        <w:t>中银理财</w:t>
      </w:r>
      <w:r>
        <w:rPr>
          <w:rFonts w:ascii="黑体" w:eastAsia="黑体" w:hAnsi="黑体" w:cs="宋体"/>
          <w:b/>
          <w:bCs/>
          <w:sz w:val="32"/>
        </w:rPr>
        <w:t>-</w:t>
      </w:r>
      <w:r>
        <w:rPr>
          <w:rFonts w:ascii="黑体" w:eastAsia="黑体" w:hAnsi="黑体" w:cs="宋体" w:hint="eastAsia"/>
          <w:b/>
          <w:bCs/>
          <w:sz w:val="32"/>
        </w:rPr>
        <w:t>乐享天天</w:t>
      </w:r>
      <w:r>
        <w:rPr>
          <w:rFonts w:ascii="黑体" w:eastAsia="黑体" w:hAnsi="黑体" w:cs="宋体"/>
          <w:b/>
          <w:bCs/>
          <w:sz w:val="32"/>
        </w:rPr>
        <w:t>27</w:t>
      </w:r>
      <w:r>
        <w:rPr>
          <w:rFonts w:ascii="黑体" w:eastAsia="黑体" w:hAnsi="黑体" w:cs="宋体" w:hint="eastAsia"/>
          <w:b/>
          <w:bCs/>
          <w:sz w:val="32"/>
        </w:rPr>
        <w:t>号产品说明书</w:t>
      </w:r>
    </w:p>
    <w:p w:rsidR="00C1769E" w:rsidRDefault="007B0020">
      <w:pPr>
        <w:pStyle w:val="a8"/>
        <w:widowControl w:val="0"/>
        <w:tabs>
          <w:tab w:val="left" w:pos="720"/>
        </w:tabs>
        <w:overflowPunct w:val="0"/>
        <w:topLinePunct/>
        <w:autoSpaceDE w:val="0"/>
        <w:autoSpaceDN w:val="0"/>
        <w:spacing w:beforeLines="100" w:before="312" w:beforeAutospacing="0" w:after="0" w:afterAutospacing="0"/>
        <w:jc w:val="center"/>
        <w:rPr>
          <w:rFonts w:ascii="黑体" w:eastAsia="黑体" w:hAnsi="黑体" w:cstheme="majorBidi"/>
          <w:b/>
          <w:bCs/>
          <w:kern w:val="2"/>
          <w:sz w:val="32"/>
          <w:szCs w:val="32"/>
        </w:rPr>
      </w:pPr>
      <w:r>
        <w:rPr>
          <w:rFonts w:ascii="黑体" w:eastAsia="黑体" w:hAnsi="黑体" w:cstheme="majorBidi" w:hint="eastAsia"/>
          <w:b/>
          <w:bCs/>
          <w:kern w:val="2"/>
          <w:sz w:val="32"/>
          <w:szCs w:val="32"/>
        </w:rPr>
        <w:t>【产品代码：L</w:t>
      </w:r>
      <w:r>
        <w:rPr>
          <w:rFonts w:ascii="黑体" w:eastAsia="黑体" w:hAnsi="黑体" w:cstheme="majorBidi"/>
          <w:b/>
          <w:bCs/>
          <w:kern w:val="2"/>
          <w:sz w:val="32"/>
          <w:szCs w:val="32"/>
        </w:rPr>
        <w:t>XTT27</w:t>
      </w:r>
      <w:r>
        <w:rPr>
          <w:rFonts w:ascii="黑体" w:eastAsia="黑体" w:hAnsi="黑体" w:cstheme="majorBidi" w:hint="eastAsia"/>
          <w:b/>
          <w:bCs/>
          <w:kern w:val="2"/>
          <w:sz w:val="32"/>
          <w:szCs w:val="32"/>
        </w:rPr>
        <w:t>】</w:t>
      </w:r>
    </w:p>
    <w:p w:rsidR="00C1769E" w:rsidRDefault="007B0020">
      <w:pPr>
        <w:widowControl/>
        <w:jc w:val="center"/>
        <w:rPr>
          <w:rFonts w:ascii="黑体" w:eastAsia="黑体" w:hAnsi="黑体" w:cstheme="majorBidi"/>
          <w:b/>
          <w:bCs/>
          <w:sz w:val="32"/>
          <w:szCs w:val="32"/>
        </w:rPr>
      </w:pPr>
      <w:r>
        <w:rPr>
          <w:rFonts w:ascii="黑体" w:eastAsia="黑体" w:hAnsi="黑体" w:cstheme="majorBidi" w:hint="eastAsia"/>
          <w:b/>
          <w:bCs/>
          <w:sz w:val="32"/>
          <w:szCs w:val="32"/>
        </w:rPr>
        <w:t>【产品登记编码：</w:t>
      </w:r>
      <w:r>
        <w:rPr>
          <w:rFonts w:ascii="黑体" w:eastAsia="黑体" w:hAnsi="黑体" w:cstheme="majorBidi"/>
          <w:b/>
          <w:bCs/>
          <w:sz w:val="32"/>
          <w:szCs w:val="32"/>
        </w:rPr>
        <w:t>Z7001025000525</w:t>
      </w:r>
      <w:r>
        <w:rPr>
          <w:rFonts w:ascii="黑体" w:eastAsia="黑体" w:hAnsi="黑体" w:cstheme="majorBidi" w:hint="eastAsia"/>
          <w:b/>
          <w:bCs/>
          <w:sz w:val="32"/>
          <w:szCs w:val="32"/>
        </w:rPr>
        <w:t>】</w:t>
      </w:r>
    </w:p>
    <w:p w:rsidR="00C1769E" w:rsidRDefault="00C1769E">
      <w:pPr>
        <w:spacing w:line="312" w:lineRule="auto"/>
        <w:ind w:firstLine="482"/>
        <w:jc w:val="center"/>
        <w:rPr>
          <w:rFonts w:ascii="黑体" w:eastAsia="黑体" w:hAnsi="黑体" w:cstheme="majorBidi"/>
          <w:b/>
          <w:bCs/>
          <w:sz w:val="32"/>
          <w:szCs w:val="32"/>
        </w:rPr>
      </w:pP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9"/>
        <w:gridCol w:w="1805"/>
        <w:gridCol w:w="6094"/>
      </w:tblGrid>
      <w:tr w:rsidR="00C1769E">
        <w:trPr>
          <w:jc w:val="center"/>
        </w:trPr>
        <w:tc>
          <w:tcPr>
            <w:tcW w:w="9248" w:type="dxa"/>
            <w:gridSpan w:val="3"/>
          </w:tcPr>
          <w:p w:rsidR="00C1769E" w:rsidRDefault="007B0020">
            <w:pPr>
              <w:rPr>
                <w:rFonts w:ascii="黑体" w:eastAsia="黑体" w:hAnsi="黑体"/>
                <w:szCs w:val="21"/>
              </w:rPr>
            </w:pPr>
            <w:r>
              <w:rPr>
                <w:rFonts w:ascii="黑体" w:eastAsia="黑体" w:hAnsi="黑体" w:hint="eastAsia"/>
                <w:szCs w:val="21"/>
              </w:rPr>
              <w:t>特别提示：</w:t>
            </w:r>
          </w:p>
          <w:p w:rsidR="00C1769E" w:rsidRDefault="007B0020" w:rsidP="007B0020">
            <w:pPr>
              <w:pStyle w:val="10"/>
              <w:numPr>
                <w:ilvl w:val="0"/>
                <w:numId w:val="10"/>
              </w:numPr>
              <w:ind w:leftChars="218" w:left="886" w:hanging="428"/>
              <w:rPr>
                <w:rFonts w:ascii="黑体" w:eastAsia="黑体" w:hAnsi="黑体" w:cs="Arial Unicode MS"/>
                <w:szCs w:val="21"/>
              </w:rPr>
            </w:pPr>
            <w:r>
              <w:rPr>
                <w:rFonts w:ascii="黑体" w:eastAsia="黑体" w:hAnsi="黑体" w:cs="Arial Unicode MS" w:hint="eastAsia"/>
                <w:b/>
              </w:rPr>
              <w:t>理财非存款、产品有风险、投资须谨慎。</w:t>
            </w:r>
            <w:r>
              <w:rPr>
                <w:rFonts w:ascii="黑体" w:eastAsia="黑体" w:hAnsi="黑体" w:cs="Arial Unicode MS" w:hint="eastAsia"/>
              </w:rPr>
              <w:t>投资者（客户）应本着“充分了解风险、自主选择购买”的原则自愿将其合法所有的资金用于认（申）购中银理财有限责任公司（以下简称“中银理财”）发行的理财产品。本理财产品有投资风险，不保证资金本金和理财收益，如出现所投资的金融资产市场价格下跌、未按时足额支付本金及</w:t>
            </w:r>
            <w:r>
              <w:rPr>
                <w:rFonts w:ascii="黑体" w:eastAsia="黑体" w:hAnsi="黑体" w:cs="Arial Unicode MS"/>
              </w:rPr>
              <w:t>/或收益或提前终止等不利情况，则将出现理财收益为零或本金损失（甚至全部损失）的情形，并存在被中银理财提前终止的可能，请充分认识投资风险，谨慎投资。</w:t>
            </w:r>
          </w:p>
          <w:p w:rsidR="00C1769E" w:rsidRDefault="007B0020" w:rsidP="007B0020">
            <w:pPr>
              <w:pStyle w:val="10"/>
              <w:numPr>
                <w:ilvl w:val="0"/>
                <w:numId w:val="10"/>
              </w:numPr>
              <w:ind w:leftChars="218" w:left="886" w:hanging="428"/>
              <w:rPr>
                <w:rFonts w:ascii="黑体" w:eastAsia="黑体" w:hAnsi="黑体" w:cs="Arial Unicode MS"/>
                <w:b/>
              </w:rPr>
            </w:pPr>
            <w:r>
              <w:rPr>
                <w:rFonts w:ascii="黑体" w:eastAsia="黑体" w:hAnsi="黑体" w:cs="Arial Unicode MS" w:hint="eastAsia"/>
                <w:b/>
              </w:rPr>
              <w:t>理财产品过往业绩不代表其未来表现，不等于理财产品实际收益，投资须谨慎。</w:t>
            </w:r>
          </w:p>
          <w:p w:rsidR="00C1769E" w:rsidRDefault="007B0020" w:rsidP="007B0020">
            <w:pPr>
              <w:pStyle w:val="10"/>
              <w:numPr>
                <w:ilvl w:val="0"/>
                <w:numId w:val="10"/>
              </w:numPr>
              <w:ind w:leftChars="218" w:left="886" w:hanging="428"/>
              <w:rPr>
                <w:rFonts w:ascii="黑体" w:eastAsia="黑体" w:hAnsi="黑体" w:cs="Arial Unicode MS"/>
              </w:rPr>
            </w:pPr>
            <w:r>
              <w:rPr>
                <w:rFonts w:ascii="黑体" w:eastAsia="黑体" w:hAnsi="黑体" w:cs="Arial Unicode MS" w:hint="eastAsia"/>
              </w:rPr>
              <w:t>主要风险列示：包括市场风险、信用风险、流动性风险、操作风险、管理风险、法律风险、政策风险、产品不成立风险、提前终止的风险、信息传递风险、赎回款项支付延迟风险、投资标的特有风险、其他风险等。（详见本理财产品说明书“九、风险揭示”部分）。</w:t>
            </w:r>
          </w:p>
          <w:p w:rsidR="00C1769E" w:rsidRDefault="007B0020" w:rsidP="007B0020">
            <w:pPr>
              <w:pStyle w:val="10"/>
              <w:numPr>
                <w:ilvl w:val="0"/>
                <w:numId w:val="10"/>
              </w:numPr>
              <w:ind w:leftChars="218" w:left="886" w:hanging="428"/>
              <w:rPr>
                <w:rFonts w:ascii="黑体" w:eastAsia="黑体" w:hAnsi="黑体" w:cs="Arial Unicode MS"/>
              </w:rPr>
            </w:pPr>
            <w:r>
              <w:rPr>
                <w:rFonts w:ascii="黑体" w:eastAsia="黑体" w:hAnsi="黑体" w:cs="Arial Unicode MS" w:hint="eastAsia"/>
              </w:rPr>
              <w:t>中银理财郑重提示：投资者在认（申）购本理财产品前应仔细阅读本《产品说明书》及《风险揭示书》，确保完全明白该项投资的性质和所涉及的风险，详细了解和审慎评估该理财产品的资金投资方向、风险类型和收益等基本情况，在慎重考虑后自行决定购买与自身风险承受能力和资产管理需求匹配的理财产品。本理财产品的业绩比较基准不是预期收益率，不代表本理财产品的未来表现，也不代表投资者最终可获得的实际收益，不代表产品管理人对本理财产品的收益承诺或保证，投资者所能获得的最终收益以中银理财根据本理财产品的投资运作情况实际支付给投资者的收益为准。</w:t>
            </w:r>
          </w:p>
          <w:p w:rsidR="00C1769E" w:rsidRDefault="007B0020" w:rsidP="007B0020">
            <w:pPr>
              <w:pStyle w:val="10"/>
              <w:numPr>
                <w:ilvl w:val="0"/>
                <w:numId w:val="10"/>
              </w:numPr>
              <w:ind w:leftChars="218" w:left="886" w:hanging="428"/>
              <w:rPr>
                <w:rFonts w:ascii="黑体" w:eastAsia="黑体" w:hAnsi="黑体" w:cs="Arial Unicode MS"/>
              </w:rPr>
            </w:pPr>
            <w:r>
              <w:rPr>
                <w:rFonts w:ascii="黑体" w:eastAsia="黑体" w:hAnsi="黑体" w:cs="Arial Unicode MS" w:hint="eastAsia"/>
              </w:rPr>
              <w:t>投资者通过代销机构或直接与中银理财签署理财产品投资协议书等销售文件后，代销机构或中银理财在划款时，不再通过任何方式与投资者进行最后确认，直接划款。</w:t>
            </w:r>
          </w:p>
          <w:p w:rsidR="00C1769E" w:rsidRDefault="007B0020" w:rsidP="007B0020">
            <w:pPr>
              <w:pStyle w:val="10"/>
              <w:numPr>
                <w:ilvl w:val="0"/>
                <w:numId w:val="10"/>
              </w:numPr>
              <w:ind w:leftChars="218" w:left="886" w:hanging="428"/>
              <w:rPr>
                <w:rFonts w:ascii="黑体" w:eastAsia="黑体" w:hAnsi="黑体" w:cs="Arial Unicode MS"/>
              </w:rPr>
            </w:pPr>
            <w:r>
              <w:rPr>
                <w:rFonts w:ascii="黑体" w:eastAsia="黑体" w:hAnsi="黑体" w:cs="Arial Unicode MS" w:hint="eastAsia"/>
              </w:rPr>
              <w:t>本理财产品说明书在法律许可的范围内由中银理财负责解释。</w:t>
            </w:r>
          </w:p>
          <w:p w:rsidR="00C1769E" w:rsidRDefault="007B0020" w:rsidP="007B0020">
            <w:pPr>
              <w:pStyle w:val="10"/>
              <w:numPr>
                <w:ilvl w:val="0"/>
                <w:numId w:val="10"/>
              </w:numPr>
              <w:ind w:leftChars="218" w:left="886" w:hanging="428"/>
              <w:rPr>
                <w:rFonts w:ascii="黑体" w:eastAsia="黑体" w:hAnsi="黑体" w:cs="Arial Unicode MS"/>
              </w:rPr>
            </w:pPr>
            <w:r>
              <w:rPr>
                <w:rFonts w:ascii="黑体" w:eastAsia="黑体" w:hAnsi="黑体" w:cs="Arial Unicode MS" w:hint="eastAsia"/>
              </w:rPr>
              <w:t>购买理财产品后，投资者应随时关注该理财产品的信息披露情况，及时、主动获取相关信息。</w:t>
            </w:r>
          </w:p>
          <w:p w:rsidR="00C1769E" w:rsidRDefault="00C1769E">
            <w:pPr>
              <w:pStyle w:val="10"/>
              <w:tabs>
                <w:tab w:val="left" w:pos="454"/>
                <w:tab w:val="left" w:pos="1003"/>
              </w:tabs>
              <w:ind w:leftChars="13" w:left="453" w:hanging="426"/>
              <w:rPr>
                <w:rFonts w:ascii="黑体" w:eastAsia="黑体" w:hAnsi="黑体" w:cs="Arial Unicode MS"/>
                <w:szCs w:val="21"/>
              </w:rPr>
            </w:pPr>
          </w:p>
          <w:p w:rsidR="00C1769E" w:rsidRDefault="007B0020">
            <w:pPr>
              <w:ind w:firstLineChars="200" w:firstLine="420"/>
              <w:rPr>
                <w:rFonts w:ascii="黑体" w:eastAsia="黑体" w:hAnsi="黑体"/>
                <w:szCs w:val="21"/>
              </w:rPr>
            </w:pPr>
            <w:r>
              <w:rPr>
                <w:rFonts w:ascii="黑体" w:eastAsia="黑体" w:hAnsi="黑体" w:cs="Arial Unicode MS" w:hint="eastAsia"/>
              </w:rPr>
              <w:t>下面关于本理财产品的风险评级和相关描述，为中银理财内部评级。该产品通过代理销售机构渠道销售的，理财产品评级应当以代理销售机构最终披露的评级结果为准。</w:t>
            </w:r>
          </w:p>
        </w:tc>
      </w:tr>
      <w:tr w:rsidR="00C1769E">
        <w:trPr>
          <w:trHeight w:val="556"/>
          <w:jc w:val="center"/>
        </w:trPr>
        <w:tc>
          <w:tcPr>
            <w:tcW w:w="1349" w:type="dxa"/>
            <w:vAlign w:val="center"/>
          </w:tcPr>
          <w:p w:rsidR="00C1769E" w:rsidRDefault="007B0020">
            <w:pPr>
              <w:topLinePunct/>
              <w:spacing w:line="360" w:lineRule="exact"/>
              <w:jc w:val="center"/>
              <w:rPr>
                <w:rFonts w:ascii="黑体" w:eastAsia="黑体" w:hAnsi="黑体" w:cs="Arial Unicode MS"/>
                <w:szCs w:val="18"/>
              </w:rPr>
            </w:pPr>
            <w:r>
              <w:rPr>
                <w:rFonts w:ascii="黑体" w:eastAsia="黑体" w:hAnsi="黑体" w:cs="Arial Unicode MS" w:hint="eastAsia"/>
                <w:szCs w:val="18"/>
              </w:rPr>
              <w:t>风险级别</w:t>
            </w:r>
          </w:p>
        </w:tc>
        <w:tc>
          <w:tcPr>
            <w:tcW w:w="1805" w:type="dxa"/>
            <w:vAlign w:val="center"/>
          </w:tcPr>
          <w:p w:rsidR="00C1769E" w:rsidRDefault="007B0020">
            <w:pPr>
              <w:topLinePunct/>
              <w:spacing w:line="360" w:lineRule="exact"/>
              <w:jc w:val="center"/>
              <w:rPr>
                <w:rFonts w:ascii="黑体" w:eastAsia="黑体" w:hAnsi="黑体" w:cs="Arial Unicode MS"/>
                <w:szCs w:val="18"/>
              </w:rPr>
            </w:pPr>
            <w:r>
              <w:rPr>
                <w:rFonts w:ascii="黑体" w:eastAsia="黑体" w:hAnsi="黑体" w:cs="Arial Unicode MS"/>
                <w:szCs w:val="18"/>
              </w:rPr>
              <w:t>1、低风险产品</w:t>
            </w:r>
          </w:p>
        </w:tc>
        <w:tc>
          <w:tcPr>
            <w:tcW w:w="6094" w:type="dxa"/>
            <w:vAlign w:val="center"/>
          </w:tcPr>
          <w:p w:rsidR="00C1769E" w:rsidRDefault="007B0020">
            <w:pPr>
              <w:topLinePunct/>
              <w:spacing w:line="360" w:lineRule="exact"/>
              <w:jc w:val="center"/>
              <w:rPr>
                <w:rFonts w:ascii="黑体" w:eastAsia="黑体" w:hAnsi="黑体" w:cs="Arial Unicode MS"/>
                <w:szCs w:val="18"/>
              </w:rPr>
            </w:pPr>
            <w:r>
              <w:rPr>
                <w:rFonts w:ascii="黑体" w:eastAsia="黑体" w:hAnsi="黑体" w:cs="黑体" w:hint="eastAsia"/>
                <w:kern w:val="0"/>
                <w:szCs w:val="21"/>
              </w:rPr>
              <w:t>出现本金损失的概率极低，且净值波动率极低的产品。</w:t>
            </w:r>
          </w:p>
        </w:tc>
      </w:tr>
    </w:tbl>
    <w:p w:rsidR="00C1769E" w:rsidRDefault="00C1769E">
      <w:pPr>
        <w:widowControl/>
        <w:jc w:val="left"/>
        <w:rPr>
          <w:rFonts w:cs="楷体"/>
          <w:b/>
          <w:bCs/>
          <w:kern w:val="44"/>
          <w:sz w:val="28"/>
          <w:szCs w:val="44"/>
        </w:rPr>
      </w:pPr>
    </w:p>
    <w:p w:rsidR="00C1769E" w:rsidRDefault="007B0020">
      <w:pPr>
        <w:widowControl/>
        <w:jc w:val="left"/>
        <w:rPr>
          <w:rFonts w:cs="楷体"/>
          <w:b/>
          <w:bCs/>
          <w:kern w:val="44"/>
          <w:sz w:val="28"/>
          <w:szCs w:val="44"/>
        </w:rPr>
      </w:pPr>
      <w:r>
        <w:rPr>
          <w:rFonts w:cs="楷体"/>
          <w:b/>
          <w:bCs/>
          <w:kern w:val="44"/>
          <w:sz w:val="28"/>
          <w:szCs w:val="44"/>
        </w:rPr>
        <w:br w:type="page"/>
      </w: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lastRenderedPageBreak/>
        <w:t>产品基本信息</w:t>
      </w: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6801"/>
      </w:tblGrid>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sz w:val="21"/>
                <w:szCs w:val="18"/>
              </w:rPr>
            </w:pPr>
            <w:r>
              <w:rPr>
                <w:rFonts w:ascii="楷体" w:eastAsia="楷体" w:hAnsi="楷体" w:cs="楷体" w:hint="eastAsia"/>
                <w:sz w:val="21"/>
                <w:szCs w:val="18"/>
              </w:rPr>
              <w:t>投资者类型</w:t>
            </w:r>
          </w:p>
        </w:tc>
        <w:tc>
          <w:tcPr>
            <w:tcW w:w="6801" w:type="dxa"/>
          </w:tcPr>
          <w:p w:rsidR="00C1769E" w:rsidRDefault="007B0020" w:rsidP="00A12C4E">
            <w:pPr>
              <w:pStyle w:val="a8"/>
              <w:widowControl w:val="0"/>
              <w:tabs>
                <w:tab w:val="left" w:pos="720"/>
              </w:tabs>
              <w:topLinePunct/>
              <w:spacing w:before="0" w:beforeAutospacing="0" w:after="0" w:afterAutospacing="0" w:line="360" w:lineRule="exact"/>
              <w:jc w:val="both"/>
              <w:rPr>
                <w:rFonts w:ascii="楷体" w:eastAsia="楷体" w:hAnsi="楷体" w:cs="楷体"/>
                <w:sz w:val="21"/>
                <w:szCs w:val="18"/>
              </w:rPr>
            </w:pPr>
            <w:r>
              <w:rPr>
                <w:rFonts w:ascii="楷体" w:eastAsia="楷体" w:hAnsi="楷体" w:cs="楷体" w:hint="eastAsia"/>
                <w:sz w:val="21"/>
                <w:szCs w:val="21"/>
              </w:rPr>
              <w:t>经产品销售机构风险承受能力评估为谨慎型、稳健型、平衡型、进取型和激进型的个人投资者。具体以销售机构风险评级结果和销售要求为准。</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理财产品名称</w:t>
            </w:r>
          </w:p>
        </w:tc>
        <w:tc>
          <w:tcPr>
            <w:tcW w:w="6801"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中银理财</w:t>
            </w:r>
            <w:r>
              <w:rPr>
                <w:rFonts w:ascii="楷体" w:eastAsia="楷体" w:hAnsi="楷体" w:cs="楷体"/>
                <w:kern w:val="2"/>
                <w:sz w:val="21"/>
                <w:szCs w:val="21"/>
              </w:rPr>
              <w:t>-</w:t>
            </w:r>
            <w:r>
              <w:rPr>
                <w:rFonts w:ascii="楷体" w:eastAsia="楷体" w:hAnsi="楷体" w:cs="楷体" w:hint="eastAsia"/>
                <w:kern w:val="2"/>
                <w:sz w:val="21"/>
                <w:szCs w:val="21"/>
              </w:rPr>
              <w:t>乐</w:t>
            </w:r>
            <w:r>
              <w:rPr>
                <w:rFonts w:ascii="楷体" w:eastAsia="楷体" w:hAnsi="楷体" w:cs="楷体"/>
                <w:kern w:val="2"/>
                <w:sz w:val="21"/>
                <w:szCs w:val="21"/>
              </w:rPr>
              <w:t>享天天</w:t>
            </w:r>
            <w:r>
              <w:rPr>
                <w:rFonts w:ascii="楷体" w:eastAsia="楷体" w:hAnsi="楷体" w:cstheme="minorBidi"/>
                <w:kern w:val="2"/>
                <w:sz w:val="21"/>
                <w:szCs w:val="21"/>
              </w:rPr>
              <w:t>27</w:t>
            </w:r>
            <w:r>
              <w:rPr>
                <w:rFonts w:ascii="楷体" w:eastAsia="楷体" w:hAnsi="楷体" w:cstheme="minorBidi" w:hint="eastAsia"/>
                <w:kern w:val="2"/>
                <w:sz w:val="21"/>
                <w:szCs w:val="21"/>
              </w:rPr>
              <w:t>号</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理财产品简称</w:t>
            </w:r>
          </w:p>
        </w:tc>
        <w:tc>
          <w:tcPr>
            <w:tcW w:w="6801" w:type="dxa"/>
            <w:tcBorders>
              <w:bottom w:val="single" w:sz="4" w:space="0" w:color="auto"/>
            </w:tcBorders>
          </w:tcPr>
          <w:p w:rsidR="00C1769E" w:rsidRDefault="005B1628" w:rsidP="0090394A">
            <w:pPr>
              <w:pStyle w:val="a8"/>
              <w:widowControl w:val="0"/>
              <w:tabs>
                <w:tab w:val="left" w:pos="720"/>
              </w:tabs>
              <w:topLinePunct/>
              <w:spacing w:before="0" w:beforeAutospacing="0" w:after="0" w:afterAutospacing="0" w:line="360" w:lineRule="exact"/>
              <w:rPr>
                <w:rFonts w:ascii="楷体" w:eastAsia="楷体" w:hAnsi="楷体" w:cstheme="minorBidi"/>
                <w:kern w:val="2"/>
                <w:sz w:val="21"/>
                <w:szCs w:val="21"/>
              </w:rPr>
            </w:pPr>
            <w:r>
              <w:rPr>
                <w:rFonts w:ascii="楷体" w:eastAsia="楷体" w:hAnsi="楷体" w:cs="楷体" w:hint="eastAsia"/>
                <w:kern w:val="2"/>
                <w:sz w:val="21"/>
                <w:szCs w:val="21"/>
              </w:rPr>
              <w:t>C份额：</w:t>
            </w:r>
            <w:r w:rsidR="007B0020">
              <w:rPr>
                <w:rFonts w:ascii="楷体" w:eastAsia="楷体" w:hAnsi="楷体" w:cs="楷体" w:hint="eastAsia"/>
                <w:kern w:val="2"/>
                <w:sz w:val="21"/>
                <w:szCs w:val="21"/>
              </w:rPr>
              <w:t>中银理财</w:t>
            </w:r>
            <w:r w:rsidR="007B0020">
              <w:rPr>
                <w:rFonts w:ascii="楷体" w:eastAsia="楷体" w:hAnsi="楷体" w:cs="楷体"/>
                <w:kern w:val="2"/>
                <w:sz w:val="21"/>
                <w:szCs w:val="21"/>
              </w:rPr>
              <w:t>-</w:t>
            </w:r>
            <w:r w:rsidR="007B0020">
              <w:rPr>
                <w:rFonts w:ascii="楷体" w:eastAsia="楷体" w:hAnsi="楷体" w:cs="楷体" w:hint="eastAsia"/>
                <w:kern w:val="2"/>
                <w:sz w:val="21"/>
                <w:szCs w:val="21"/>
              </w:rPr>
              <w:t>乐</w:t>
            </w:r>
            <w:r w:rsidR="007B0020">
              <w:rPr>
                <w:rFonts w:ascii="楷体" w:eastAsia="楷体" w:hAnsi="楷体" w:cs="楷体"/>
                <w:kern w:val="2"/>
                <w:sz w:val="21"/>
                <w:szCs w:val="21"/>
              </w:rPr>
              <w:t>享天天</w:t>
            </w:r>
            <w:r w:rsidR="007B0020">
              <w:rPr>
                <w:rFonts w:ascii="楷体" w:eastAsia="楷体" w:hAnsi="楷体" w:cstheme="minorBidi"/>
                <w:kern w:val="2"/>
                <w:sz w:val="21"/>
                <w:szCs w:val="21"/>
              </w:rPr>
              <w:t>27</w:t>
            </w:r>
            <w:r w:rsidR="007B0020">
              <w:rPr>
                <w:rFonts w:ascii="楷体" w:eastAsia="楷体" w:hAnsi="楷体" w:cstheme="minorBidi" w:hint="eastAsia"/>
                <w:kern w:val="2"/>
                <w:sz w:val="21"/>
                <w:szCs w:val="21"/>
              </w:rPr>
              <w:t>号</w:t>
            </w:r>
            <w:r w:rsidR="0090394A">
              <w:rPr>
                <w:rFonts w:ascii="楷体" w:eastAsia="楷体" w:hAnsi="楷体" w:cstheme="minorBidi"/>
                <w:kern w:val="2"/>
                <w:sz w:val="21"/>
                <w:szCs w:val="21"/>
              </w:rPr>
              <w:t>C</w:t>
            </w:r>
          </w:p>
          <w:p w:rsidR="005B1628" w:rsidRDefault="005B1628" w:rsidP="0090394A">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theme="minorBidi"/>
                <w:kern w:val="2"/>
                <w:sz w:val="21"/>
                <w:szCs w:val="21"/>
              </w:rPr>
              <w:t>E</w:t>
            </w:r>
            <w:r>
              <w:rPr>
                <w:rFonts w:ascii="楷体" w:eastAsia="楷体" w:hAnsi="楷体" w:cstheme="minorBidi" w:hint="eastAsia"/>
                <w:kern w:val="2"/>
                <w:sz w:val="21"/>
                <w:szCs w:val="21"/>
              </w:rPr>
              <w:t>份额：</w:t>
            </w:r>
            <w:r>
              <w:rPr>
                <w:rFonts w:ascii="楷体" w:eastAsia="楷体" w:hAnsi="楷体" w:cs="楷体" w:hint="eastAsia"/>
                <w:kern w:val="2"/>
                <w:sz w:val="21"/>
                <w:szCs w:val="21"/>
              </w:rPr>
              <w:t>中银理财</w:t>
            </w:r>
            <w:r>
              <w:rPr>
                <w:rFonts w:ascii="楷体" w:eastAsia="楷体" w:hAnsi="楷体" w:cs="楷体"/>
                <w:kern w:val="2"/>
                <w:sz w:val="21"/>
                <w:szCs w:val="21"/>
              </w:rPr>
              <w:t>-</w:t>
            </w:r>
            <w:r>
              <w:rPr>
                <w:rFonts w:ascii="楷体" w:eastAsia="楷体" w:hAnsi="楷体" w:cs="楷体" w:hint="eastAsia"/>
                <w:kern w:val="2"/>
                <w:sz w:val="21"/>
                <w:szCs w:val="21"/>
              </w:rPr>
              <w:t>乐</w:t>
            </w:r>
            <w:r>
              <w:rPr>
                <w:rFonts w:ascii="楷体" w:eastAsia="楷体" w:hAnsi="楷体" w:cs="楷体"/>
                <w:kern w:val="2"/>
                <w:sz w:val="21"/>
                <w:szCs w:val="21"/>
              </w:rPr>
              <w:t>享天天</w:t>
            </w:r>
            <w:r>
              <w:rPr>
                <w:rFonts w:ascii="楷体" w:eastAsia="楷体" w:hAnsi="楷体" w:cstheme="minorBidi"/>
                <w:kern w:val="2"/>
                <w:sz w:val="21"/>
                <w:szCs w:val="21"/>
              </w:rPr>
              <w:t>27</w:t>
            </w:r>
            <w:r>
              <w:rPr>
                <w:rFonts w:ascii="楷体" w:eastAsia="楷体" w:hAnsi="楷体" w:cstheme="minorBidi" w:hint="eastAsia"/>
                <w:kern w:val="2"/>
                <w:sz w:val="21"/>
                <w:szCs w:val="21"/>
              </w:rPr>
              <w:t>号E</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理财产品代码</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b/>
                <w:kern w:val="2"/>
                <w:sz w:val="21"/>
                <w:szCs w:val="21"/>
              </w:rPr>
            </w:pPr>
            <w:r>
              <w:rPr>
                <w:rFonts w:ascii="楷体" w:eastAsia="楷体" w:hAnsi="楷体" w:cs="楷体" w:hint="eastAsia"/>
                <w:bCs/>
                <w:kern w:val="2"/>
                <w:sz w:val="21"/>
                <w:szCs w:val="21"/>
              </w:rPr>
              <w:t>【L</w:t>
            </w:r>
            <w:r>
              <w:rPr>
                <w:rFonts w:ascii="楷体" w:eastAsia="楷体" w:hAnsi="楷体" w:cs="楷体"/>
                <w:bCs/>
                <w:kern w:val="2"/>
                <w:sz w:val="21"/>
                <w:szCs w:val="21"/>
              </w:rPr>
              <w:t>XTT27</w:t>
            </w:r>
            <w:r>
              <w:rPr>
                <w:rFonts w:ascii="楷体" w:eastAsia="楷体" w:hAnsi="楷体" w:cs="楷体" w:hint="eastAsia"/>
                <w:bCs/>
                <w:kern w:val="2"/>
                <w:sz w:val="21"/>
                <w:szCs w:val="21"/>
              </w:rPr>
              <w:t>】</w:t>
            </w:r>
          </w:p>
        </w:tc>
      </w:tr>
      <w:tr w:rsidR="00C1769E">
        <w:trPr>
          <w:cantSplit/>
          <w:jc w:val="center"/>
        </w:trPr>
        <w:tc>
          <w:tcPr>
            <w:tcW w:w="2448" w:type="dxa"/>
            <w:tcBorders>
              <w:bottom w:val="single" w:sz="4" w:space="0" w:color="auto"/>
            </w:tcBorders>
          </w:tcPr>
          <w:p w:rsidR="00C1769E" w:rsidRDefault="007B0020">
            <w:pPr>
              <w:topLinePunct/>
              <w:spacing w:line="360" w:lineRule="exact"/>
              <w:rPr>
                <w:rFonts w:ascii="楷体" w:eastAsia="楷体" w:hAnsi="楷体" w:cs="楷体"/>
                <w:szCs w:val="21"/>
              </w:rPr>
            </w:pPr>
            <w:r>
              <w:rPr>
                <w:rFonts w:ascii="楷体" w:eastAsia="楷体" w:hAnsi="楷体" w:hint="eastAsia"/>
                <w:szCs w:val="21"/>
              </w:rPr>
              <w:t>理财产品份额类别</w:t>
            </w:r>
          </w:p>
        </w:tc>
        <w:tc>
          <w:tcPr>
            <w:tcW w:w="6801" w:type="dxa"/>
            <w:tcBorders>
              <w:bottom w:val="single" w:sz="4" w:space="0" w:color="auto"/>
            </w:tcBorders>
          </w:tcPr>
          <w:p w:rsidR="00C1769E" w:rsidRDefault="007B0020">
            <w:pPr>
              <w:topLinePunct/>
              <w:spacing w:line="360" w:lineRule="exact"/>
              <w:rPr>
                <w:rFonts w:ascii="楷体" w:eastAsia="楷体" w:hAnsi="楷体"/>
                <w:szCs w:val="21"/>
              </w:rPr>
            </w:pPr>
            <w:r>
              <w:rPr>
                <w:rFonts w:ascii="楷体" w:eastAsia="楷体" w:hAnsi="楷体" w:hint="eastAsia"/>
                <w:szCs w:val="21"/>
              </w:rPr>
              <w:t>本理财产品根据投资者购买理财的销售机构、理财产品起点金额及</w:t>
            </w:r>
            <w:r>
              <w:rPr>
                <w:rFonts w:ascii="楷体" w:eastAsia="楷体" w:hAnsi="楷体"/>
                <w:szCs w:val="21"/>
              </w:rPr>
              <w:t>/或</w:t>
            </w:r>
            <w:r>
              <w:rPr>
                <w:rFonts w:ascii="楷体" w:eastAsia="楷体" w:hAnsi="楷体" w:hint="eastAsia"/>
                <w:szCs w:val="21"/>
              </w:rPr>
              <w:t>投资者类别等因素设置不同产品份额，每类产品份额设置单独的份额代码，并分别计算和公告产品份额净值。投资者可根据实际情况自行选择购买的产品份额类别。</w:t>
            </w:r>
          </w:p>
          <w:p w:rsidR="00C1769E" w:rsidRDefault="007B0020">
            <w:pPr>
              <w:topLinePunct/>
              <w:spacing w:line="360" w:lineRule="exact"/>
              <w:rPr>
                <w:rFonts w:ascii="楷体" w:eastAsia="楷体" w:hAnsi="楷体"/>
                <w:szCs w:val="21"/>
              </w:rPr>
            </w:pPr>
            <w:r>
              <w:rPr>
                <w:rFonts w:ascii="楷体" w:eastAsia="楷体" w:hAnsi="楷体" w:hint="eastAsia"/>
                <w:szCs w:val="21"/>
              </w:rPr>
              <w:t>目前设置的份额类别为：</w:t>
            </w:r>
          </w:p>
          <w:p w:rsidR="00C1769E" w:rsidRDefault="007B0020" w:rsidP="0090394A">
            <w:pPr>
              <w:topLinePunct/>
              <w:spacing w:line="360" w:lineRule="exact"/>
              <w:rPr>
                <w:rFonts w:ascii="楷体" w:eastAsia="楷体" w:hAnsi="楷体"/>
                <w:szCs w:val="21"/>
              </w:rPr>
            </w:pPr>
            <w:r>
              <w:rPr>
                <w:rFonts w:ascii="楷体" w:eastAsia="楷体" w:hAnsi="楷体" w:hint="eastAsia"/>
                <w:szCs w:val="21"/>
              </w:rPr>
              <w:t>本产品</w:t>
            </w:r>
            <w:r w:rsidR="0090394A">
              <w:rPr>
                <w:rFonts w:ascii="楷体" w:eastAsia="楷体" w:hAnsi="楷体"/>
                <w:szCs w:val="21"/>
              </w:rPr>
              <w:t>C</w:t>
            </w:r>
            <w:r>
              <w:rPr>
                <w:rFonts w:ascii="楷体" w:eastAsia="楷体" w:hAnsi="楷体"/>
                <w:szCs w:val="21"/>
              </w:rPr>
              <w:t>份额（份额代码【</w:t>
            </w:r>
            <w:r>
              <w:rPr>
                <w:rFonts w:ascii="楷体" w:eastAsia="楷体" w:hAnsi="楷体" w:hint="eastAsia"/>
                <w:szCs w:val="21"/>
              </w:rPr>
              <w:t>L</w:t>
            </w:r>
            <w:r>
              <w:rPr>
                <w:rFonts w:ascii="楷体" w:eastAsia="楷体" w:hAnsi="楷体"/>
                <w:szCs w:val="21"/>
              </w:rPr>
              <w:t>XTT27</w:t>
            </w:r>
            <w:r w:rsidR="0090394A">
              <w:rPr>
                <w:rFonts w:ascii="楷体" w:eastAsia="楷体" w:hAnsi="楷体"/>
                <w:szCs w:val="21"/>
              </w:rPr>
              <w:t>C</w:t>
            </w:r>
            <w:r>
              <w:rPr>
                <w:rFonts w:ascii="楷体" w:eastAsia="楷体" w:hAnsi="楷体" w:hint="eastAsia"/>
                <w:szCs w:val="21"/>
              </w:rPr>
              <w:t>】）仅面向</w:t>
            </w:r>
            <w:r w:rsidR="00A12C4E">
              <w:rPr>
                <w:rFonts w:ascii="楷体" w:eastAsia="楷体" w:hAnsi="楷体" w:hint="eastAsia"/>
                <w:szCs w:val="21"/>
              </w:rPr>
              <w:t>中信</w:t>
            </w:r>
            <w:r>
              <w:rPr>
                <w:rFonts w:ascii="楷体" w:eastAsia="楷体" w:hAnsi="楷体" w:hint="eastAsia"/>
                <w:szCs w:val="21"/>
              </w:rPr>
              <w:t>银行股份有限公司</w:t>
            </w:r>
            <w:r w:rsidR="0090394A">
              <w:rPr>
                <w:rFonts w:ascii="楷体" w:eastAsia="楷体" w:hAnsi="楷体" w:hint="eastAsia"/>
                <w:szCs w:val="21"/>
              </w:rPr>
              <w:t>私行渠道</w:t>
            </w:r>
            <w:r>
              <w:rPr>
                <w:rFonts w:ascii="楷体" w:eastAsia="楷体" w:hAnsi="楷体" w:hint="eastAsia"/>
                <w:szCs w:val="21"/>
              </w:rPr>
              <w:t>客户销售</w:t>
            </w:r>
            <w:r w:rsidR="00A12C4E">
              <w:rPr>
                <w:rFonts w:ascii="楷体" w:eastAsia="楷体" w:hAnsi="楷体" w:hint="eastAsia"/>
                <w:szCs w:val="21"/>
              </w:rPr>
              <w:t>，本份额面向个人投资者</w:t>
            </w:r>
            <w:r>
              <w:rPr>
                <w:rFonts w:ascii="楷体" w:eastAsia="楷体" w:hAnsi="楷体" w:hint="eastAsia"/>
                <w:szCs w:val="21"/>
              </w:rPr>
              <w:t>。</w:t>
            </w:r>
          </w:p>
          <w:p w:rsidR="005B1628" w:rsidRDefault="005B1628" w:rsidP="0090394A">
            <w:pPr>
              <w:topLinePunct/>
              <w:spacing w:line="360" w:lineRule="exact"/>
              <w:rPr>
                <w:rFonts w:ascii="楷体" w:eastAsia="楷体" w:hAnsi="楷体" w:cs="楷体"/>
                <w:bCs/>
                <w:szCs w:val="21"/>
              </w:rPr>
            </w:pPr>
            <w:r>
              <w:rPr>
                <w:rFonts w:ascii="楷体" w:eastAsia="楷体" w:hAnsi="楷体" w:hint="eastAsia"/>
                <w:szCs w:val="21"/>
              </w:rPr>
              <w:t>本产品E</w:t>
            </w:r>
            <w:r>
              <w:rPr>
                <w:rFonts w:ascii="楷体" w:eastAsia="楷体" w:hAnsi="楷体"/>
                <w:szCs w:val="21"/>
              </w:rPr>
              <w:t>份额（份额代码【</w:t>
            </w:r>
            <w:r>
              <w:rPr>
                <w:rFonts w:ascii="楷体" w:eastAsia="楷体" w:hAnsi="楷体" w:hint="eastAsia"/>
                <w:szCs w:val="21"/>
              </w:rPr>
              <w:t>L</w:t>
            </w:r>
            <w:r>
              <w:rPr>
                <w:rFonts w:ascii="楷体" w:eastAsia="楷体" w:hAnsi="楷体"/>
                <w:szCs w:val="21"/>
              </w:rPr>
              <w:t>XTT27</w:t>
            </w:r>
            <w:r>
              <w:rPr>
                <w:rFonts w:ascii="楷体" w:eastAsia="楷体" w:hAnsi="楷体" w:hint="eastAsia"/>
                <w:szCs w:val="21"/>
              </w:rPr>
              <w:t>E】）面向</w:t>
            </w:r>
            <w:r w:rsidR="00304D25">
              <w:rPr>
                <w:rFonts w:ascii="楷体" w:eastAsia="楷体" w:hAnsi="楷体" w:hint="eastAsia"/>
                <w:szCs w:val="21"/>
              </w:rPr>
              <w:t>华夏银行股份有限公司</w:t>
            </w:r>
            <w:r>
              <w:rPr>
                <w:rFonts w:ascii="楷体" w:eastAsia="楷体" w:hAnsi="楷体" w:hint="eastAsia"/>
                <w:szCs w:val="21"/>
              </w:rPr>
              <w:t>和</w:t>
            </w:r>
            <w:r w:rsidR="00304D25">
              <w:rPr>
                <w:rFonts w:ascii="楷体" w:eastAsia="楷体" w:hAnsi="楷体" w:hint="eastAsia"/>
                <w:szCs w:val="21"/>
              </w:rPr>
              <w:t>宁波银行股份有限公司</w:t>
            </w:r>
            <w:r>
              <w:rPr>
                <w:rFonts w:ascii="楷体" w:eastAsia="楷体" w:hAnsi="楷体" w:hint="eastAsia"/>
                <w:szCs w:val="21"/>
              </w:rPr>
              <w:t>客户销售</w:t>
            </w:r>
            <w:r w:rsidR="00304D25">
              <w:rPr>
                <w:rFonts w:ascii="楷体" w:eastAsia="楷体" w:hAnsi="楷体" w:hint="eastAsia"/>
                <w:szCs w:val="21"/>
              </w:rPr>
              <w:t>，本份额面向个人投资者</w:t>
            </w:r>
            <w:r>
              <w:rPr>
                <w:rFonts w:ascii="楷体" w:eastAsia="楷体" w:hAnsi="楷体" w:hint="eastAsia"/>
                <w:szCs w:val="21"/>
              </w:rPr>
              <w:t>。</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b/>
                <w:bCs/>
                <w:kern w:val="2"/>
                <w:sz w:val="21"/>
                <w:szCs w:val="21"/>
              </w:rPr>
              <w:t>全国银行业理财信息登记系统登记编码</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b/>
                <w:kern w:val="2"/>
                <w:sz w:val="21"/>
                <w:szCs w:val="21"/>
              </w:rPr>
            </w:pPr>
            <w:r>
              <w:rPr>
                <w:rFonts w:ascii="楷体" w:eastAsia="楷体" w:hAnsi="楷体" w:cs="楷体" w:hint="eastAsia"/>
                <w:b/>
                <w:kern w:val="2"/>
                <w:sz w:val="21"/>
                <w:szCs w:val="21"/>
              </w:rPr>
              <w:t>【</w:t>
            </w:r>
            <w:r>
              <w:rPr>
                <w:rFonts w:ascii="楷体" w:eastAsia="楷体" w:hAnsi="楷体" w:cs="楷体"/>
                <w:b/>
                <w:kern w:val="2"/>
                <w:sz w:val="21"/>
                <w:szCs w:val="21"/>
              </w:rPr>
              <w:t>Z7001025000525</w:t>
            </w:r>
            <w:r>
              <w:rPr>
                <w:rFonts w:ascii="楷体" w:eastAsia="楷体" w:hAnsi="楷体" w:cs="楷体" w:hint="eastAsia"/>
                <w:b/>
                <w:kern w:val="2"/>
                <w:sz w:val="21"/>
                <w:szCs w:val="21"/>
              </w:rPr>
              <w:t>】</w:t>
            </w:r>
          </w:p>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sz w:val="21"/>
                <w:szCs w:val="18"/>
              </w:rPr>
            </w:pPr>
            <w:r>
              <w:rPr>
                <w:rFonts w:ascii="楷体" w:eastAsia="楷体" w:hAnsi="楷体" w:cs="楷体" w:hint="eastAsia"/>
                <w:b/>
                <w:kern w:val="2"/>
                <w:sz w:val="21"/>
                <w:szCs w:val="21"/>
              </w:rPr>
              <w:t>投资者可根据登记编码</w:t>
            </w:r>
            <w:r>
              <w:rPr>
                <w:rFonts w:ascii="楷体" w:eastAsia="楷体" w:hAnsi="楷体" w:cs="楷体" w:hint="eastAsia"/>
                <w:b/>
                <w:sz w:val="21"/>
                <w:szCs w:val="18"/>
              </w:rPr>
              <w:t>在中国理财网（</w:t>
            </w:r>
            <w:r>
              <w:rPr>
                <w:rFonts w:ascii="楷体" w:eastAsia="楷体" w:hAnsi="楷体" w:cs="楷体"/>
                <w:b/>
                <w:sz w:val="21"/>
                <w:szCs w:val="18"/>
              </w:rPr>
              <w:t>www.chinawealth.com.cn）查询产品信息</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kern w:val="2"/>
                <w:sz w:val="21"/>
                <w:szCs w:val="21"/>
              </w:rPr>
            </w:pPr>
            <w:r>
              <w:rPr>
                <w:rFonts w:ascii="楷体" w:eastAsia="楷体" w:hAnsi="楷体" w:cs="楷体" w:hint="eastAsia"/>
                <w:kern w:val="2"/>
                <w:sz w:val="21"/>
                <w:szCs w:val="21"/>
              </w:rPr>
              <w:t>理财币种</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人民币</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kern w:val="2"/>
                <w:sz w:val="21"/>
                <w:szCs w:val="21"/>
              </w:rPr>
            </w:pPr>
            <w:r>
              <w:rPr>
                <w:rFonts w:ascii="楷体" w:eastAsia="楷体" w:hAnsi="楷体" w:cs="楷体" w:hint="eastAsia"/>
                <w:kern w:val="2"/>
                <w:sz w:val="21"/>
                <w:szCs w:val="21"/>
              </w:rPr>
              <w:t>理财产品管理人</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kern w:val="2"/>
                <w:sz w:val="21"/>
                <w:szCs w:val="21"/>
              </w:rPr>
            </w:pPr>
            <w:r>
              <w:rPr>
                <w:rFonts w:ascii="楷体" w:eastAsia="楷体" w:hAnsi="楷体" w:cs="楷体" w:hint="eastAsia"/>
                <w:sz w:val="21"/>
                <w:szCs w:val="21"/>
              </w:rPr>
              <w:t>中银理财有限责任公司（以下简称“中银理财”）</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sz w:val="21"/>
                <w:szCs w:val="21"/>
              </w:rPr>
            </w:pPr>
            <w:r>
              <w:rPr>
                <w:rFonts w:ascii="楷体" w:eastAsia="楷体" w:hAnsi="楷体" w:cs="楷体" w:hint="eastAsia"/>
                <w:sz w:val="21"/>
                <w:szCs w:val="21"/>
              </w:rPr>
              <w:t>理财产品托管人</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sz w:val="21"/>
                <w:szCs w:val="21"/>
              </w:rPr>
            </w:pPr>
            <w:r>
              <w:rPr>
                <w:rFonts w:ascii="楷体" w:eastAsia="楷体" w:hAnsi="楷体" w:cs="楷体" w:hint="eastAsia"/>
                <w:sz w:val="21"/>
                <w:szCs w:val="21"/>
              </w:rPr>
              <w:t>中国银行股份有限公司</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kern w:val="2"/>
                <w:sz w:val="21"/>
                <w:szCs w:val="21"/>
              </w:rPr>
            </w:pPr>
            <w:r>
              <w:rPr>
                <w:rFonts w:ascii="楷体" w:eastAsia="楷体" w:hAnsi="楷体" w:cs="楷体" w:hint="eastAsia"/>
                <w:kern w:val="2"/>
                <w:sz w:val="21"/>
                <w:szCs w:val="21"/>
              </w:rPr>
              <w:t>理财产品销售机构</w:t>
            </w:r>
          </w:p>
        </w:tc>
        <w:tc>
          <w:tcPr>
            <w:tcW w:w="6801" w:type="dxa"/>
            <w:tcBorders>
              <w:bottom w:val="single" w:sz="4" w:space="0" w:color="auto"/>
            </w:tcBorders>
          </w:tcPr>
          <w:p w:rsidR="00C1769E" w:rsidRDefault="00A12C4E">
            <w:pPr>
              <w:pStyle w:val="a8"/>
              <w:widowControl w:val="0"/>
              <w:tabs>
                <w:tab w:val="left" w:pos="720"/>
              </w:tabs>
              <w:topLinePunct/>
              <w:spacing w:before="0" w:beforeAutospacing="0" w:after="0" w:afterAutospacing="0" w:line="360" w:lineRule="exact"/>
              <w:jc w:val="both"/>
              <w:rPr>
                <w:rFonts w:ascii="楷体" w:eastAsia="楷体" w:hAnsi="楷体" w:cs="楷体"/>
                <w:kern w:val="2"/>
                <w:sz w:val="21"/>
                <w:szCs w:val="21"/>
              </w:rPr>
            </w:pPr>
            <w:r>
              <w:rPr>
                <w:rFonts w:ascii="楷体" w:eastAsia="楷体" w:hAnsi="楷体" w:hint="eastAsia"/>
                <w:sz w:val="21"/>
                <w:szCs w:val="21"/>
              </w:rPr>
              <w:t>中信银行股份有限公司（以下简称“中信银行”）</w:t>
            </w:r>
            <w:r w:rsidR="0062785F">
              <w:rPr>
                <w:rFonts w:ascii="楷体" w:eastAsia="楷体" w:hAnsi="楷体" w:hint="eastAsia"/>
                <w:sz w:val="21"/>
                <w:szCs w:val="21"/>
              </w:rPr>
              <w:t>、华夏银行股份有限公司（以下简称“华夏银行”）、宁波银行股份有限公司（以下简称“宁波银行”）</w:t>
            </w:r>
            <w:r w:rsidR="007B0020">
              <w:rPr>
                <w:rFonts w:ascii="楷体" w:eastAsia="楷体" w:hAnsi="楷体" w:hint="eastAsia"/>
                <w:sz w:val="21"/>
                <w:szCs w:val="21"/>
              </w:rPr>
              <w:t>，以及与中银理财签订代理销售协议并提供相关服务的其他销售机构。</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b/>
                <w:kern w:val="2"/>
                <w:sz w:val="21"/>
                <w:szCs w:val="21"/>
              </w:rPr>
            </w:pPr>
            <w:r>
              <w:rPr>
                <w:rFonts w:ascii="楷体" w:eastAsia="楷体" w:hAnsi="楷体" w:cs="楷体" w:hint="eastAsia"/>
                <w:b/>
                <w:sz w:val="21"/>
                <w:szCs w:val="21"/>
              </w:rPr>
              <w:t>产品类型</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b/>
                <w:kern w:val="2"/>
                <w:sz w:val="21"/>
                <w:szCs w:val="21"/>
              </w:rPr>
            </w:pPr>
            <w:r>
              <w:rPr>
                <w:rFonts w:ascii="楷体" w:eastAsia="楷体" w:hAnsi="楷体" w:cs="楷体" w:hint="eastAsia"/>
                <w:b/>
                <w:sz w:val="21"/>
                <w:szCs w:val="21"/>
              </w:rPr>
              <w:t>固定收益类非保本浮动收益型</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sz w:val="21"/>
                <w:szCs w:val="21"/>
              </w:rPr>
              <w:t>产品运作模式</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sz w:val="21"/>
                <w:szCs w:val="21"/>
              </w:rPr>
              <w:t>开放式净值型产品</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sz w:val="21"/>
                <w:szCs w:val="21"/>
              </w:rPr>
              <w:t>募集方式</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公募</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投资目标</w:t>
            </w:r>
          </w:p>
        </w:tc>
        <w:tc>
          <w:tcPr>
            <w:tcW w:w="6801"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本产品为现金管理类理财产品，通过合理的资产配置，谋求资本增值机会，力争取得超过业绩比较基准的稳定回报。</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sz w:val="21"/>
                <w:szCs w:val="21"/>
              </w:rPr>
              <w:lastRenderedPageBreak/>
              <w:t>业绩比较基准及选择</w:t>
            </w:r>
          </w:p>
        </w:tc>
        <w:tc>
          <w:tcPr>
            <w:tcW w:w="6801" w:type="dxa"/>
            <w:tcBorders>
              <w:bottom w:val="single" w:sz="4" w:space="0" w:color="auto"/>
            </w:tcBorders>
          </w:tcPr>
          <w:p w:rsidR="00C1769E" w:rsidRDefault="007B0020">
            <w:pPr>
              <w:widowControl/>
              <w:autoSpaceDE w:val="0"/>
              <w:autoSpaceDN w:val="0"/>
              <w:ind w:left="8" w:hangingChars="4" w:hanging="8"/>
              <w:jc w:val="left"/>
              <w:rPr>
                <w:rFonts w:ascii="楷体" w:eastAsia="楷体" w:hAnsi="楷体" w:cs="楷体"/>
                <w:kern w:val="0"/>
                <w:szCs w:val="21"/>
              </w:rPr>
            </w:pPr>
            <w:r>
              <w:rPr>
                <w:rFonts w:ascii="楷体" w:eastAsia="楷体" w:hAnsi="楷体" w:cs="楷体" w:hint="eastAsia"/>
                <w:kern w:val="0"/>
                <w:szCs w:val="21"/>
              </w:rPr>
              <w:t>业绩比较基准是产品管理人基于产品性质、投资策略、过往经验等因素对产品设定的投资目标，</w:t>
            </w:r>
            <w:r>
              <w:rPr>
                <w:rFonts w:ascii="楷体" w:eastAsia="楷体" w:hAnsi="楷体" w:cs="楷体" w:hint="eastAsia"/>
                <w:b/>
                <w:kern w:val="0"/>
                <w:szCs w:val="21"/>
              </w:rPr>
              <w:t>仅用于评价投资结果和测算业绩报酬，业绩比较基准不是预期收益率，不代表产品的未来表现和实际收益，不构成产品管理人对本理财产品收益的承诺或保障。</w:t>
            </w:r>
          </w:p>
          <w:p w:rsidR="00C1769E" w:rsidRDefault="007B0020">
            <w:pPr>
              <w:widowControl/>
              <w:autoSpaceDE w:val="0"/>
              <w:autoSpaceDN w:val="0"/>
              <w:jc w:val="left"/>
              <w:rPr>
                <w:rFonts w:ascii="楷体" w:eastAsia="楷体" w:hAnsi="楷体" w:cs="楷体"/>
                <w:kern w:val="0"/>
                <w:szCs w:val="21"/>
              </w:rPr>
            </w:pPr>
            <w:r>
              <w:rPr>
                <w:rFonts w:ascii="楷体" w:eastAsia="楷体" w:hAnsi="楷体" w:cs="楷体" w:hint="eastAsia"/>
                <w:kern w:val="0"/>
                <w:szCs w:val="21"/>
              </w:rPr>
              <w:t>业绩比较基准选择：</w:t>
            </w:r>
          </w:p>
          <w:p w:rsidR="00C1769E" w:rsidRDefault="007B0020">
            <w:pPr>
              <w:widowControl/>
              <w:autoSpaceDE w:val="0"/>
              <w:autoSpaceDN w:val="0"/>
              <w:ind w:left="8" w:hangingChars="4" w:hanging="8"/>
              <w:jc w:val="left"/>
              <w:rPr>
                <w:rFonts w:ascii="楷体" w:eastAsia="楷体" w:hAnsi="楷体" w:cs="楷体"/>
                <w:kern w:val="0"/>
                <w:szCs w:val="21"/>
              </w:rPr>
            </w:pPr>
            <w:r>
              <w:rPr>
                <w:rFonts w:ascii="楷体" w:eastAsia="楷体" w:hAnsi="楷体" w:cs="楷体" w:hint="eastAsia"/>
                <w:kern w:val="0"/>
                <w:szCs w:val="21"/>
              </w:rPr>
              <w:t>业绩比较基准由产品管理人依据理财产品的投资范围、投资策略、资产配置计划等因素选择。本产品主要投资于债券、货币市场工具等固定收益类资产，</w:t>
            </w:r>
            <w:r>
              <w:rPr>
                <w:rFonts w:ascii="楷体" w:eastAsia="楷体" w:hAnsi="楷体" w:cs="楷体" w:hint="eastAsia"/>
                <w:szCs w:val="21"/>
              </w:rPr>
              <w:t>投资范围、投资策略</w:t>
            </w:r>
            <w:r>
              <w:rPr>
                <w:rFonts w:ascii="楷体" w:eastAsia="楷体" w:hAnsi="楷体" w:cs="楷体" w:hint="eastAsia"/>
                <w:kern w:val="0"/>
                <w:szCs w:val="21"/>
              </w:rPr>
              <w:t>详见本理财产品说明书【“二、理财产品投资”】部分</w:t>
            </w:r>
            <w:r>
              <w:rPr>
                <w:rFonts w:ascii="楷体" w:eastAsia="楷体" w:hAnsi="楷体" w:cs="楷体" w:hint="eastAsia"/>
                <w:szCs w:val="21"/>
              </w:rPr>
              <w:t>。根据以上情况，</w:t>
            </w:r>
            <w:r>
              <w:rPr>
                <w:rFonts w:ascii="楷体" w:eastAsia="楷体" w:hAnsi="楷体" w:cs="楷体" w:hint="eastAsia"/>
                <w:kern w:val="0"/>
                <w:szCs w:val="21"/>
              </w:rPr>
              <w:t>本理财产品</w:t>
            </w:r>
            <w:r>
              <w:rPr>
                <w:rFonts w:ascii="楷体" w:eastAsia="楷体" w:hAnsi="楷体" w:cs="楷体"/>
                <w:kern w:val="0"/>
                <w:szCs w:val="21"/>
              </w:rPr>
              <w:t>选择【同期中国人民银行公布的七天通知存款利率（税后）】作为业绩比较基准(</w:t>
            </w:r>
            <w:r>
              <w:rPr>
                <w:rFonts w:ascii="楷体" w:eastAsia="楷体" w:hAnsi="楷体" w:cs="楷体" w:hint="eastAsia"/>
                <w:kern w:val="0"/>
                <w:szCs w:val="21"/>
              </w:rPr>
              <w:t>如业绩比较基准调整，将根据信息披露规则进行披露</w:t>
            </w:r>
            <w:r>
              <w:rPr>
                <w:rFonts w:ascii="楷体" w:eastAsia="楷体" w:hAnsi="楷体" w:cs="楷体"/>
                <w:kern w:val="0"/>
                <w:szCs w:val="21"/>
              </w:rPr>
              <w:t>)</w:t>
            </w:r>
            <w:r>
              <w:rPr>
                <w:rFonts w:ascii="楷体" w:eastAsia="楷体" w:hAnsi="楷体" w:cs="楷体" w:hint="eastAsia"/>
                <w:kern w:val="0"/>
                <w:szCs w:val="21"/>
              </w:rPr>
              <w:t>。</w:t>
            </w:r>
          </w:p>
          <w:p w:rsidR="00C1769E" w:rsidRDefault="007B0020">
            <w:pPr>
              <w:widowControl/>
              <w:autoSpaceDE w:val="0"/>
              <w:autoSpaceDN w:val="0"/>
              <w:ind w:left="8" w:hangingChars="4" w:hanging="8"/>
              <w:jc w:val="left"/>
              <w:rPr>
                <w:rFonts w:ascii="楷体" w:eastAsia="楷体" w:hAnsi="楷体" w:cs="楷体"/>
                <w:b/>
                <w:szCs w:val="21"/>
              </w:rPr>
            </w:pPr>
            <w:r>
              <w:rPr>
                <w:rFonts w:ascii="楷体" w:eastAsia="楷体" w:hAnsi="楷体" w:cs="楷体" w:hint="eastAsia"/>
                <w:b/>
                <w:kern w:val="0"/>
                <w:szCs w:val="21"/>
              </w:rPr>
              <w:t>当监管政策、市场环境、产品性质等因素发生变化，导致理财产品的业绩比较基准进行调整时，产品管理人有权调整产品业绩比较基准，并至少提前【</w:t>
            </w:r>
            <w:r>
              <w:rPr>
                <w:rFonts w:ascii="楷体" w:eastAsia="楷体" w:hAnsi="楷体" w:cs="楷体"/>
                <w:b/>
                <w:kern w:val="0"/>
                <w:szCs w:val="21"/>
              </w:rPr>
              <w:t>3】个工作日通过相应信息披露渠道公布调整情况和调整原因。</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sz w:val="21"/>
                <w:szCs w:val="21"/>
              </w:rPr>
            </w:pPr>
            <w:r>
              <w:rPr>
                <w:rFonts w:ascii="楷体" w:eastAsia="楷体" w:hAnsi="楷体" w:cs="楷体" w:hint="eastAsia"/>
                <w:sz w:val="21"/>
                <w:szCs w:val="21"/>
              </w:rPr>
              <w:t>交易时间</w:t>
            </w:r>
          </w:p>
        </w:tc>
        <w:tc>
          <w:tcPr>
            <w:tcW w:w="6801" w:type="dxa"/>
            <w:tcBorders>
              <w:bottom w:val="single" w:sz="4" w:space="0" w:color="auto"/>
            </w:tcBorders>
          </w:tcPr>
          <w:p w:rsidR="00C1769E" w:rsidRDefault="007B0020">
            <w:pPr>
              <w:widowControl/>
              <w:autoSpaceDE w:val="0"/>
              <w:autoSpaceDN w:val="0"/>
              <w:ind w:left="8" w:hangingChars="4" w:hanging="8"/>
              <w:jc w:val="left"/>
              <w:rPr>
                <w:rFonts w:ascii="楷体" w:eastAsia="楷体" w:hAnsi="楷体" w:cs="楷体"/>
                <w:kern w:val="0"/>
                <w:szCs w:val="21"/>
              </w:rPr>
            </w:pPr>
            <w:r>
              <w:rPr>
                <w:rFonts w:ascii="楷体" w:eastAsia="楷体" w:hAnsi="楷体" w:cs="楷体" w:hint="eastAsia"/>
                <w:kern w:val="0"/>
                <w:szCs w:val="21"/>
              </w:rPr>
              <w:t>本产品认购交易时间为【</w:t>
            </w:r>
            <w:r>
              <w:rPr>
                <w:rFonts w:ascii="楷体" w:eastAsia="楷体" w:hAnsi="楷体" w:cs="楷体"/>
                <w:kern w:val="0"/>
                <w:szCs w:val="21"/>
              </w:rPr>
              <w:t>09:00-17:00</w:t>
            </w:r>
            <w:r>
              <w:rPr>
                <w:rFonts w:ascii="楷体" w:eastAsia="楷体" w:hAnsi="楷体" w:cs="楷体" w:hint="eastAsia"/>
                <w:kern w:val="0"/>
                <w:szCs w:val="21"/>
              </w:rPr>
              <w:t>】；</w:t>
            </w:r>
          </w:p>
          <w:p w:rsidR="00C1769E" w:rsidRDefault="007B0020">
            <w:pPr>
              <w:widowControl/>
              <w:autoSpaceDE w:val="0"/>
              <w:autoSpaceDN w:val="0"/>
              <w:ind w:left="8" w:hangingChars="4" w:hanging="8"/>
              <w:jc w:val="left"/>
              <w:rPr>
                <w:rFonts w:ascii="楷体" w:eastAsia="楷体" w:hAnsi="楷体" w:cs="楷体"/>
                <w:kern w:val="0"/>
                <w:szCs w:val="21"/>
              </w:rPr>
            </w:pPr>
            <w:r>
              <w:rPr>
                <w:rFonts w:ascii="楷体" w:eastAsia="楷体" w:hAnsi="楷体" w:cs="楷体"/>
                <w:kern w:val="0"/>
                <w:szCs w:val="21"/>
              </w:rPr>
              <w:t>本产品</w:t>
            </w:r>
            <w:r w:rsidR="0090394A">
              <w:rPr>
                <w:rFonts w:ascii="楷体" w:eastAsia="楷体" w:hAnsi="楷体" w:cs="楷体"/>
                <w:kern w:val="0"/>
                <w:szCs w:val="21"/>
              </w:rPr>
              <w:t>C</w:t>
            </w:r>
            <w:r w:rsidR="0062785F">
              <w:rPr>
                <w:rFonts w:ascii="楷体" w:eastAsia="楷体" w:hAnsi="楷体" w:cs="楷体" w:hint="eastAsia"/>
                <w:kern w:val="0"/>
                <w:szCs w:val="21"/>
              </w:rPr>
              <w:t>、E</w:t>
            </w:r>
            <w:r w:rsidR="00A12C4E">
              <w:rPr>
                <w:rFonts w:ascii="楷体" w:eastAsia="楷体" w:hAnsi="楷体" w:cs="楷体" w:hint="eastAsia"/>
                <w:kern w:val="0"/>
                <w:szCs w:val="21"/>
              </w:rPr>
              <w:t>份额</w:t>
            </w:r>
            <w:r>
              <w:rPr>
                <w:rFonts w:ascii="楷体" w:eastAsia="楷体" w:hAnsi="楷体" w:cs="楷体"/>
                <w:kern w:val="0"/>
                <w:szCs w:val="21"/>
              </w:rPr>
              <w:t>的</w:t>
            </w:r>
            <w:r>
              <w:rPr>
                <w:rFonts w:ascii="楷体" w:eastAsia="楷体" w:hAnsi="楷体" w:cs="楷体" w:hint="eastAsia"/>
                <w:kern w:val="0"/>
                <w:szCs w:val="21"/>
              </w:rPr>
              <w:t>申购和赎回交易时间为【</w:t>
            </w:r>
            <w:r>
              <w:rPr>
                <w:rFonts w:ascii="楷体" w:eastAsia="楷体" w:hAnsi="楷体" w:cs="楷体"/>
                <w:kern w:val="0"/>
                <w:szCs w:val="21"/>
              </w:rPr>
              <w:t>0</w:t>
            </w:r>
            <w:r w:rsidR="00A12C4E">
              <w:rPr>
                <w:rFonts w:ascii="楷体" w:eastAsia="楷体" w:hAnsi="楷体" w:cs="楷体"/>
                <w:kern w:val="0"/>
                <w:szCs w:val="21"/>
              </w:rPr>
              <w:t>8</w:t>
            </w:r>
            <w:r>
              <w:rPr>
                <w:rFonts w:ascii="楷体" w:eastAsia="楷体" w:hAnsi="楷体" w:cs="楷体"/>
                <w:kern w:val="0"/>
                <w:szCs w:val="21"/>
              </w:rPr>
              <w:t>:</w:t>
            </w:r>
            <w:r w:rsidR="00A12C4E">
              <w:rPr>
                <w:rFonts w:ascii="楷体" w:eastAsia="楷体" w:hAnsi="楷体" w:cs="楷体"/>
                <w:kern w:val="0"/>
                <w:szCs w:val="21"/>
              </w:rPr>
              <w:t>3</w:t>
            </w:r>
            <w:r>
              <w:rPr>
                <w:rFonts w:ascii="楷体" w:eastAsia="楷体" w:hAnsi="楷体" w:cs="楷体"/>
                <w:kern w:val="0"/>
                <w:szCs w:val="21"/>
              </w:rPr>
              <w:t>0-1</w:t>
            </w:r>
            <w:r w:rsidR="00A12C4E">
              <w:rPr>
                <w:rFonts w:ascii="楷体" w:eastAsia="楷体" w:hAnsi="楷体" w:cs="楷体"/>
                <w:kern w:val="0"/>
                <w:szCs w:val="21"/>
              </w:rPr>
              <w:t>5</w:t>
            </w:r>
            <w:r>
              <w:rPr>
                <w:rFonts w:ascii="楷体" w:eastAsia="楷体" w:hAnsi="楷体" w:cs="楷体"/>
                <w:kern w:val="0"/>
                <w:szCs w:val="21"/>
              </w:rPr>
              <w:t>:</w:t>
            </w:r>
            <w:r w:rsidR="00A12C4E">
              <w:rPr>
                <w:rFonts w:ascii="楷体" w:eastAsia="楷体" w:hAnsi="楷体" w:cs="楷体"/>
                <w:kern w:val="0"/>
                <w:szCs w:val="21"/>
              </w:rPr>
              <w:t>3</w:t>
            </w:r>
            <w:r>
              <w:rPr>
                <w:rFonts w:ascii="楷体" w:eastAsia="楷体" w:hAnsi="楷体" w:cs="楷体"/>
                <w:kern w:val="0"/>
                <w:szCs w:val="21"/>
              </w:rPr>
              <w:t>0</w:t>
            </w:r>
            <w:r>
              <w:rPr>
                <w:rFonts w:ascii="楷体" w:eastAsia="楷体" w:hAnsi="楷体" w:cs="楷体" w:hint="eastAsia"/>
                <w:kern w:val="0"/>
                <w:szCs w:val="21"/>
              </w:rPr>
              <w:t>（不含）】；</w:t>
            </w:r>
          </w:p>
          <w:p w:rsidR="00C1769E" w:rsidRDefault="007B0020">
            <w:pPr>
              <w:widowControl/>
              <w:autoSpaceDE w:val="0"/>
              <w:autoSpaceDN w:val="0"/>
              <w:ind w:left="8" w:hangingChars="4" w:hanging="8"/>
              <w:jc w:val="left"/>
              <w:rPr>
                <w:rFonts w:ascii="楷体" w:eastAsia="楷体" w:hAnsi="楷体" w:cs="楷体"/>
                <w:kern w:val="0"/>
                <w:szCs w:val="21"/>
              </w:rPr>
            </w:pPr>
            <w:r>
              <w:rPr>
                <w:rFonts w:ascii="楷体" w:eastAsia="楷体" w:hAnsi="楷体" w:cs="楷体" w:hint="eastAsia"/>
                <w:kern w:val="0"/>
                <w:szCs w:val="21"/>
              </w:rPr>
              <w:t>管理人及销售机构可根据需要调整交易时间，具体以销售机构营业场所及电子渠道公布的交易时间为准，产品管理人不另行公告。</w:t>
            </w:r>
          </w:p>
        </w:tc>
      </w:tr>
      <w:tr w:rsidR="00C1769E">
        <w:trPr>
          <w:cantSplit/>
          <w:trHeight w:val="363"/>
          <w:jc w:val="center"/>
        </w:trPr>
        <w:tc>
          <w:tcPr>
            <w:tcW w:w="2448" w:type="dxa"/>
          </w:tcPr>
          <w:p w:rsidR="00C1769E" w:rsidRDefault="007B0020">
            <w:pPr>
              <w:pStyle w:val="a8"/>
              <w:widowControl w:val="0"/>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募集规模上限</w:t>
            </w:r>
          </w:p>
        </w:tc>
        <w:tc>
          <w:tcPr>
            <w:tcW w:w="6801" w:type="dxa"/>
          </w:tcPr>
          <w:p w:rsidR="00C1769E" w:rsidRDefault="007B0020">
            <w:pPr>
              <w:topLinePunct/>
              <w:spacing w:line="360" w:lineRule="exact"/>
              <w:rPr>
                <w:rFonts w:ascii="楷体" w:eastAsia="楷体" w:hAnsi="楷体" w:cs="楷体"/>
                <w:szCs w:val="21"/>
              </w:rPr>
            </w:pPr>
            <w:r>
              <w:rPr>
                <w:rFonts w:ascii="楷体" w:eastAsia="楷体" w:hAnsi="楷体" w:cs="楷体" w:hint="eastAsia"/>
              </w:rPr>
              <w:t>人民币【</w:t>
            </w:r>
            <w:r>
              <w:rPr>
                <w:rFonts w:ascii="楷体" w:eastAsia="楷体" w:hAnsi="楷体" w:cs="楷体"/>
              </w:rPr>
              <w:t>3000】亿元。</w:t>
            </w:r>
          </w:p>
          <w:p w:rsidR="00C1769E" w:rsidRDefault="007B0020">
            <w:pPr>
              <w:topLinePunct/>
              <w:spacing w:line="360" w:lineRule="exact"/>
              <w:rPr>
                <w:rFonts w:ascii="楷体" w:eastAsia="楷体" w:hAnsi="楷体" w:cs="楷体"/>
              </w:rPr>
            </w:pPr>
            <w:r>
              <w:rPr>
                <w:rFonts w:ascii="楷体" w:eastAsia="楷体" w:hAnsi="楷体" w:cs="楷体" w:hint="eastAsia"/>
              </w:rPr>
              <w:t>产品管理人有权根据实际需要对本理财产品募集资金规模进行调整，本理财产品最终规模以产品管理人实际募集的资金数额为准。</w:t>
            </w:r>
          </w:p>
        </w:tc>
      </w:tr>
      <w:tr w:rsidR="00C1769E">
        <w:trPr>
          <w:cantSplit/>
          <w:trHeight w:val="363"/>
          <w:jc w:val="center"/>
        </w:trPr>
        <w:tc>
          <w:tcPr>
            <w:tcW w:w="2448" w:type="dxa"/>
          </w:tcPr>
          <w:p w:rsidR="00C1769E" w:rsidRDefault="007B0020">
            <w:pPr>
              <w:topLinePunct/>
              <w:spacing w:line="360" w:lineRule="exact"/>
              <w:rPr>
                <w:rFonts w:ascii="楷体" w:eastAsia="楷体" w:hAnsi="楷体"/>
                <w:szCs w:val="21"/>
              </w:rPr>
            </w:pPr>
            <w:r>
              <w:rPr>
                <w:rFonts w:ascii="楷体" w:eastAsia="楷体" w:hAnsi="楷体" w:cs="Times New Roman" w:hint="eastAsia"/>
                <w:szCs w:val="21"/>
              </w:rPr>
              <w:t>认购</w:t>
            </w:r>
            <w:r>
              <w:rPr>
                <w:rFonts w:ascii="楷体" w:eastAsia="楷体" w:hAnsi="楷体" w:cs="Times New Roman"/>
                <w:szCs w:val="21"/>
              </w:rPr>
              <w:t>起点金额</w:t>
            </w:r>
          </w:p>
        </w:tc>
        <w:tc>
          <w:tcPr>
            <w:tcW w:w="6801"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Times New Roman"/>
                <w:kern w:val="2"/>
                <w:sz w:val="21"/>
                <w:szCs w:val="21"/>
              </w:rPr>
            </w:pPr>
            <w:r>
              <w:rPr>
                <w:rFonts w:ascii="楷体" w:eastAsia="楷体" w:hAnsi="楷体" w:cs="Times New Roman" w:hint="eastAsia"/>
                <w:kern w:val="2"/>
                <w:sz w:val="21"/>
                <w:szCs w:val="21"/>
              </w:rPr>
              <w:t>个人投资者认购起点金额为人民币【</w:t>
            </w:r>
            <w:r>
              <w:rPr>
                <w:rFonts w:ascii="楷体" w:eastAsia="楷体" w:hAnsi="楷体" w:cs="Times New Roman"/>
                <w:kern w:val="2"/>
                <w:sz w:val="21"/>
                <w:szCs w:val="21"/>
              </w:rPr>
              <w:t>0.01</w:t>
            </w:r>
            <w:r>
              <w:rPr>
                <w:rFonts w:ascii="楷体" w:eastAsia="楷体" w:hAnsi="楷体" w:cs="Times New Roman" w:hint="eastAsia"/>
                <w:kern w:val="2"/>
                <w:sz w:val="21"/>
                <w:szCs w:val="21"/>
              </w:rPr>
              <w:t>】元，高于起点金额以人民币【</w:t>
            </w:r>
            <w:r>
              <w:rPr>
                <w:rFonts w:ascii="楷体" w:eastAsia="楷体" w:hAnsi="楷体" w:cs="Times New Roman"/>
                <w:kern w:val="2"/>
                <w:sz w:val="21"/>
                <w:szCs w:val="21"/>
              </w:rPr>
              <w:t>0.01</w:t>
            </w:r>
            <w:r>
              <w:rPr>
                <w:rFonts w:ascii="楷体" w:eastAsia="楷体" w:hAnsi="楷体" w:cs="Times New Roman" w:hint="eastAsia"/>
                <w:kern w:val="2"/>
                <w:sz w:val="21"/>
                <w:szCs w:val="21"/>
              </w:rPr>
              <w:t>】元的整数倍递增；</w:t>
            </w:r>
          </w:p>
          <w:p w:rsidR="00C1769E" w:rsidRDefault="007B0020">
            <w:pPr>
              <w:topLinePunct/>
              <w:spacing w:line="360" w:lineRule="exact"/>
              <w:rPr>
                <w:rFonts w:ascii="楷体" w:eastAsia="楷体" w:hAnsi="楷体"/>
                <w:szCs w:val="21"/>
              </w:rPr>
            </w:pPr>
            <w:r>
              <w:rPr>
                <w:rFonts w:ascii="楷体" w:eastAsia="楷体" w:hAnsi="楷体" w:cs="Times New Roman" w:hint="eastAsia"/>
                <w:szCs w:val="21"/>
              </w:rPr>
              <w:t>详见本理财产品说明书“三、认购”部分。</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sz w:val="21"/>
                <w:szCs w:val="18"/>
              </w:rPr>
            </w:pPr>
            <w:r>
              <w:rPr>
                <w:rFonts w:ascii="楷体" w:eastAsia="楷体" w:hAnsi="楷体" w:cs="楷体" w:hint="eastAsia"/>
                <w:sz w:val="21"/>
                <w:szCs w:val="18"/>
              </w:rPr>
              <w:t>认购期</w:t>
            </w:r>
          </w:p>
        </w:tc>
        <w:tc>
          <w:tcPr>
            <w:tcW w:w="6801" w:type="dxa"/>
            <w:tcBorders>
              <w:bottom w:val="single" w:sz="4" w:space="0" w:color="auto"/>
            </w:tcBorders>
          </w:tcPr>
          <w:p w:rsidR="00C1769E" w:rsidRDefault="007B0020">
            <w:pPr>
              <w:topLinePunct/>
              <w:spacing w:line="360" w:lineRule="exact"/>
              <w:rPr>
                <w:rFonts w:ascii="楷体" w:eastAsia="楷体" w:hAnsi="楷体" w:cs="楷体"/>
                <w:kern w:val="0"/>
                <w:szCs w:val="18"/>
              </w:rPr>
            </w:pPr>
            <w:r>
              <w:rPr>
                <w:rFonts w:ascii="楷体" w:eastAsia="楷体" w:hAnsi="楷体" w:cs="楷体" w:hint="eastAsia"/>
                <w:kern w:val="0"/>
                <w:szCs w:val="18"/>
              </w:rPr>
              <w:t>【</w:t>
            </w:r>
            <w:r>
              <w:rPr>
                <w:rFonts w:ascii="楷体" w:eastAsia="楷体" w:hAnsi="楷体" w:cs="楷体"/>
                <w:kern w:val="0"/>
                <w:szCs w:val="18"/>
              </w:rPr>
              <w:t>2025</w:t>
            </w:r>
            <w:r>
              <w:rPr>
                <w:rFonts w:ascii="楷体" w:eastAsia="楷体" w:hAnsi="楷体" w:cs="楷体" w:hint="eastAsia"/>
                <w:kern w:val="0"/>
                <w:szCs w:val="18"/>
              </w:rPr>
              <w:t>】年【</w:t>
            </w:r>
            <w:r>
              <w:rPr>
                <w:rFonts w:ascii="楷体" w:eastAsia="楷体" w:hAnsi="楷体" w:cs="楷体"/>
                <w:kern w:val="0"/>
                <w:szCs w:val="18"/>
              </w:rPr>
              <w:t>4</w:t>
            </w:r>
            <w:r>
              <w:rPr>
                <w:rFonts w:ascii="楷体" w:eastAsia="楷体" w:hAnsi="楷体" w:cs="楷体" w:hint="eastAsia"/>
                <w:kern w:val="0"/>
                <w:szCs w:val="18"/>
              </w:rPr>
              <w:t>】月【</w:t>
            </w:r>
            <w:r>
              <w:rPr>
                <w:rFonts w:ascii="楷体" w:eastAsia="楷体" w:hAnsi="楷体" w:cs="楷体"/>
                <w:kern w:val="0"/>
                <w:szCs w:val="18"/>
              </w:rPr>
              <w:t>23</w:t>
            </w:r>
            <w:r>
              <w:rPr>
                <w:rFonts w:ascii="楷体" w:eastAsia="楷体" w:hAnsi="楷体" w:cs="楷体" w:hint="eastAsia"/>
                <w:kern w:val="0"/>
                <w:szCs w:val="18"/>
              </w:rPr>
              <w:t>】日，具体以理财产品销售机构实际受理的时间为准；详见本理财产品说明书</w:t>
            </w:r>
            <w:r>
              <w:rPr>
                <w:rFonts w:ascii="楷体" w:eastAsia="楷体" w:hAnsi="楷体" w:cs="Times New Roman" w:hint="eastAsia"/>
                <w:szCs w:val="21"/>
              </w:rPr>
              <w:t>“三、认购”部分。</w:t>
            </w:r>
          </w:p>
        </w:tc>
      </w:tr>
      <w:tr w:rsidR="00C1769E">
        <w:trPr>
          <w:cantSplit/>
          <w:jc w:val="center"/>
        </w:trPr>
        <w:tc>
          <w:tcPr>
            <w:tcW w:w="2448" w:type="dxa"/>
            <w:vAlign w:val="center"/>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sz w:val="21"/>
                <w:szCs w:val="18"/>
              </w:rPr>
            </w:pPr>
            <w:r>
              <w:rPr>
                <w:rFonts w:ascii="楷体" w:eastAsia="楷体" w:hAnsi="楷体" w:cs="楷体" w:hint="eastAsia"/>
                <w:sz w:val="21"/>
                <w:szCs w:val="18"/>
              </w:rPr>
              <w:t>理财产品成立日</w:t>
            </w:r>
          </w:p>
        </w:tc>
        <w:tc>
          <w:tcPr>
            <w:tcW w:w="6801" w:type="dxa"/>
            <w:tcBorders>
              <w:bottom w:val="single" w:sz="4" w:space="0" w:color="auto"/>
            </w:tcBorders>
            <w:vAlign w:val="center"/>
          </w:tcPr>
          <w:p w:rsidR="00C1769E" w:rsidRDefault="007B0020">
            <w:pPr>
              <w:topLinePunct/>
              <w:spacing w:line="360" w:lineRule="exact"/>
              <w:rPr>
                <w:rFonts w:ascii="楷体" w:eastAsia="楷体" w:hAnsi="楷体" w:cs="楷体"/>
                <w:szCs w:val="21"/>
              </w:rPr>
            </w:pPr>
            <w:r>
              <w:rPr>
                <w:rFonts w:ascii="楷体" w:eastAsia="楷体" w:hAnsi="楷体" w:cs="楷体" w:hint="eastAsia"/>
                <w:szCs w:val="21"/>
              </w:rPr>
              <w:t>【</w:t>
            </w:r>
            <w:r>
              <w:rPr>
                <w:rFonts w:ascii="楷体" w:eastAsia="楷体" w:hAnsi="楷体" w:cs="楷体"/>
                <w:szCs w:val="21"/>
              </w:rPr>
              <w:t>2025</w:t>
            </w:r>
            <w:r>
              <w:rPr>
                <w:rFonts w:ascii="楷体" w:eastAsia="楷体" w:hAnsi="楷体" w:cs="楷体" w:hint="eastAsia"/>
                <w:szCs w:val="21"/>
              </w:rPr>
              <w:t>】年【</w:t>
            </w:r>
            <w:r>
              <w:rPr>
                <w:rFonts w:ascii="楷体" w:eastAsia="楷体" w:hAnsi="楷体" w:cs="楷体"/>
                <w:szCs w:val="21"/>
              </w:rPr>
              <w:t>4</w:t>
            </w:r>
            <w:r>
              <w:rPr>
                <w:rFonts w:ascii="楷体" w:eastAsia="楷体" w:hAnsi="楷体" w:cs="楷体" w:hint="eastAsia"/>
                <w:szCs w:val="21"/>
              </w:rPr>
              <w:t>】月【</w:t>
            </w:r>
            <w:r>
              <w:rPr>
                <w:rFonts w:ascii="楷体" w:eastAsia="楷体" w:hAnsi="楷体" w:cs="楷体"/>
                <w:szCs w:val="21"/>
              </w:rPr>
              <w:t>24</w:t>
            </w:r>
            <w:r>
              <w:rPr>
                <w:rFonts w:ascii="楷体" w:eastAsia="楷体" w:hAnsi="楷体" w:cs="楷体" w:hint="eastAsia"/>
                <w:szCs w:val="21"/>
              </w:rPr>
              <w:t>】日</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产品存续期限</w:t>
            </w:r>
          </w:p>
        </w:tc>
        <w:tc>
          <w:tcPr>
            <w:tcW w:w="6801"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kern w:val="2"/>
                <w:sz w:val="21"/>
                <w:szCs w:val="21"/>
              </w:rPr>
            </w:pPr>
            <w:r>
              <w:rPr>
                <w:rFonts w:ascii="楷体" w:eastAsia="楷体" w:hAnsi="楷体" w:cs="楷体" w:hint="eastAsia"/>
                <w:kern w:val="2"/>
                <w:sz w:val="21"/>
                <w:szCs w:val="21"/>
              </w:rPr>
              <w:t>产品无固定存续期限（若产品提前终止或延期结束，以理财产品实际存续天数为准。）</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sz w:val="21"/>
                <w:szCs w:val="18"/>
              </w:rPr>
            </w:pPr>
            <w:r>
              <w:rPr>
                <w:rFonts w:ascii="楷体" w:eastAsia="楷体" w:hAnsi="楷体" w:cs="楷体" w:hint="eastAsia"/>
                <w:sz w:val="21"/>
                <w:szCs w:val="18"/>
              </w:rPr>
              <w:t>开放日（</w:t>
            </w:r>
            <w:r>
              <w:rPr>
                <w:rFonts w:ascii="楷体" w:eastAsia="楷体" w:hAnsi="楷体" w:cs="楷体"/>
                <w:sz w:val="21"/>
                <w:szCs w:val="18"/>
              </w:rPr>
              <w:t>T日）</w:t>
            </w:r>
          </w:p>
        </w:tc>
        <w:tc>
          <w:tcPr>
            <w:tcW w:w="6801" w:type="dxa"/>
            <w:tcBorders>
              <w:bottom w:val="single" w:sz="4" w:space="0" w:color="auto"/>
            </w:tcBorders>
          </w:tcPr>
          <w:p w:rsidR="00C1769E" w:rsidRDefault="007B0020">
            <w:pPr>
              <w:topLinePunct/>
              <w:spacing w:line="360" w:lineRule="exact"/>
              <w:rPr>
                <w:rFonts w:ascii="楷体" w:eastAsia="楷体" w:hAnsi="楷体" w:cs="楷体"/>
                <w:szCs w:val="18"/>
              </w:rPr>
            </w:pPr>
            <w:r>
              <w:rPr>
                <w:rFonts w:ascii="楷体" w:eastAsia="楷体" w:hAnsi="楷体" w:cs="楷体" w:hint="eastAsia"/>
                <w:szCs w:val="18"/>
              </w:rPr>
              <w:t>产品成立日（不含）后，每个工作日开放申购、赎回；具体请见本理财产品说明书“六、申购和赎回”部分。</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sz w:val="21"/>
                <w:szCs w:val="18"/>
              </w:rPr>
            </w:pPr>
            <w:r>
              <w:rPr>
                <w:rFonts w:ascii="楷体" w:eastAsia="楷体" w:hAnsi="楷体" w:cs="楷体" w:hint="eastAsia"/>
                <w:sz w:val="21"/>
                <w:szCs w:val="18"/>
              </w:rPr>
              <w:t>申购赎回确认日（</w:t>
            </w:r>
            <w:r>
              <w:rPr>
                <w:rFonts w:ascii="楷体" w:eastAsia="楷体" w:hAnsi="楷体" w:cs="楷体"/>
                <w:sz w:val="21"/>
                <w:szCs w:val="18"/>
              </w:rPr>
              <w:t>T+1日）</w:t>
            </w:r>
          </w:p>
        </w:tc>
        <w:tc>
          <w:tcPr>
            <w:tcW w:w="6801" w:type="dxa"/>
            <w:tcBorders>
              <w:bottom w:val="single" w:sz="4" w:space="0" w:color="auto"/>
            </w:tcBorders>
          </w:tcPr>
          <w:p w:rsidR="00C1769E" w:rsidRDefault="007B0020">
            <w:pPr>
              <w:rPr>
                <w:rFonts w:ascii="楷体" w:eastAsia="楷体" w:hAnsi="楷体" w:cs="楷体"/>
                <w:szCs w:val="21"/>
              </w:rPr>
            </w:pPr>
            <w:r>
              <w:rPr>
                <w:rFonts w:ascii="楷体" w:eastAsia="楷体" w:hAnsi="楷体" w:cs="楷体" w:hint="eastAsia"/>
              </w:rPr>
              <w:t>投资者在申购和赎回交易时间内提交的申购申请或赎回申请，理财产品管理人在申请当日（</w:t>
            </w:r>
            <w:r>
              <w:rPr>
                <w:rFonts w:ascii="楷体" w:eastAsia="楷体" w:hAnsi="楷体" w:cs="楷体"/>
              </w:rPr>
              <w:t>T日）后【第一个工作日（T+1）】对该申请的有效性进行确认。本产品的申购、赎回价格为每份理财产品单位1.00元，按照“金额申购、份额赎回”的原则计算申购份额和赎回金额。</w:t>
            </w:r>
            <w:r>
              <w:rPr>
                <w:rFonts w:ascii="楷体" w:eastAsia="楷体" w:hAnsi="楷体" w:cs="楷体" w:hint="eastAsia"/>
                <w:szCs w:val="18"/>
              </w:rPr>
              <w:t>具体请见本理财产品说明书“六、申购和赎回”部分。投资者在申购和赎回交易时间外提交的申购申请或赎回申请，按照本理财产品说明书“六、申购和赎回”第（三）条有关条款处理。</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sz w:val="21"/>
                <w:szCs w:val="18"/>
              </w:rPr>
            </w:pPr>
            <w:r>
              <w:rPr>
                <w:rFonts w:ascii="楷体" w:eastAsia="楷体" w:hAnsi="楷体" w:cs="楷体" w:hint="eastAsia"/>
                <w:sz w:val="21"/>
                <w:szCs w:val="18"/>
              </w:rPr>
              <w:lastRenderedPageBreak/>
              <w:t>申购及赎回起点金额</w:t>
            </w:r>
            <w:r>
              <w:rPr>
                <w:rFonts w:ascii="楷体" w:eastAsia="楷体" w:hAnsi="楷体" w:cs="楷体"/>
                <w:sz w:val="21"/>
                <w:szCs w:val="18"/>
              </w:rPr>
              <w:t>/份额</w:t>
            </w:r>
          </w:p>
        </w:tc>
        <w:tc>
          <w:tcPr>
            <w:tcW w:w="6801" w:type="dxa"/>
            <w:tcBorders>
              <w:bottom w:val="single" w:sz="4" w:space="0" w:color="auto"/>
            </w:tcBorders>
          </w:tcPr>
          <w:p w:rsidR="00C1769E" w:rsidRDefault="0090394A">
            <w:pPr>
              <w:topLinePunct/>
              <w:spacing w:line="360" w:lineRule="exact"/>
              <w:rPr>
                <w:rFonts w:ascii="楷体" w:eastAsia="楷体" w:hAnsi="楷体" w:cs="楷体"/>
                <w:kern w:val="0"/>
                <w:szCs w:val="18"/>
              </w:rPr>
            </w:pPr>
            <w:r>
              <w:rPr>
                <w:rFonts w:ascii="楷体" w:eastAsia="楷体" w:hAnsi="楷体" w:cs="楷体"/>
                <w:kern w:val="0"/>
                <w:szCs w:val="18"/>
              </w:rPr>
              <w:t>C</w:t>
            </w:r>
            <w:r w:rsidR="007B0020">
              <w:rPr>
                <w:rFonts w:ascii="楷体" w:eastAsia="楷体" w:hAnsi="楷体" w:cs="楷体"/>
                <w:kern w:val="0"/>
                <w:szCs w:val="18"/>
              </w:rPr>
              <w:t>份额初次申购起点金额为【1</w:t>
            </w:r>
            <w:r>
              <w:rPr>
                <w:rFonts w:ascii="楷体" w:eastAsia="楷体" w:hAnsi="楷体" w:cs="楷体"/>
                <w:kern w:val="0"/>
                <w:szCs w:val="18"/>
              </w:rPr>
              <w:t>00</w:t>
            </w:r>
            <w:r>
              <w:rPr>
                <w:rFonts w:ascii="楷体" w:eastAsia="楷体" w:hAnsi="楷体" w:cs="楷体" w:hint="eastAsia"/>
                <w:kern w:val="0"/>
                <w:szCs w:val="18"/>
              </w:rPr>
              <w:t>万</w:t>
            </w:r>
            <w:r w:rsidR="007B0020">
              <w:rPr>
                <w:rFonts w:ascii="楷体" w:eastAsia="楷体" w:hAnsi="楷体" w:cs="楷体" w:hint="eastAsia"/>
                <w:kern w:val="0"/>
                <w:szCs w:val="18"/>
              </w:rPr>
              <w:t>】元人民币，高于起点金额以人民币【</w:t>
            </w:r>
            <w:r w:rsidR="007B0020">
              <w:rPr>
                <w:rFonts w:ascii="楷体" w:eastAsia="楷体" w:hAnsi="楷体" w:cs="楷体"/>
                <w:kern w:val="0"/>
                <w:szCs w:val="18"/>
              </w:rPr>
              <w:t>0.01</w:t>
            </w:r>
            <w:r w:rsidR="007B0020">
              <w:rPr>
                <w:rFonts w:ascii="楷体" w:eastAsia="楷体" w:hAnsi="楷体" w:cs="楷体" w:hint="eastAsia"/>
                <w:kern w:val="0"/>
                <w:szCs w:val="18"/>
              </w:rPr>
              <w:t>】元的整数倍递增；已持有理财份额的投资者追加申购金额为【</w:t>
            </w:r>
            <w:r w:rsidR="007B0020">
              <w:rPr>
                <w:rFonts w:ascii="楷体" w:eastAsia="楷体" w:hAnsi="楷体" w:cs="楷体"/>
                <w:kern w:val="0"/>
                <w:szCs w:val="18"/>
              </w:rPr>
              <w:t>0.01</w:t>
            </w:r>
            <w:r w:rsidR="007B0020">
              <w:rPr>
                <w:rFonts w:ascii="楷体" w:eastAsia="楷体" w:hAnsi="楷体" w:cs="楷体" w:hint="eastAsia"/>
                <w:kern w:val="0"/>
                <w:szCs w:val="18"/>
              </w:rPr>
              <w:t>】元或【</w:t>
            </w:r>
            <w:r w:rsidR="007B0020">
              <w:rPr>
                <w:rFonts w:ascii="楷体" w:eastAsia="楷体" w:hAnsi="楷体" w:cs="楷体"/>
                <w:kern w:val="0"/>
                <w:szCs w:val="18"/>
              </w:rPr>
              <w:t>0.01</w:t>
            </w:r>
            <w:r w:rsidR="007B0020">
              <w:rPr>
                <w:rFonts w:ascii="楷体" w:eastAsia="楷体" w:hAnsi="楷体" w:cs="楷体" w:hint="eastAsia"/>
                <w:kern w:val="0"/>
                <w:szCs w:val="18"/>
              </w:rPr>
              <w:t>】元的整数倍。赎回份额为</w:t>
            </w:r>
            <w:r w:rsidR="007B0020">
              <w:rPr>
                <w:rFonts w:ascii="楷体" w:eastAsia="楷体" w:hAnsi="楷体" w:cs="楷体"/>
                <w:kern w:val="0"/>
                <w:szCs w:val="18"/>
              </w:rPr>
              <w:t>0.01份或0.01份的整数倍。</w:t>
            </w:r>
          </w:p>
          <w:p w:rsidR="0062785F" w:rsidRDefault="0062785F">
            <w:pPr>
              <w:topLinePunct/>
              <w:spacing w:line="360" w:lineRule="exact"/>
              <w:rPr>
                <w:rFonts w:ascii="楷体" w:eastAsia="楷体" w:hAnsi="楷体" w:cs="楷体"/>
                <w:kern w:val="0"/>
                <w:szCs w:val="18"/>
              </w:rPr>
            </w:pPr>
            <w:r>
              <w:rPr>
                <w:rFonts w:ascii="楷体" w:eastAsia="楷体" w:hAnsi="楷体" w:cs="楷体" w:hint="eastAsia"/>
                <w:kern w:val="0"/>
                <w:szCs w:val="18"/>
              </w:rPr>
              <w:t>E</w:t>
            </w:r>
            <w:r>
              <w:rPr>
                <w:rFonts w:ascii="楷体" w:eastAsia="楷体" w:hAnsi="楷体" w:cs="楷体"/>
                <w:kern w:val="0"/>
                <w:szCs w:val="18"/>
              </w:rPr>
              <w:t>份额初次申购起点金额为【1</w:t>
            </w:r>
            <w:r>
              <w:rPr>
                <w:rFonts w:ascii="楷体" w:eastAsia="楷体" w:hAnsi="楷体" w:cs="楷体" w:hint="eastAsia"/>
                <w:kern w:val="0"/>
                <w:szCs w:val="18"/>
              </w:rPr>
              <w:t>】元人民币，高于起点金额以人民币【</w:t>
            </w:r>
            <w:r>
              <w:rPr>
                <w:rFonts w:ascii="楷体" w:eastAsia="楷体" w:hAnsi="楷体" w:cs="楷体"/>
                <w:kern w:val="0"/>
                <w:szCs w:val="18"/>
              </w:rPr>
              <w:t>0.01</w:t>
            </w:r>
            <w:r>
              <w:rPr>
                <w:rFonts w:ascii="楷体" w:eastAsia="楷体" w:hAnsi="楷体" w:cs="楷体" w:hint="eastAsia"/>
                <w:kern w:val="0"/>
                <w:szCs w:val="18"/>
              </w:rPr>
              <w:t>】元的整数倍递增；已持有理财份额的投资者追加申购金额为【</w:t>
            </w:r>
            <w:r>
              <w:rPr>
                <w:rFonts w:ascii="楷体" w:eastAsia="楷体" w:hAnsi="楷体" w:cs="楷体"/>
                <w:kern w:val="0"/>
                <w:szCs w:val="18"/>
              </w:rPr>
              <w:t>0.01</w:t>
            </w:r>
            <w:r>
              <w:rPr>
                <w:rFonts w:ascii="楷体" w:eastAsia="楷体" w:hAnsi="楷体" w:cs="楷体" w:hint="eastAsia"/>
                <w:kern w:val="0"/>
                <w:szCs w:val="18"/>
              </w:rPr>
              <w:t>】元或【</w:t>
            </w:r>
            <w:r>
              <w:rPr>
                <w:rFonts w:ascii="楷体" w:eastAsia="楷体" w:hAnsi="楷体" w:cs="楷体"/>
                <w:kern w:val="0"/>
                <w:szCs w:val="18"/>
              </w:rPr>
              <w:t>0.01</w:t>
            </w:r>
            <w:r>
              <w:rPr>
                <w:rFonts w:ascii="楷体" w:eastAsia="楷体" w:hAnsi="楷体" w:cs="楷体" w:hint="eastAsia"/>
                <w:kern w:val="0"/>
                <w:szCs w:val="18"/>
              </w:rPr>
              <w:t>】元的整数倍。赎回份额为</w:t>
            </w:r>
            <w:r>
              <w:rPr>
                <w:rFonts w:ascii="楷体" w:eastAsia="楷体" w:hAnsi="楷体" w:cs="楷体"/>
                <w:kern w:val="0"/>
                <w:szCs w:val="18"/>
              </w:rPr>
              <w:t>0.01份或0.01份的整数倍。</w:t>
            </w:r>
          </w:p>
          <w:p w:rsidR="00C1769E" w:rsidRDefault="007B0020">
            <w:pPr>
              <w:topLinePunct/>
              <w:spacing w:line="360" w:lineRule="exact"/>
              <w:rPr>
                <w:rFonts w:ascii="楷体" w:eastAsia="楷体" w:hAnsi="楷体" w:cs="楷体"/>
                <w:kern w:val="0"/>
                <w:szCs w:val="18"/>
              </w:rPr>
            </w:pPr>
            <w:r>
              <w:rPr>
                <w:rFonts w:ascii="楷体" w:eastAsia="楷体" w:hAnsi="楷体" w:cs="楷体" w:hint="eastAsia"/>
                <w:kern w:val="0"/>
                <w:szCs w:val="18"/>
              </w:rPr>
              <w:t>详见本理财产品说明书“六、申购和赎回”部分。</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b/>
                <w:sz w:val="21"/>
                <w:szCs w:val="18"/>
              </w:rPr>
            </w:pPr>
            <w:r>
              <w:rPr>
                <w:rFonts w:ascii="楷体" w:eastAsia="楷体" w:hAnsi="楷体" w:cs="楷体" w:hint="eastAsia"/>
                <w:b/>
                <w:sz w:val="21"/>
                <w:szCs w:val="18"/>
              </w:rPr>
              <w:t>理财产品份额净值</w:t>
            </w:r>
          </w:p>
        </w:tc>
        <w:tc>
          <w:tcPr>
            <w:tcW w:w="6801" w:type="dxa"/>
            <w:tcBorders>
              <w:bottom w:val="single" w:sz="4" w:space="0" w:color="auto"/>
            </w:tcBorders>
          </w:tcPr>
          <w:p w:rsidR="00C1769E" w:rsidRDefault="007B0020">
            <w:pPr>
              <w:topLinePunct/>
              <w:spacing w:line="360" w:lineRule="exact"/>
              <w:rPr>
                <w:rFonts w:ascii="楷体" w:eastAsia="楷体" w:hAnsi="楷体" w:cs="楷体"/>
                <w:b/>
                <w:szCs w:val="18"/>
              </w:rPr>
            </w:pPr>
            <w:r>
              <w:rPr>
                <w:rFonts w:ascii="楷体" w:eastAsia="楷体" w:hAnsi="楷体" w:cs="楷体" w:hint="eastAsia"/>
                <w:b/>
                <w:szCs w:val="18"/>
              </w:rPr>
              <w:t>本产品通过每日计算收益并分配的方式，使产品份额净值保持在</w:t>
            </w:r>
            <w:r>
              <w:rPr>
                <w:rFonts w:ascii="楷体" w:eastAsia="楷体" w:hAnsi="楷体" w:cs="楷体"/>
                <w:b/>
                <w:szCs w:val="18"/>
              </w:rPr>
              <w:t>1.00元。具体请见本理财产品说明书“八</w:t>
            </w:r>
            <w:r>
              <w:rPr>
                <w:rFonts w:ascii="楷体" w:eastAsia="楷体" w:hAnsi="楷体" w:cs="楷体" w:hint="eastAsia"/>
                <w:b/>
                <w:szCs w:val="21"/>
              </w:rPr>
              <w:t>、理财产品收益分配”</w:t>
            </w:r>
            <w:r>
              <w:rPr>
                <w:rFonts w:ascii="楷体" w:eastAsia="楷体" w:hAnsi="楷体" w:cs="楷体" w:hint="eastAsia"/>
                <w:b/>
                <w:szCs w:val="18"/>
              </w:rPr>
              <w:t>部分。</w:t>
            </w:r>
          </w:p>
        </w:tc>
      </w:tr>
      <w:tr w:rsidR="00C1769E">
        <w:trPr>
          <w:cantSplit/>
          <w:jc w:val="center"/>
        </w:trPr>
        <w:tc>
          <w:tcPr>
            <w:tcW w:w="2448" w:type="dxa"/>
            <w:vAlign w:val="center"/>
          </w:tcPr>
          <w:p w:rsidR="00C1769E" w:rsidRDefault="007B0020">
            <w:pPr>
              <w:pStyle w:val="a8"/>
              <w:widowControl w:val="0"/>
              <w:topLinePunct/>
              <w:spacing w:before="0" w:beforeAutospacing="0" w:after="0" w:afterAutospacing="0" w:line="360" w:lineRule="exact"/>
              <w:rPr>
                <w:rFonts w:ascii="楷体" w:eastAsia="楷体" w:hAnsi="楷体" w:cs="楷体"/>
                <w:b/>
                <w:sz w:val="21"/>
                <w:szCs w:val="21"/>
              </w:rPr>
            </w:pPr>
            <w:r>
              <w:rPr>
                <w:rFonts w:ascii="楷体" w:eastAsia="楷体" w:hAnsi="楷体" w:cs="楷体" w:hint="eastAsia"/>
                <w:b/>
                <w:color w:val="000000"/>
                <w:sz w:val="21"/>
                <w:szCs w:val="21"/>
              </w:rPr>
              <w:t>资金来源限制</w:t>
            </w:r>
          </w:p>
        </w:tc>
        <w:tc>
          <w:tcPr>
            <w:tcW w:w="6801" w:type="dxa"/>
            <w:tcBorders>
              <w:bottom w:val="single" w:sz="4" w:space="0" w:color="auto"/>
            </w:tcBorders>
            <w:vAlign w:val="center"/>
          </w:tcPr>
          <w:p w:rsidR="00C1769E" w:rsidRDefault="007B0020">
            <w:pPr>
              <w:topLinePunct/>
              <w:spacing w:line="360" w:lineRule="exact"/>
              <w:rPr>
                <w:rFonts w:ascii="楷体" w:eastAsia="楷体" w:hAnsi="楷体" w:cs="楷体"/>
                <w:b/>
                <w:kern w:val="0"/>
                <w:szCs w:val="21"/>
              </w:rPr>
            </w:pPr>
            <w:r>
              <w:rPr>
                <w:rFonts w:ascii="楷体" w:eastAsia="楷体" w:hAnsi="楷体" w:cs="楷体" w:hint="eastAsia"/>
                <w:b/>
                <w:color w:val="000000"/>
              </w:rPr>
              <w:t>投资者不得使用贷款、发行债券等筹集的非自有资金投资本理财产品。</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b/>
                <w:sz w:val="21"/>
                <w:szCs w:val="18"/>
              </w:rPr>
            </w:pPr>
            <w:r>
              <w:rPr>
                <w:rFonts w:ascii="楷体" w:eastAsia="楷体" w:hAnsi="楷体" w:cs="楷体" w:hint="eastAsia"/>
                <w:b/>
                <w:sz w:val="21"/>
                <w:szCs w:val="18"/>
              </w:rPr>
              <w:t>巨额赎回限制</w:t>
            </w:r>
          </w:p>
        </w:tc>
        <w:tc>
          <w:tcPr>
            <w:tcW w:w="6801" w:type="dxa"/>
            <w:tcBorders>
              <w:bottom w:val="single" w:sz="4" w:space="0" w:color="auto"/>
            </w:tcBorders>
          </w:tcPr>
          <w:p w:rsidR="00C1769E" w:rsidRDefault="007B0020">
            <w:pPr>
              <w:rPr>
                <w:rFonts w:ascii="楷体" w:eastAsia="楷体" w:hAnsi="楷体" w:cs="楷体"/>
                <w:b/>
                <w:bCs/>
                <w:szCs w:val="21"/>
              </w:rPr>
            </w:pPr>
            <w:r>
              <w:rPr>
                <w:rFonts w:ascii="楷体" w:eastAsia="楷体" w:hAnsi="楷体" w:cs="楷体" w:hint="eastAsia"/>
                <w:b/>
                <w:bCs/>
                <w:szCs w:val="21"/>
              </w:rPr>
              <w:t>本理财产品单个开放日净赎回申请份额（赎回申请份额总数扣除申购申请份额总数）超过前一日终理财产品总份额的</w:t>
            </w:r>
            <w:r>
              <w:rPr>
                <w:rFonts w:ascii="楷体" w:eastAsia="楷体" w:hAnsi="楷体" w:cs="楷体"/>
                <w:b/>
                <w:bCs/>
                <w:szCs w:val="21"/>
              </w:rPr>
              <w:t>10%时</w:t>
            </w:r>
            <w:r>
              <w:rPr>
                <w:rFonts w:ascii="楷体" w:eastAsia="楷体" w:hAnsi="楷体" w:cs="楷体" w:hint="eastAsia"/>
                <w:b/>
                <w:bCs/>
                <w:szCs w:val="21"/>
              </w:rPr>
              <w:t>，产品管理人有权启动巨额赎回限制条款，详见本理财产品说明书“六、申购和赎回”的第（七）部分“巨额赎回限制”。</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b/>
                <w:sz w:val="21"/>
                <w:szCs w:val="18"/>
              </w:rPr>
            </w:pPr>
            <w:r>
              <w:rPr>
                <w:rFonts w:ascii="楷体" w:eastAsia="楷体" w:hAnsi="楷体" w:cs="楷体" w:hint="eastAsia"/>
                <w:b/>
                <w:sz w:val="21"/>
                <w:szCs w:val="18"/>
              </w:rPr>
              <w:t>理财产品费用</w:t>
            </w:r>
          </w:p>
        </w:tc>
        <w:tc>
          <w:tcPr>
            <w:tcW w:w="6801" w:type="dxa"/>
            <w:tcBorders>
              <w:bottom w:val="single" w:sz="4" w:space="0" w:color="auto"/>
            </w:tcBorders>
          </w:tcPr>
          <w:p w:rsidR="00C1769E" w:rsidRDefault="007B0020">
            <w:pPr>
              <w:rPr>
                <w:rFonts w:ascii="楷体" w:eastAsia="楷体" w:hAnsi="楷体" w:cs="楷体"/>
                <w:b/>
                <w:szCs w:val="21"/>
              </w:rPr>
            </w:pPr>
            <w:r>
              <w:rPr>
                <w:rFonts w:ascii="楷体" w:eastAsia="楷体" w:hAnsi="楷体" w:cs="楷体"/>
                <w:b/>
                <w:szCs w:val="21"/>
              </w:rPr>
              <w:t>1.固定管理费：【0.15】%（年化）；</w:t>
            </w:r>
          </w:p>
          <w:p w:rsidR="00C1769E" w:rsidRDefault="007B0020">
            <w:pPr>
              <w:rPr>
                <w:rFonts w:ascii="楷体" w:eastAsia="楷体" w:hAnsi="楷体" w:cs="楷体"/>
                <w:b/>
                <w:szCs w:val="21"/>
              </w:rPr>
            </w:pPr>
            <w:r>
              <w:rPr>
                <w:rFonts w:ascii="楷体" w:eastAsia="楷体" w:hAnsi="楷体" w:cs="楷体"/>
                <w:b/>
                <w:szCs w:val="21"/>
              </w:rPr>
              <w:t>2.销售服务费：</w:t>
            </w:r>
            <w:r w:rsidR="0090394A">
              <w:rPr>
                <w:rFonts w:ascii="楷体" w:eastAsia="楷体" w:hAnsi="楷体" w:cs="楷体" w:hint="eastAsia"/>
                <w:b/>
                <w:szCs w:val="21"/>
              </w:rPr>
              <w:t>C</w:t>
            </w:r>
            <w:r w:rsidR="0062785F">
              <w:rPr>
                <w:rFonts w:ascii="楷体" w:eastAsia="楷体" w:hAnsi="楷体" w:cs="楷体" w:hint="eastAsia"/>
                <w:b/>
                <w:szCs w:val="21"/>
              </w:rPr>
              <w:t>、E</w:t>
            </w:r>
            <w:r>
              <w:rPr>
                <w:rFonts w:ascii="楷体" w:eastAsia="楷体" w:hAnsi="楷体" w:cs="楷体"/>
                <w:b/>
                <w:szCs w:val="21"/>
              </w:rPr>
              <w:t>份额【0.</w:t>
            </w:r>
            <w:r w:rsidR="0090394A">
              <w:rPr>
                <w:rFonts w:ascii="楷体" w:eastAsia="楷体" w:hAnsi="楷体" w:cs="楷体"/>
                <w:b/>
                <w:szCs w:val="21"/>
              </w:rPr>
              <w:t>15</w:t>
            </w:r>
            <w:r>
              <w:rPr>
                <w:rFonts w:ascii="楷体" w:eastAsia="楷体" w:hAnsi="楷体" w:cs="楷体"/>
                <w:b/>
                <w:szCs w:val="21"/>
              </w:rPr>
              <w:t>】%（年化）；</w:t>
            </w:r>
          </w:p>
          <w:p w:rsidR="00C1769E" w:rsidRDefault="007B0020">
            <w:pPr>
              <w:rPr>
                <w:rFonts w:ascii="楷体" w:eastAsia="楷体" w:hAnsi="楷体" w:cs="楷体"/>
                <w:b/>
                <w:szCs w:val="21"/>
              </w:rPr>
            </w:pPr>
            <w:r>
              <w:rPr>
                <w:rFonts w:ascii="楷体" w:eastAsia="楷体" w:hAnsi="楷体" w:cs="楷体"/>
                <w:b/>
                <w:szCs w:val="21"/>
              </w:rPr>
              <w:t>3.托管费：【0.025</w:t>
            </w:r>
            <w:r>
              <w:rPr>
                <w:rFonts w:ascii="楷体" w:eastAsia="楷体" w:hAnsi="楷体" w:cs="楷体" w:hint="eastAsia"/>
                <w:b/>
                <w:szCs w:val="21"/>
              </w:rPr>
              <w:t>】</w:t>
            </w:r>
            <w:r>
              <w:rPr>
                <w:rFonts w:ascii="楷体" w:eastAsia="楷体" w:hAnsi="楷体" w:cs="楷体"/>
                <w:b/>
                <w:szCs w:val="21"/>
              </w:rPr>
              <w:t>%（年化）；</w:t>
            </w:r>
          </w:p>
          <w:p w:rsidR="00C1769E" w:rsidRDefault="007B0020">
            <w:pPr>
              <w:widowControl/>
              <w:autoSpaceDE w:val="0"/>
              <w:autoSpaceDN w:val="0"/>
              <w:ind w:left="8" w:hangingChars="4" w:hanging="8"/>
              <w:rPr>
                <w:rFonts w:ascii="楷体" w:eastAsia="楷体" w:hAnsi="楷体" w:cs="楷体"/>
                <w:b/>
                <w:kern w:val="0"/>
                <w:szCs w:val="21"/>
              </w:rPr>
            </w:pPr>
            <w:r>
              <w:rPr>
                <w:rFonts w:ascii="楷体" w:eastAsia="楷体" w:hAnsi="楷体" w:cs="楷体"/>
                <w:b/>
                <w:kern w:val="0"/>
                <w:szCs w:val="21"/>
              </w:rPr>
              <w:t>4.</w:t>
            </w:r>
            <w:r>
              <w:rPr>
                <w:rFonts w:ascii="楷体" w:eastAsia="楷体" w:hAnsi="楷体" w:cs="楷体" w:hint="eastAsia"/>
                <w:b/>
                <w:kern w:val="0"/>
                <w:szCs w:val="21"/>
              </w:rPr>
              <w:t>本理财产品无认购费、申购费、赎回费</w:t>
            </w:r>
            <w:r>
              <w:rPr>
                <w:rFonts w:ascii="楷体" w:eastAsia="楷体" w:hAnsi="楷体" w:cs="楷体"/>
                <w:b/>
                <w:kern w:val="0"/>
                <w:szCs w:val="21"/>
              </w:rPr>
              <w:t>;</w:t>
            </w:r>
          </w:p>
          <w:p w:rsidR="00C1769E" w:rsidRDefault="007B0020">
            <w:pPr>
              <w:widowControl/>
              <w:autoSpaceDE w:val="0"/>
              <w:autoSpaceDN w:val="0"/>
              <w:ind w:left="8" w:hangingChars="4" w:hanging="8"/>
              <w:rPr>
                <w:rFonts w:ascii="楷体" w:eastAsia="楷体" w:hAnsi="楷体" w:cs="楷体"/>
                <w:b/>
                <w:kern w:val="0"/>
                <w:szCs w:val="21"/>
              </w:rPr>
            </w:pPr>
            <w:r>
              <w:rPr>
                <w:rFonts w:ascii="楷体" w:eastAsia="楷体" w:hAnsi="楷体" w:cs="楷体"/>
                <w:b/>
                <w:kern w:val="0"/>
                <w:szCs w:val="21"/>
              </w:rPr>
              <w:t>5.强制赎回费：</w:t>
            </w:r>
          </w:p>
          <w:p w:rsidR="00C1769E" w:rsidRDefault="007B0020">
            <w:pPr>
              <w:pStyle w:val="a8"/>
              <w:numPr>
                <w:ilvl w:val="255"/>
                <w:numId w:val="0"/>
              </w:numPr>
              <w:overflowPunct w:val="0"/>
              <w:topLinePunct/>
              <w:autoSpaceDE w:val="0"/>
              <w:autoSpaceDN w:val="0"/>
              <w:spacing w:before="0" w:beforeAutospacing="0" w:after="0" w:afterAutospacing="0"/>
              <w:ind w:firstLineChars="200" w:firstLine="422"/>
              <w:rPr>
                <w:rFonts w:ascii="楷体" w:eastAsia="楷体" w:hAnsi="楷体" w:cs="楷体"/>
                <w:b/>
                <w:kern w:val="2"/>
                <w:sz w:val="21"/>
                <w:szCs w:val="21"/>
              </w:rPr>
            </w:pPr>
            <w:r>
              <w:rPr>
                <w:rFonts w:ascii="楷体" w:eastAsia="楷体" w:hAnsi="楷体" w:cs="楷体" w:hint="eastAsia"/>
                <w:b/>
                <w:kern w:val="2"/>
                <w:sz w:val="21"/>
                <w:szCs w:val="21"/>
              </w:rPr>
              <w:t>（</w:t>
            </w:r>
            <w:r>
              <w:rPr>
                <w:rFonts w:ascii="楷体" w:eastAsia="楷体" w:hAnsi="楷体" w:cs="楷体"/>
                <w:b/>
                <w:kern w:val="2"/>
                <w:sz w:val="21"/>
                <w:szCs w:val="21"/>
              </w:rPr>
              <w:t>1）在满足相关流动性风险管理要求的前提下，当本产品持有的现金、国债、中央银行票据、政策性金融债券以及5个交易日内到期的其他金融工具占产品资产净值的比例合计低于5%且偏离度为负时，管理人将对当日单个产品投资者申请赎回份额超过本产品总份额1%以上的赎回申请征收1%的强制赎回费用，并将上述赎回费用全额计入本产品财产。管理人与托管机构协商确认上述做法无益于现金管理类产品利益最大化的情形除外。</w:t>
            </w:r>
          </w:p>
          <w:p w:rsidR="00C1769E" w:rsidRDefault="007B0020">
            <w:pPr>
              <w:pStyle w:val="a8"/>
              <w:numPr>
                <w:ilvl w:val="255"/>
                <w:numId w:val="0"/>
              </w:numPr>
              <w:overflowPunct w:val="0"/>
              <w:topLinePunct/>
              <w:autoSpaceDE w:val="0"/>
              <w:autoSpaceDN w:val="0"/>
              <w:spacing w:before="0" w:beforeAutospacing="0" w:after="0" w:afterAutospacing="0"/>
              <w:ind w:firstLineChars="200" w:firstLine="422"/>
              <w:rPr>
                <w:rFonts w:ascii="楷体" w:eastAsia="楷体" w:hAnsi="楷体" w:cs="楷体"/>
                <w:b/>
                <w:kern w:val="2"/>
                <w:sz w:val="21"/>
                <w:szCs w:val="21"/>
              </w:rPr>
            </w:pPr>
            <w:r>
              <w:rPr>
                <w:rFonts w:ascii="楷体" w:eastAsia="楷体" w:hAnsi="楷体" w:cs="楷体" w:hint="eastAsia"/>
                <w:b/>
                <w:kern w:val="2"/>
                <w:sz w:val="21"/>
                <w:szCs w:val="21"/>
              </w:rPr>
              <w:t>（</w:t>
            </w:r>
            <w:r>
              <w:rPr>
                <w:rFonts w:ascii="楷体" w:eastAsia="楷体" w:hAnsi="楷体" w:cs="楷体"/>
                <w:b/>
                <w:kern w:val="2"/>
                <w:sz w:val="21"/>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管理人将对投资者超过本产品总份额1%以上的赎回申请征收1%的强制赎回费用。</w:t>
            </w:r>
          </w:p>
          <w:p w:rsidR="00C1769E" w:rsidRDefault="007B0020">
            <w:pPr>
              <w:rPr>
                <w:rFonts w:ascii="楷体" w:eastAsia="楷体" w:hAnsi="楷体" w:cs="楷体"/>
                <w:b/>
                <w:szCs w:val="21"/>
              </w:rPr>
            </w:pPr>
            <w:r>
              <w:rPr>
                <w:rFonts w:ascii="楷体" w:eastAsia="楷体" w:hAnsi="楷体" w:cs="楷体"/>
                <w:b/>
                <w:szCs w:val="21"/>
              </w:rPr>
              <w:t>6.其他：投资账户开立及维护费、交易手续费、资金汇划费、清算费；与产品相关的审计费、诉讼费、仲裁费、律师费、执行费、信息披露费；增值税及附加税费等，</w:t>
            </w:r>
            <w:r>
              <w:rPr>
                <w:rFonts w:ascii="楷体" w:eastAsia="楷体" w:hAnsi="楷体" w:cs="楷体" w:hint="eastAsia"/>
                <w:b/>
                <w:szCs w:val="21"/>
              </w:rPr>
              <w:t>以及其他按照国家有关规定可以列入的费用，在实际发生时按照实际发生额支付。</w:t>
            </w:r>
          </w:p>
          <w:p w:rsidR="00C1769E" w:rsidRDefault="007B0020">
            <w:pPr>
              <w:rPr>
                <w:rFonts w:ascii="楷体" w:eastAsia="楷体" w:hAnsi="楷体" w:cs="楷体"/>
                <w:b/>
                <w:szCs w:val="21"/>
              </w:rPr>
            </w:pPr>
            <w:r>
              <w:rPr>
                <w:rFonts w:ascii="楷体" w:eastAsia="楷体" w:hAnsi="楷体" w:cs="楷体" w:hint="eastAsia"/>
                <w:b/>
                <w:szCs w:val="21"/>
              </w:rPr>
              <w:t>详见本理财产品说明书“五、理财产品费用”部分。</w:t>
            </w:r>
          </w:p>
          <w:p w:rsidR="00C1769E" w:rsidRDefault="007B0020">
            <w:pPr>
              <w:rPr>
                <w:rFonts w:ascii="楷体" w:eastAsia="楷体" w:hAnsi="楷体" w:cs="楷体"/>
                <w:b/>
                <w:szCs w:val="21"/>
              </w:rPr>
            </w:pPr>
            <w:r>
              <w:rPr>
                <w:rFonts w:ascii="楷体" w:eastAsia="楷体" w:hAnsi="楷体" w:cs="楷体" w:hint="eastAsia"/>
                <w:b/>
                <w:szCs w:val="21"/>
              </w:rPr>
              <w:t>各销售机构或各类份额（如有）的销售服务费或有不同。</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line="360" w:lineRule="exact"/>
              <w:jc w:val="both"/>
              <w:rPr>
                <w:rFonts w:ascii="楷体" w:eastAsia="楷体" w:hAnsi="楷体" w:cs="楷体"/>
                <w:kern w:val="2"/>
                <w:sz w:val="21"/>
                <w:szCs w:val="21"/>
              </w:rPr>
            </w:pPr>
            <w:r>
              <w:rPr>
                <w:rFonts w:ascii="楷体" w:eastAsia="楷体" w:hAnsi="楷体" w:cs="楷体" w:hint="eastAsia"/>
                <w:kern w:val="2"/>
                <w:sz w:val="21"/>
                <w:szCs w:val="21"/>
              </w:rPr>
              <w:lastRenderedPageBreak/>
              <w:t>提前终止</w:t>
            </w:r>
          </w:p>
        </w:tc>
        <w:tc>
          <w:tcPr>
            <w:tcW w:w="6801" w:type="dxa"/>
            <w:tcBorders>
              <w:bottom w:val="single" w:sz="4" w:space="0" w:color="auto"/>
            </w:tcBorders>
            <w:vAlign w:val="center"/>
          </w:tcPr>
          <w:p w:rsidR="00C1769E" w:rsidRDefault="007B0020">
            <w:pPr>
              <w:rPr>
                <w:rFonts w:ascii="楷体" w:eastAsia="楷体" w:hAnsi="楷体" w:cs="楷体"/>
                <w:szCs w:val="21"/>
              </w:rPr>
            </w:pPr>
            <w:r>
              <w:rPr>
                <w:rFonts w:ascii="楷体" w:eastAsia="楷体" w:hAnsi="楷体" w:cs="楷体" w:hint="eastAsia"/>
              </w:rPr>
              <w:t>本理财产品存续期内，投资者无权单方面主动决定终止本理财产品。为保护投资者利益，理财产品管理人有权按照本理财产品资金运作的实际情况，主动终止本理财产品。如理财产品管理人需要提前终止本理财产品，将至少提前【</w:t>
            </w:r>
            <w:r>
              <w:rPr>
                <w:rFonts w:ascii="楷体" w:eastAsia="楷体" w:hAnsi="楷体" w:cs="楷体"/>
              </w:rPr>
              <w:t>3】个工作日（含）予以公告。详见本理财产品说明书“七、提前终止”部分。</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rPr>
                <w:rFonts w:ascii="楷体" w:eastAsia="楷体" w:hAnsi="楷体" w:cs="楷体"/>
                <w:kern w:val="2"/>
                <w:sz w:val="21"/>
                <w:szCs w:val="21"/>
              </w:rPr>
            </w:pPr>
            <w:r>
              <w:rPr>
                <w:rFonts w:ascii="楷体" w:eastAsia="楷体" w:hAnsi="楷体" w:cs="楷体" w:hint="eastAsia"/>
                <w:kern w:val="2"/>
                <w:sz w:val="21"/>
                <w:szCs w:val="21"/>
              </w:rPr>
              <w:t>工作日释义</w:t>
            </w:r>
          </w:p>
        </w:tc>
        <w:tc>
          <w:tcPr>
            <w:tcW w:w="6801" w:type="dxa"/>
          </w:tcPr>
          <w:p w:rsidR="00C1769E" w:rsidRDefault="007B0020">
            <w:pPr>
              <w:pStyle w:val="a8"/>
              <w:widowControl w:val="0"/>
              <w:tabs>
                <w:tab w:val="left" w:pos="720"/>
              </w:tabs>
              <w:topLinePunct/>
              <w:spacing w:before="0" w:beforeAutospacing="0" w:after="0" w:afterAutospacing="0"/>
              <w:rPr>
                <w:rFonts w:ascii="楷体" w:eastAsia="楷体" w:hAnsi="楷体" w:cs="楷体"/>
                <w:kern w:val="2"/>
                <w:sz w:val="21"/>
                <w:szCs w:val="21"/>
              </w:rPr>
            </w:pPr>
            <w:r>
              <w:rPr>
                <w:rFonts w:ascii="楷体" w:eastAsia="楷体" w:hAnsi="楷体" w:cs="楷体" w:hint="eastAsia"/>
                <w:sz w:val="21"/>
                <w:szCs w:val="21"/>
              </w:rPr>
              <w:t>指除周六日、公休日及中国法定节假日外的其他日，即中国证券市场的法定交易日。</w:t>
            </w:r>
          </w:p>
        </w:tc>
      </w:tr>
      <w:tr w:rsidR="00C1769E">
        <w:trPr>
          <w:cantSplit/>
          <w:jc w:val="center"/>
        </w:trPr>
        <w:tc>
          <w:tcPr>
            <w:tcW w:w="2448" w:type="dxa"/>
          </w:tcPr>
          <w:p w:rsidR="00C1769E" w:rsidRDefault="007B0020">
            <w:pPr>
              <w:pStyle w:val="a8"/>
              <w:widowControl w:val="0"/>
              <w:tabs>
                <w:tab w:val="left" w:pos="720"/>
              </w:tabs>
              <w:topLinePunct/>
              <w:spacing w:before="0" w:beforeAutospacing="0" w:after="0" w:afterAutospacing="0" w:line="360" w:lineRule="exact"/>
              <w:rPr>
                <w:rFonts w:ascii="楷体" w:eastAsia="楷体" w:hAnsi="楷体" w:cs="楷体"/>
                <w:sz w:val="21"/>
                <w:szCs w:val="21"/>
              </w:rPr>
            </w:pPr>
            <w:r>
              <w:rPr>
                <w:rFonts w:ascii="楷体" w:eastAsia="楷体" w:hAnsi="楷体" w:cs="楷体" w:hint="eastAsia"/>
                <w:sz w:val="21"/>
                <w:szCs w:val="18"/>
              </w:rPr>
              <w:t>赎回款项到账日</w:t>
            </w:r>
          </w:p>
        </w:tc>
        <w:tc>
          <w:tcPr>
            <w:tcW w:w="6801" w:type="dxa"/>
          </w:tcPr>
          <w:p w:rsidR="00C1769E" w:rsidRDefault="007B0020">
            <w:pPr>
              <w:rPr>
                <w:rFonts w:ascii="楷体" w:eastAsia="楷体" w:hAnsi="楷体" w:cs="楷体"/>
                <w:szCs w:val="21"/>
              </w:rPr>
            </w:pPr>
            <w:r>
              <w:rPr>
                <w:rFonts w:ascii="楷体" w:eastAsia="楷体" w:hAnsi="楷体" w:cs="楷体" w:hint="eastAsia"/>
              </w:rPr>
              <w:t>投资者赎回申请成功后，赎回款项通常情况下于理财产品赎回确认日内由产品管理人支付至销售机构指定账户，并由销售机构划付至投资者账户；如发生本理财产品说明书“九、风险揭示”的第（十一）部分“赎回款项支付延迟风险”中的情形，赎回款项支付可能延迟；如赎回款项支付延迟可能超过</w:t>
            </w:r>
            <w:r>
              <w:rPr>
                <w:rFonts w:ascii="楷体" w:eastAsia="楷体" w:hAnsi="楷体" w:cs="楷体"/>
              </w:rPr>
              <w:t>1个工作日，产品管理人将在赎回确认日后1个工作日内公告。在触动巨额赎回限制时，赎回款项的支付按照本理财产品说明书“六、申购和赎回”的第（七）部分“巨额赎回限制”的规定处理。理财产品赎回确认日至赎回款项到账日期间不计利息。</w:t>
            </w:r>
          </w:p>
        </w:tc>
      </w:tr>
      <w:tr w:rsidR="00C1769E">
        <w:trPr>
          <w:cantSplit/>
          <w:jc w:val="center"/>
        </w:trPr>
        <w:tc>
          <w:tcPr>
            <w:tcW w:w="2448" w:type="dxa"/>
            <w:tcBorders>
              <w:bottom w:val="single" w:sz="4" w:space="0" w:color="auto"/>
            </w:tcBorders>
          </w:tcPr>
          <w:p w:rsidR="00C1769E" w:rsidRDefault="007B0020">
            <w:pPr>
              <w:pStyle w:val="a8"/>
              <w:widowControl w:val="0"/>
              <w:tabs>
                <w:tab w:val="left" w:pos="720"/>
              </w:tabs>
              <w:topLinePunct/>
              <w:spacing w:before="0" w:beforeAutospacing="0" w:after="0" w:afterAutospacing="0"/>
              <w:jc w:val="both"/>
              <w:rPr>
                <w:rFonts w:ascii="楷体" w:eastAsia="楷体" w:hAnsi="楷体" w:cs="楷体"/>
                <w:sz w:val="21"/>
                <w:szCs w:val="21"/>
              </w:rPr>
            </w:pPr>
            <w:r>
              <w:rPr>
                <w:rFonts w:ascii="楷体" w:eastAsia="楷体" w:hAnsi="楷体" w:cs="楷体" w:hint="eastAsia"/>
                <w:b/>
                <w:bCs/>
                <w:sz w:val="21"/>
                <w:szCs w:val="18"/>
              </w:rPr>
              <w:t>理财产品</w:t>
            </w:r>
            <w:r>
              <w:rPr>
                <w:rFonts w:ascii="楷体" w:eastAsia="楷体" w:hAnsi="楷体" w:cs="楷体" w:hint="eastAsia"/>
                <w:b/>
                <w:bCs/>
                <w:sz w:val="21"/>
                <w:szCs w:val="21"/>
              </w:rPr>
              <w:t>税款</w:t>
            </w:r>
          </w:p>
        </w:tc>
        <w:tc>
          <w:tcPr>
            <w:tcW w:w="6801" w:type="dxa"/>
            <w:tcBorders>
              <w:bottom w:val="single" w:sz="4" w:space="0" w:color="auto"/>
            </w:tcBorders>
            <w:vAlign w:val="center"/>
          </w:tcPr>
          <w:p w:rsidR="00C1769E" w:rsidRDefault="007B0020">
            <w:pPr>
              <w:rPr>
                <w:rFonts w:ascii="楷体" w:eastAsia="楷体" w:hAnsi="楷体" w:cs="楷体"/>
                <w:szCs w:val="21"/>
              </w:rPr>
            </w:pPr>
            <w:r>
              <w:rPr>
                <w:rFonts w:ascii="楷体" w:eastAsia="楷体" w:hAnsi="楷体" w:cs="楷体" w:hint="eastAsia"/>
                <w:b/>
                <w:bCs/>
              </w:rPr>
              <w:t>根据中国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产品管理人从理财产品财产中支付，并由产品管理人根据中国税务机关要求，履行相关纳税申报义务，由此可能会使理财产品实际收益降低，请投资者知悉。投资者从理财产品取得的收益应缴纳的税款，由投资者自行申报及缴纳。</w:t>
            </w:r>
          </w:p>
        </w:tc>
      </w:tr>
    </w:tbl>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理财产品投资</w:t>
      </w:r>
    </w:p>
    <w:p w:rsidR="00C1769E" w:rsidRDefault="007B0020" w:rsidP="007B0020">
      <w:pPr>
        <w:pStyle w:val="a8"/>
        <w:widowControl w:val="0"/>
        <w:numPr>
          <w:ilvl w:val="0"/>
          <w:numId w:val="12"/>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投资范围</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本理财产品募集的资金主要投资于以下金融工具：</w:t>
      </w:r>
    </w:p>
    <w:p w:rsidR="00C1769E" w:rsidRDefault="007B0020" w:rsidP="007B0020">
      <w:pPr>
        <w:pStyle w:val="a8"/>
        <w:widowControl w:val="0"/>
        <w:numPr>
          <w:ilvl w:val="0"/>
          <w:numId w:val="13"/>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现金；</w:t>
      </w:r>
    </w:p>
    <w:p w:rsidR="00C1769E" w:rsidRDefault="007B0020" w:rsidP="007B0020">
      <w:pPr>
        <w:pStyle w:val="a8"/>
        <w:widowControl w:val="0"/>
        <w:numPr>
          <w:ilvl w:val="0"/>
          <w:numId w:val="13"/>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期限在</w:t>
      </w:r>
      <w:r>
        <w:rPr>
          <w:rFonts w:ascii="楷体" w:eastAsia="楷体" w:hAnsi="楷体" w:cs="楷体"/>
          <w:sz w:val="21"/>
          <w:szCs w:val="18"/>
        </w:rPr>
        <w:t>1年以内（含1年）的银行存款、债券回购、中央银行票据、同业存单；</w:t>
      </w:r>
    </w:p>
    <w:p w:rsidR="00C1769E" w:rsidRDefault="007B0020" w:rsidP="007B0020">
      <w:pPr>
        <w:pStyle w:val="a8"/>
        <w:widowControl w:val="0"/>
        <w:numPr>
          <w:ilvl w:val="0"/>
          <w:numId w:val="13"/>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剩余期限在</w:t>
      </w:r>
      <w:r>
        <w:rPr>
          <w:rFonts w:ascii="楷体" w:eastAsia="楷体" w:hAnsi="楷体" w:cs="楷体"/>
          <w:sz w:val="21"/>
          <w:szCs w:val="18"/>
        </w:rPr>
        <w:t>397天以内（含397天）的债券</w:t>
      </w:r>
      <w:r>
        <w:rPr>
          <w:rStyle w:val="ae"/>
          <w:rFonts w:ascii="楷体" w:eastAsia="楷体" w:hAnsi="楷体" w:cs="楷体"/>
          <w:sz w:val="21"/>
          <w:szCs w:val="18"/>
        </w:rPr>
        <w:footnoteReference w:id="1"/>
      </w:r>
      <w:r>
        <w:rPr>
          <w:rFonts w:ascii="楷体" w:eastAsia="楷体" w:hAnsi="楷体" w:cs="楷体" w:hint="eastAsia"/>
          <w:sz w:val="21"/>
          <w:szCs w:val="18"/>
        </w:rPr>
        <w:t>、在银行间市场和证券交易所市场发行的资产支持证券；</w:t>
      </w:r>
    </w:p>
    <w:p w:rsidR="00C1769E" w:rsidRDefault="007B0020" w:rsidP="007B0020">
      <w:pPr>
        <w:pStyle w:val="a8"/>
        <w:widowControl w:val="0"/>
        <w:numPr>
          <w:ilvl w:val="0"/>
          <w:numId w:val="13"/>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国家金融监督管理机构、中国人民银行认可的其他具有良好流动性的货币市场工具。</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本理财产品不投资于以下金融工具：</w:t>
      </w:r>
    </w:p>
    <w:p w:rsidR="00C1769E" w:rsidRDefault="007B0020" w:rsidP="007B0020">
      <w:pPr>
        <w:pStyle w:val="a8"/>
        <w:widowControl w:val="0"/>
        <w:numPr>
          <w:ilvl w:val="0"/>
          <w:numId w:val="1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股票；</w:t>
      </w:r>
    </w:p>
    <w:p w:rsidR="00C1769E" w:rsidRDefault="007B0020" w:rsidP="007B0020">
      <w:pPr>
        <w:pStyle w:val="a8"/>
        <w:widowControl w:val="0"/>
        <w:numPr>
          <w:ilvl w:val="0"/>
          <w:numId w:val="1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可转换债券、可交换债券；</w:t>
      </w:r>
    </w:p>
    <w:p w:rsidR="00C1769E" w:rsidRDefault="007B0020" w:rsidP="007B0020">
      <w:pPr>
        <w:pStyle w:val="a8"/>
        <w:widowControl w:val="0"/>
        <w:numPr>
          <w:ilvl w:val="0"/>
          <w:numId w:val="1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以定期存款利率为基准利率的浮动利率债券，已进入最后一个利率调整期的除外；</w:t>
      </w:r>
    </w:p>
    <w:p w:rsidR="00C1769E" w:rsidRDefault="007B0020" w:rsidP="007B0020">
      <w:pPr>
        <w:pStyle w:val="a8"/>
        <w:widowControl w:val="0"/>
        <w:numPr>
          <w:ilvl w:val="0"/>
          <w:numId w:val="1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信用等级在</w:t>
      </w:r>
      <w:r>
        <w:rPr>
          <w:rFonts w:ascii="楷体" w:eastAsia="楷体" w:hAnsi="楷体" w:cs="楷体"/>
          <w:sz w:val="21"/>
          <w:szCs w:val="18"/>
        </w:rPr>
        <w:t>AA+以下的债券、资产支持证券；</w:t>
      </w:r>
    </w:p>
    <w:p w:rsidR="00C1769E" w:rsidRDefault="007B0020" w:rsidP="007B0020">
      <w:pPr>
        <w:pStyle w:val="a8"/>
        <w:widowControl w:val="0"/>
        <w:numPr>
          <w:ilvl w:val="0"/>
          <w:numId w:val="1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lastRenderedPageBreak/>
        <w:t>国家金融监督管理机构、中国人民银行禁止投资的其他金融工具。</w:t>
      </w:r>
    </w:p>
    <w:p w:rsidR="00C1769E" w:rsidRDefault="007B0020" w:rsidP="007B0020">
      <w:pPr>
        <w:pStyle w:val="a8"/>
        <w:widowControl w:val="0"/>
        <w:numPr>
          <w:ilvl w:val="0"/>
          <w:numId w:val="12"/>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投资比例限制</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sz w:val="21"/>
          <w:szCs w:val="18"/>
        </w:rPr>
        <w:t>产品管理人发行的全部公募</w:t>
      </w:r>
      <w:r>
        <w:rPr>
          <w:rFonts w:ascii="楷体" w:eastAsia="楷体" w:hAnsi="楷体" w:cs="楷体" w:hint="eastAsia"/>
          <w:sz w:val="21"/>
          <w:szCs w:val="18"/>
        </w:rPr>
        <w:t>理财</w:t>
      </w:r>
      <w:r>
        <w:rPr>
          <w:rFonts w:ascii="楷体" w:eastAsia="楷体" w:hAnsi="楷体" w:cs="楷体"/>
          <w:sz w:val="21"/>
          <w:szCs w:val="18"/>
        </w:rPr>
        <w:t>产品投资单只证券的市值不得超过该证券市值的30%</w:t>
      </w:r>
      <w:r>
        <w:rPr>
          <w:rFonts w:ascii="楷体" w:eastAsia="楷体" w:hAnsi="楷体" w:cs="楷体" w:hint="eastAsia"/>
          <w:sz w:val="21"/>
          <w:szCs w:val="18"/>
        </w:rPr>
        <w:t>。</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投资于单只证券的市值不得超过本理财产品净资产的</w:t>
      </w:r>
      <w:r>
        <w:rPr>
          <w:rFonts w:ascii="楷体" w:eastAsia="楷体" w:hAnsi="楷体" w:cs="楷体"/>
          <w:sz w:val="21"/>
          <w:szCs w:val="18"/>
        </w:rPr>
        <w:t>10%。</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投资于存款、债券等债权类资产占组合总资产的比例不低于</w:t>
      </w:r>
      <w:r>
        <w:rPr>
          <w:rFonts w:ascii="楷体" w:eastAsia="楷体" w:hAnsi="楷体" w:cs="楷体"/>
          <w:sz w:val="21"/>
          <w:szCs w:val="18"/>
        </w:rPr>
        <w:t>80%。</w:t>
      </w:r>
    </w:p>
    <w:p w:rsidR="00C1769E" w:rsidRDefault="007B0020">
      <w:pPr>
        <w:pStyle w:val="a8"/>
        <w:widowControl w:val="0"/>
        <w:overflowPunct w:val="0"/>
        <w:topLinePunct/>
        <w:autoSpaceDE w:val="0"/>
        <w:autoSpaceDN w:val="0"/>
        <w:spacing w:before="0" w:beforeAutospacing="0" w:after="0" w:afterAutospacing="0" w:line="400" w:lineRule="exact"/>
        <w:ind w:firstLineChars="200" w:firstLine="420"/>
        <w:rPr>
          <w:rFonts w:ascii="楷体" w:eastAsia="楷体" w:hAnsi="楷体" w:cs="楷体"/>
          <w:sz w:val="21"/>
          <w:szCs w:val="18"/>
        </w:rPr>
      </w:pPr>
      <w:r>
        <w:rPr>
          <w:rFonts w:ascii="楷体" w:eastAsia="楷体" w:hAnsi="楷体" w:cs="楷体" w:hint="eastAsia"/>
          <w:sz w:val="21"/>
          <w:szCs w:val="18"/>
        </w:rPr>
        <w:t>非因理财产品管理人主观因素导致突破上述第</w:t>
      </w:r>
      <w:r>
        <w:rPr>
          <w:rFonts w:ascii="楷体" w:eastAsia="楷体" w:hAnsi="楷体" w:cs="楷体"/>
          <w:sz w:val="21"/>
          <w:szCs w:val="18"/>
        </w:rPr>
        <w:t>1、2、3项投资比例限制的，理财产品管理人应当在流动性受限资产可出售、可转让或者恢复交易的10个交易日内调整至符合要求</w:t>
      </w:r>
      <w:r>
        <w:rPr>
          <w:rFonts w:ascii="楷体" w:eastAsia="楷体" w:hAnsi="楷体" w:cs="楷体" w:hint="eastAsia"/>
          <w:sz w:val="21"/>
          <w:szCs w:val="18"/>
        </w:rPr>
        <w:t>。</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投资于同一机构发行的债券及其作为原始权益人的资产支持证券的比例合计不得超过产品资产净值的</w:t>
      </w:r>
      <w:r>
        <w:rPr>
          <w:rFonts w:ascii="楷体" w:eastAsia="楷体" w:hAnsi="楷体" w:cs="楷体"/>
          <w:sz w:val="21"/>
          <w:szCs w:val="18"/>
        </w:rPr>
        <w:t>10%，投资于国债、中央银行票据、政策性金融债券的除外。</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投资于所有主体信用评级低于</w:t>
      </w:r>
      <w:r>
        <w:rPr>
          <w:rFonts w:ascii="楷体" w:eastAsia="楷体" w:hAnsi="楷体" w:cs="楷体"/>
          <w:sz w:val="21"/>
          <w:szCs w:val="18"/>
        </w:rPr>
        <w:t>AAA的机构发行的金融工具的比例合计不得超过该产品资产净值的10%，其中单一机构发行的金融工具的比例合计不得超过产品资产净值的2%；本款所称金融工具包括债券、银行存款、同业存单、相关机构作为原始权益人的资产支持证券及国家金融监督管理机构认可的其他金融工具。</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投资于有固定期限银行存款的比例合计不得超过该产品资产净值的</w:t>
      </w:r>
      <w:r>
        <w:rPr>
          <w:rFonts w:ascii="楷体" w:eastAsia="楷体" w:hAnsi="楷体" w:cs="楷体"/>
          <w:sz w:val="21"/>
          <w:szCs w:val="18"/>
        </w:rPr>
        <w:t>30%，投资于有存款期限，根据协议可提前支取的银行存款除外；本产品投资于主体信用评级为AAA的同一商业银行的银行存款、同业存单占该产品资产净值的比例合计不得超过20%。</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sz w:val="21"/>
          <w:szCs w:val="18"/>
        </w:rPr>
        <w:t>本产品管理人管理的全部现金管理类产品</w:t>
      </w:r>
      <w:r>
        <w:rPr>
          <w:rFonts w:ascii="楷体" w:eastAsia="楷体" w:hAnsi="楷体" w:cs="楷体" w:hint="eastAsia"/>
          <w:sz w:val="21"/>
          <w:szCs w:val="18"/>
        </w:rPr>
        <w:t>投资于同一商业银行的存款、同业存单和债券，不得超过该商业银行最近一个季度末净资产的</w:t>
      </w:r>
      <w:r>
        <w:rPr>
          <w:rFonts w:ascii="楷体" w:eastAsia="楷体" w:hAnsi="楷体" w:cs="楷体"/>
          <w:sz w:val="21"/>
          <w:szCs w:val="18"/>
        </w:rPr>
        <w:t>10%。</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sz w:val="21"/>
          <w:szCs w:val="18"/>
        </w:rPr>
        <w:t>本产品拟投资于主体信用评级低于AA+的商业银行的银行存款与同业存单的，应当经管理人董事会审议批准，相关交易应当事先告知托管机构，并作为重大事项履行信息披露程序。</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应持有不低于资产净值</w:t>
      </w:r>
      <w:r>
        <w:rPr>
          <w:rFonts w:ascii="楷体" w:eastAsia="楷体" w:hAnsi="楷体" w:cs="楷体"/>
          <w:sz w:val="21"/>
          <w:szCs w:val="18"/>
        </w:rPr>
        <w:t>10%的现金、国债、中央银行票据、政策性金融债券以及五个交易日内到期的其他金融工具。</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投资到期日在</w:t>
      </w:r>
      <w:r>
        <w:rPr>
          <w:rFonts w:ascii="楷体" w:eastAsia="楷体" w:hAnsi="楷体" w:cs="楷体"/>
          <w:sz w:val="21"/>
          <w:szCs w:val="18"/>
        </w:rPr>
        <w:t>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left="-26" w:firstLine="420"/>
        <w:rPr>
          <w:rFonts w:ascii="楷体" w:eastAsia="楷体" w:hAnsi="楷体" w:cs="楷体"/>
          <w:sz w:val="21"/>
          <w:szCs w:val="18"/>
        </w:rPr>
      </w:pPr>
      <w:r>
        <w:rPr>
          <w:rFonts w:ascii="楷体" w:eastAsia="楷体" w:hAnsi="楷体" w:cs="楷体" w:hint="eastAsia"/>
          <w:sz w:val="21"/>
          <w:szCs w:val="18"/>
        </w:rPr>
        <w:t>本理财产品的总资产不得超过产品净资产的</w:t>
      </w:r>
      <w:r>
        <w:rPr>
          <w:rFonts w:ascii="楷体" w:eastAsia="楷体" w:hAnsi="楷体" w:cs="楷体"/>
          <w:sz w:val="21"/>
          <w:szCs w:val="18"/>
        </w:rPr>
        <w:t>120%；发生巨额赎回、连续3个交易日累计赎回20%以上或者连续5个交易日累计赎回30%以上的情形除外。</w:t>
      </w:r>
    </w:p>
    <w:p w:rsidR="00C1769E" w:rsidRDefault="007B0020">
      <w:pPr>
        <w:pStyle w:val="a8"/>
        <w:widowControl w:val="0"/>
        <w:overflowPunct w:val="0"/>
        <w:topLinePunct/>
        <w:autoSpaceDE w:val="0"/>
        <w:autoSpaceDN w:val="0"/>
        <w:spacing w:before="0" w:beforeAutospacing="0" w:after="0" w:afterAutospacing="0" w:line="400" w:lineRule="exact"/>
        <w:ind w:firstLineChars="200" w:firstLine="420"/>
        <w:rPr>
          <w:rFonts w:ascii="楷体" w:eastAsia="楷体" w:hAnsi="楷体" w:cs="楷体"/>
          <w:sz w:val="21"/>
          <w:szCs w:val="18"/>
        </w:rPr>
      </w:pPr>
      <w:r>
        <w:rPr>
          <w:rFonts w:ascii="楷体" w:eastAsia="楷体" w:hAnsi="楷体" w:cs="楷体" w:hint="eastAsia"/>
          <w:sz w:val="21"/>
          <w:szCs w:val="18"/>
        </w:rPr>
        <w:t>非因理财产品管理人主观因素导致突破上述第</w:t>
      </w:r>
      <w:r>
        <w:rPr>
          <w:rFonts w:ascii="楷体" w:eastAsia="楷体" w:hAnsi="楷体" w:cs="楷体"/>
          <w:sz w:val="21"/>
          <w:szCs w:val="18"/>
        </w:rPr>
        <w:t>4、5、6、7、8、9、11项投资比例限制的，理财产品管理人应当在10个交易日内调整至符合要求；非主观因素导致突破前款第10项比例限制的，不得主动新增流动性受限资产的投资。</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left="-26" w:firstLine="420"/>
        <w:rPr>
          <w:rFonts w:ascii="楷体" w:eastAsia="楷体" w:hAnsi="楷体" w:cs="楷体"/>
          <w:sz w:val="21"/>
          <w:szCs w:val="18"/>
        </w:rPr>
      </w:pPr>
      <w:r>
        <w:rPr>
          <w:rFonts w:ascii="楷体" w:eastAsia="楷体" w:hAnsi="楷体" w:cs="楷体" w:hint="eastAsia"/>
          <w:sz w:val="21"/>
          <w:szCs w:val="18"/>
        </w:rPr>
        <w:lastRenderedPageBreak/>
        <w:t>投资于现金或者到期日在一年以内的国债、中央银行票据和政策性金融债券的比例不低于本理财产品资产净值的</w:t>
      </w:r>
      <w:r>
        <w:rPr>
          <w:rFonts w:ascii="楷体" w:eastAsia="楷体" w:hAnsi="楷体" w:cs="楷体"/>
          <w:sz w:val="21"/>
          <w:szCs w:val="18"/>
        </w:rPr>
        <w:t>5%。</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left="-26" w:firstLine="420"/>
        <w:rPr>
          <w:rFonts w:ascii="楷体" w:eastAsia="楷体" w:hAnsi="楷体" w:cs="楷体"/>
          <w:sz w:val="21"/>
          <w:szCs w:val="18"/>
        </w:rPr>
      </w:pPr>
      <w:r>
        <w:rPr>
          <w:rFonts w:ascii="楷体" w:eastAsia="楷体" w:hAnsi="楷体" w:cs="楷体" w:hint="eastAsia"/>
          <w:sz w:val="21"/>
          <w:szCs w:val="18"/>
        </w:rPr>
        <w:t>投资于流动性受限资产</w:t>
      </w:r>
      <w:r>
        <w:rPr>
          <w:rStyle w:val="ae"/>
          <w:rFonts w:ascii="楷体" w:eastAsia="楷体" w:hAnsi="楷体" w:cs="楷体"/>
          <w:sz w:val="21"/>
          <w:szCs w:val="18"/>
        </w:rPr>
        <w:footnoteReference w:id="2"/>
      </w:r>
      <w:r>
        <w:rPr>
          <w:rFonts w:ascii="楷体" w:eastAsia="楷体" w:hAnsi="楷体" w:cs="楷体" w:hint="eastAsia"/>
          <w:sz w:val="21"/>
          <w:szCs w:val="18"/>
        </w:rPr>
        <w:t>的市值在开放日不得超过本产品资产净值的</w:t>
      </w:r>
      <w:r>
        <w:rPr>
          <w:rFonts w:ascii="楷体" w:eastAsia="楷体" w:hAnsi="楷体" w:cs="楷体"/>
          <w:sz w:val="21"/>
          <w:szCs w:val="18"/>
        </w:rPr>
        <w:t>15%。</w:t>
      </w:r>
    </w:p>
    <w:p w:rsidR="00C1769E" w:rsidRDefault="007B0020" w:rsidP="007B0020">
      <w:pPr>
        <w:pStyle w:val="a8"/>
        <w:widowControl w:val="0"/>
        <w:numPr>
          <w:ilvl w:val="0"/>
          <w:numId w:val="15"/>
        </w:numPr>
        <w:overflowPunct w:val="0"/>
        <w:topLinePunct/>
        <w:autoSpaceDE w:val="0"/>
        <w:autoSpaceDN w:val="0"/>
        <w:spacing w:before="0" w:beforeAutospacing="0" w:after="0" w:afterAutospacing="0" w:line="400" w:lineRule="exact"/>
        <w:ind w:left="-26" w:firstLine="420"/>
        <w:rPr>
          <w:rFonts w:ascii="楷体" w:eastAsia="楷体" w:hAnsi="楷体" w:cs="楷体"/>
          <w:sz w:val="21"/>
          <w:szCs w:val="18"/>
        </w:rPr>
      </w:pPr>
      <w:r>
        <w:rPr>
          <w:rFonts w:ascii="楷体" w:eastAsia="楷体" w:hAnsi="楷体" w:cs="楷体" w:hint="eastAsia"/>
          <w:sz w:val="21"/>
          <w:szCs w:val="18"/>
        </w:rPr>
        <w:t>在开放日前一工作日内，开放式理财产品</w:t>
      </w:r>
      <w:r>
        <w:rPr>
          <w:rFonts w:ascii="楷体" w:eastAsia="楷体" w:hAnsi="楷体" w:cs="楷体"/>
          <w:sz w:val="21"/>
          <w:szCs w:val="18"/>
        </w:rPr>
        <w:t>7个工作日可变现资产</w:t>
      </w:r>
      <w:r>
        <w:rPr>
          <w:rStyle w:val="ae"/>
          <w:rFonts w:ascii="楷体" w:eastAsia="楷体" w:hAnsi="楷体" w:cs="楷体"/>
          <w:sz w:val="21"/>
          <w:szCs w:val="18"/>
        </w:rPr>
        <w:footnoteReference w:id="3"/>
      </w:r>
      <w:r>
        <w:rPr>
          <w:rFonts w:ascii="楷体" w:eastAsia="楷体" w:hAnsi="楷体" w:cs="楷体" w:hint="eastAsia"/>
          <w:sz w:val="21"/>
          <w:szCs w:val="18"/>
        </w:rPr>
        <w:t>的可变现价值应当不低于该产品资产净值的</w:t>
      </w:r>
      <w:r>
        <w:rPr>
          <w:rFonts w:ascii="楷体" w:eastAsia="楷体" w:hAnsi="楷体" w:cs="楷体"/>
          <w:sz w:val="21"/>
          <w:szCs w:val="18"/>
        </w:rPr>
        <w:t>10%。</w:t>
      </w:r>
    </w:p>
    <w:p w:rsidR="00C1769E" w:rsidRDefault="007B0020">
      <w:pPr>
        <w:pStyle w:val="a8"/>
        <w:widowControl w:val="0"/>
        <w:numPr>
          <w:ilvl w:val="255"/>
          <w:numId w:val="0"/>
        </w:numPr>
        <w:overflowPunct w:val="0"/>
        <w:topLinePunct/>
        <w:autoSpaceDE w:val="0"/>
        <w:autoSpaceDN w:val="0"/>
        <w:spacing w:before="0" w:beforeAutospacing="0" w:after="0" w:afterAutospacing="0" w:line="400" w:lineRule="exact"/>
        <w:ind w:firstLineChars="200" w:firstLine="420"/>
        <w:rPr>
          <w:rFonts w:ascii="楷体" w:eastAsia="楷体" w:hAnsi="楷体" w:cs="楷体"/>
          <w:sz w:val="21"/>
          <w:szCs w:val="18"/>
        </w:rPr>
      </w:pPr>
      <w:r>
        <w:rPr>
          <w:rFonts w:ascii="楷体" w:eastAsia="楷体" w:hAnsi="楷体" w:cs="楷体" w:hint="eastAsia"/>
          <w:sz w:val="21"/>
          <w:szCs w:val="18"/>
        </w:rPr>
        <w:t>因证券市场波动、理财产品规模变动等因素导致理财产品不符合上述第</w:t>
      </w:r>
      <w:r>
        <w:rPr>
          <w:rFonts w:ascii="楷体" w:eastAsia="楷体" w:hAnsi="楷体" w:cs="楷体"/>
          <w:sz w:val="21"/>
          <w:szCs w:val="18"/>
        </w:rPr>
        <w:t>13项所述投资比例限制的,理财产品不得主动新增投资流动性受限资产。如监管有最新规定的，参照监管最新规定执行。</w:t>
      </w:r>
    </w:p>
    <w:p w:rsidR="00C1769E" w:rsidRDefault="007B0020" w:rsidP="007B0020">
      <w:pPr>
        <w:pStyle w:val="a8"/>
        <w:widowControl w:val="0"/>
        <w:numPr>
          <w:ilvl w:val="0"/>
          <w:numId w:val="12"/>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期限限制</w:t>
      </w:r>
    </w:p>
    <w:p w:rsidR="00C1769E" w:rsidRDefault="007B0020">
      <w:pPr>
        <w:pStyle w:val="a8"/>
        <w:widowControl w:val="0"/>
        <w:overflowPunct w:val="0"/>
        <w:topLinePunct/>
        <w:autoSpaceDE w:val="0"/>
        <w:autoSpaceDN w:val="0"/>
        <w:spacing w:before="0" w:beforeAutospacing="0" w:after="0" w:afterAutospacing="0" w:line="400" w:lineRule="exact"/>
        <w:ind w:left="420"/>
        <w:rPr>
          <w:rFonts w:ascii="楷体" w:eastAsia="楷体" w:hAnsi="楷体" w:cs="楷体"/>
          <w:sz w:val="21"/>
          <w:szCs w:val="18"/>
        </w:rPr>
      </w:pPr>
      <w:r>
        <w:rPr>
          <w:rFonts w:ascii="楷体" w:eastAsia="楷体" w:hAnsi="楷体" w:cs="楷体" w:hint="eastAsia"/>
          <w:sz w:val="21"/>
          <w:szCs w:val="18"/>
        </w:rPr>
        <w:t>本产品投资组合的平均剩余期限不得超过</w:t>
      </w:r>
      <w:r>
        <w:rPr>
          <w:rFonts w:ascii="楷体" w:eastAsia="楷体" w:hAnsi="楷体" w:cs="楷体"/>
          <w:sz w:val="21"/>
          <w:szCs w:val="18"/>
        </w:rPr>
        <w:t>120天，平均剩余存续期限不得超过240天。</w:t>
      </w:r>
    </w:p>
    <w:p w:rsidR="00C1769E" w:rsidRDefault="007B0020" w:rsidP="007B0020">
      <w:pPr>
        <w:pStyle w:val="a8"/>
        <w:widowControl w:val="0"/>
        <w:numPr>
          <w:ilvl w:val="0"/>
          <w:numId w:val="12"/>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其他限制</w:t>
      </w:r>
    </w:p>
    <w:p w:rsidR="00C1769E" w:rsidRDefault="007B0020" w:rsidP="007B0020">
      <w:pPr>
        <w:pStyle w:val="a8"/>
        <w:widowControl w:val="0"/>
        <w:numPr>
          <w:ilvl w:val="0"/>
          <w:numId w:val="16"/>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与交易对手开展买入返售交易的，可接受押品的资质要求应该符合产品说明书投资范围的约定。</w:t>
      </w:r>
    </w:p>
    <w:p w:rsidR="00C1769E" w:rsidRDefault="007B0020" w:rsidP="007B0020">
      <w:pPr>
        <w:pStyle w:val="a8"/>
        <w:widowControl w:val="0"/>
        <w:numPr>
          <w:ilvl w:val="0"/>
          <w:numId w:val="16"/>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当前</w:t>
      </w:r>
      <w:r>
        <w:rPr>
          <w:rFonts w:ascii="楷体" w:eastAsia="楷体" w:hAnsi="楷体" w:cs="楷体"/>
          <w:sz w:val="21"/>
          <w:szCs w:val="18"/>
        </w:rPr>
        <w:t>10名投资者的持有份额合计超过现金管理类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rsidR="00C1769E" w:rsidRDefault="007B0020" w:rsidP="007B0020">
      <w:pPr>
        <w:pStyle w:val="a8"/>
        <w:widowControl w:val="0"/>
        <w:numPr>
          <w:ilvl w:val="0"/>
          <w:numId w:val="16"/>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当前</w:t>
      </w:r>
      <w:r>
        <w:rPr>
          <w:rFonts w:ascii="楷体" w:eastAsia="楷体" w:hAnsi="楷体" w:cs="楷体"/>
          <w:sz w:val="21"/>
          <w:szCs w:val="18"/>
        </w:rPr>
        <w:t>10名投资者的持有份额合计超过现金管理类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rsidR="00C1769E" w:rsidRDefault="007B0020">
      <w:pPr>
        <w:pStyle w:val="a8"/>
        <w:widowControl w:val="0"/>
        <w:numPr>
          <w:ilvl w:val="255"/>
          <w:numId w:val="0"/>
        </w:numPr>
        <w:overflowPunct w:val="0"/>
        <w:topLinePunct/>
        <w:autoSpaceDE w:val="0"/>
        <w:autoSpaceDN w:val="0"/>
        <w:spacing w:before="0" w:beforeAutospacing="0" w:after="0" w:afterAutospacing="0" w:line="400" w:lineRule="exact"/>
        <w:ind w:firstLineChars="200" w:firstLine="420"/>
        <w:rPr>
          <w:rFonts w:ascii="楷体" w:eastAsia="楷体" w:hAnsi="楷体" w:cs="楷体"/>
          <w:sz w:val="21"/>
          <w:szCs w:val="18"/>
        </w:rPr>
      </w:pPr>
      <w:r>
        <w:rPr>
          <w:rFonts w:ascii="楷体" w:eastAsia="楷体" w:hAnsi="楷体" w:cs="楷体" w:hint="eastAsia"/>
          <w:sz w:val="21"/>
          <w:szCs w:val="18"/>
        </w:rPr>
        <w:t>管理人应当在每个交易日</w:t>
      </w:r>
      <w:r>
        <w:rPr>
          <w:rFonts w:ascii="楷体" w:eastAsia="楷体" w:hAnsi="楷体" w:cs="楷体"/>
          <w:sz w:val="21"/>
          <w:szCs w:val="18"/>
        </w:rPr>
        <w:t>10:00前将现金管理类产品前一交易日前10名投资者合计持有比例等信息报送托管机构，托管机构依法履行投资监督职责。非因管理人主观因素导致突破前款第2、3项比例限制的，管理人应当在10个交易日内调整至符合要求，国家金融监督管理机构规定的特殊情形除外。</w:t>
      </w:r>
    </w:p>
    <w:p w:rsidR="00C1769E" w:rsidRDefault="007B0020" w:rsidP="007B0020">
      <w:pPr>
        <w:pStyle w:val="a8"/>
        <w:widowControl w:val="0"/>
        <w:numPr>
          <w:ilvl w:val="0"/>
          <w:numId w:val="12"/>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投资策略</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本理财产品根据市场不同阶段的变化，以债券、同业存单、同业存款等资产的合理配置为主，通过在固定收益类和货币市场类资产中灵活配置资金，力争提升产品风险调整后</w:t>
      </w:r>
      <w:r>
        <w:rPr>
          <w:rFonts w:ascii="楷体" w:eastAsia="楷体" w:hAnsi="楷体" w:cs="楷体" w:hint="eastAsia"/>
          <w:sz w:val="21"/>
          <w:szCs w:val="18"/>
        </w:rPr>
        <w:lastRenderedPageBreak/>
        <w:t>的收益。</w:t>
      </w:r>
    </w:p>
    <w:p w:rsidR="00C1769E" w:rsidRDefault="007B0020" w:rsidP="007B0020">
      <w:pPr>
        <w:pStyle w:val="a8"/>
        <w:widowControl w:val="0"/>
        <w:numPr>
          <w:ilvl w:val="0"/>
          <w:numId w:val="17"/>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流动性管理策略</w:t>
      </w:r>
    </w:p>
    <w:p w:rsidR="00C1769E" w:rsidRDefault="007B0020">
      <w:pPr>
        <w:pStyle w:val="a8"/>
        <w:widowControl w:val="0"/>
        <w:numPr>
          <w:ilvl w:val="255"/>
          <w:numId w:val="0"/>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为合理控制本理财产品开放日的流动性风险，并满足每个开放日的流动性需求，本理财产品在投资管理中将保留部分低风险高流动性资产并合理配置各类资产久期，力争在保障流动性的基础上为客户创造高于业绩比较基准的稳健回报。</w:t>
      </w:r>
    </w:p>
    <w:p w:rsidR="00C1769E" w:rsidRDefault="007B0020" w:rsidP="007B0020">
      <w:pPr>
        <w:pStyle w:val="a8"/>
        <w:widowControl w:val="0"/>
        <w:numPr>
          <w:ilvl w:val="0"/>
          <w:numId w:val="17"/>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信用类债券投资策略</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通过内部审慎的信用分析方法对可选债券品种进行筛选，基于宏观经济形势和个券信用变化，动态调整组合内各行业、发行人的投资比例。在控制组合信用风险暴露的前提下，力争提升组合收益。</w:t>
      </w:r>
    </w:p>
    <w:p w:rsidR="00C1769E" w:rsidRDefault="007B0020" w:rsidP="007B0020">
      <w:pPr>
        <w:pStyle w:val="a8"/>
        <w:widowControl w:val="0"/>
        <w:numPr>
          <w:ilvl w:val="0"/>
          <w:numId w:val="17"/>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久期配置策略</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通过对宏观经济指标的密切跟踪，以及货币政策、财政政策的变化，通过定性和定量分析的方式，结合利率周期变化、市场利率变动趋势、市场预期以及当期各类资产收益率水平，形成利率走势预判。在合理假设下的情景分析和压力测试后，确定</w:t>
      </w:r>
      <w:r>
        <w:rPr>
          <w:rFonts w:ascii="楷体" w:eastAsia="楷体" w:hAnsi="楷体" w:cs="楷体"/>
          <w:sz w:val="21"/>
          <w:szCs w:val="18"/>
        </w:rPr>
        <w:t>较</w:t>
      </w:r>
      <w:r>
        <w:rPr>
          <w:rFonts w:ascii="楷体" w:eastAsia="楷体" w:hAnsi="楷体" w:cs="楷体" w:hint="eastAsia"/>
          <w:sz w:val="21"/>
          <w:szCs w:val="18"/>
        </w:rPr>
        <w:t>优的组合久期。</w:t>
      </w:r>
    </w:p>
    <w:p w:rsidR="00C1769E" w:rsidRDefault="007B0020" w:rsidP="007B0020">
      <w:pPr>
        <w:pStyle w:val="a8"/>
        <w:widowControl w:val="0"/>
        <w:numPr>
          <w:ilvl w:val="0"/>
          <w:numId w:val="12"/>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理财投资合作机构</w:t>
      </w:r>
    </w:p>
    <w:p w:rsidR="00C1769E" w:rsidRDefault="007B0020">
      <w:pPr>
        <w:pStyle w:val="a8"/>
        <w:widowControl w:val="0"/>
        <w:overflowPunct w:val="0"/>
        <w:topLinePunct/>
        <w:autoSpaceDE w:val="0"/>
        <w:autoSpaceDN w:val="0"/>
        <w:spacing w:before="0" w:beforeAutospacing="0" w:after="0" w:afterAutospacing="0" w:line="400" w:lineRule="exact"/>
        <w:ind w:firstLineChars="200" w:firstLine="420"/>
        <w:rPr>
          <w:rFonts w:ascii="楷体" w:eastAsia="楷体" w:hAnsi="楷体" w:cs="楷体"/>
          <w:sz w:val="21"/>
          <w:szCs w:val="21"/>
        </w:rPr>
      </w:pPr>
      <w:r>
        <w:rPr>
          <w:rFonts w:ascii="楷体" w:eastAsia="楷体" w:hAnsi="楷体" w:cs="楷体" w:hint="eastAsia"/>
          <w:sz w:val="21"/>
          <w:szCs w:val="21"/>
        </w:rPr>
        <w:t>本理财产品投资合作机构包括中银国际证券股份有限公司、中银基金管理有限公司、中国国际金融股份有限公司、中信证券股份有限公司、创金合信基金管理有限公司，以及其他与产品相关的合作机构。合作机构主要职责为根据合同约定对受托资金进行投资和管理。</w:t>
      </w:r>
    </w:p>
    <w:p w:rsidR="00C1769E" w:rsidRDefault="00C1769E">
      <w:pPr>
        <w:pStyle w:val="a8"/>
        <w:widowControl w:val="0"/>
        <w:overflowPunct w:val="0"/>
        <w:topLinePunct/>
        <w:autoSpaceDE w:val="0"/>
        <w:autoSpaceDN w:val="0"/>
        <w:spacing w:before="0" w:beforeAutospacing="0" w:after="0" w:afterAutospacing="0" w:line="400" w:lineRule="exact"/>
        <w:ind w:firstLineChars="200" w:firstLine="420"/>
        <w:rPr>
          <w:rFonts w:ascii="楷体" w:eastAsia="楷体" w:hAnsi="楷体" w:cs="楷体"/>
          <w:sz w:val="21"/>
          <w:szCs w:val="21"/>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认购</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sz w:val="21"/>
          <w:szCs w:val="18"/>
        </w:rPr>
      </w:pPr>
      <w:r>
        <w:rPr>
          <w:rFonts w:ascii="楷体" w:eastAsia="楷体" w:hAnsi="楷体" w:hint="eastAsia"/>
          <w:sz w:val="21"/>
          <w:szCs w:val="18"/>
        </w:rPr>
        <w:t>本理财产品认购期间：</w:t>
      </w:r>
      <w:r>
        <w:rPr>
          <w:rFonts w:ascii="楷体" w:eastAsia="楷体" w:hAnsi="楷体" w:cs="楷体" w:hint="eastAsia"/>
          <w:sz w:val="21"/>
          <w:szCs w:val="21"/>
        </w:rPr>
        <w:t>【</w:t>
      </w:r>
      <w:r>
        <w:rPr>
          <w:rFonts w:ascii="楷体" w:eastAsia="楷体" w:hAnsi="楷体" w:cs="楷体"/>
          <w:sz w:val="21"/>
          <w:szCs w:val="21"/>
        </w:rPr>
        <w:t>2025</w:t>
      </w:r>
      <w:r>
        <w:rPr>
          <w:rFonts w:ascii="楷体" w:eastAsia="楷体" w:hAnsi="楷体" w:cs="楷体" w:hint="eastAsia"/>
          <w:sz w:val="21"/>
          <w:szCs w:val="21"/>
        </w:rPr>
        <w:t>】年【</w:t>
      </w:r>
      <w:r>
        <w:rPr>
          <w:rFonts w:ascii="楷体" w:eastAsia="楷体" w:hAnsi="楷体" w:cs="楷体"/>
          <w:sz w:val="21"/>
          <w:szCs w:val="21"/>
        </w:rPr>
        <w:t>4</w:t>
      </w:r>
      <w:r>
        <w:rPr>
          <w:rFonts w:ascii="楷体" w:eastAsia="楷体" w:hAnsi="楷体" w:cs="楷体" w:hint="eastAsia"/>
          <w:sz w:val="21"/>
          <w:szCs w:val="21"/>
        </w:rPr>
        <w:t>】月【</w:t>
      </w:r>
      <w:r>
        <w:rPr>
          <w:rFonts w:ascii="楷体" w:eastAsia="楷体" w:hAnsi="楷体" w:cs="楷体"/>
          <w:sz w:val="21"/>
          <w:szCs w:val="21"/>
        </w:rPr>
        <w:t>23</w:t>
      </w:r>
      <w:r>
        <w:rPr>
          <w:rFonts w:ascii="楷体" w:eastAsia="楷体" w:hAnsi="楷体" w:cs="楷体" w:hint="eastAsia"/>
          <w:sz w:val="21"/>
          <w:szCs w:val="21"/>
        </w:rPr>
        <w:t>】日</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sz w:val="21"/>
          <w:szCs w:val="18"/>
        </w:rPr>
      </w:pPr>
      <w:r>
        <w:rPr>
          <w:rFonts w:ascii="楷体" w:eastAsia="楷体" w:hAnsi="楷体" w:hint="eastAsia"/>
          <w:sz w:val="21"/>
          <w:szCs w:val="18"/>
        </w:rPr>
        <w:t>认购交易时间：每个</w:t>
      </w:r>
      <w:r>
        <w:rPr>
          <w:rFonts w:ascii="楷体" w:eastAsia="楷体" w:hAnsi="楷体"/>
          <w:sz w:val="21"/>
          <w:szCs w:val="18"/>
        </w:rPr>
        <w:t>认购开放</w:t>
      </w:r>
      <w:r>
        <w:rPr>
          <w:rFonts w:ascii="楷体" w:eastAsia="楷体" w:hAnsi="楷体" w:hint="eastAsia"/>
          <w:sz w:val="21"/>
          <w:szCs w:val="18"/>
        </w:rPr>
        <w:t>日的北京</w:t>
      </w:r>
      <w:r>
        <w:rPr>
          <w:rFonts w:ascii="楷体" w:eastAsia="楷体" w:hAnsi="楷体"/>
          <w:sz w:val="21"/>
          <w:szCs w:val="18"/>
        </w:rPr>
        <w:t>时间09:00</w:t>
      </w:r>
      <w:r>
        <w:rPr>
          <w:rFonts w:ascii="楷体" w:eastAsia="楷体" w:hAnsi="楷体" w:hint="eastAsia"/>
          <w:sz w:val="21"/>
          <w:szCs w:val="18"/>
        </w:rPr>
        <w:t>至</w:t>
      </w:r>
      <w:r>
        <w:rPr>
          <w:rFonts w:ascii="楷体" w:eastAsia="楷体" w:hAnsi="楷体"/>
          <w:sz w:val="21"/>
          <w:szCs w:val="18"/>
        </w:rPr>
        <w:t>17:00</w:t>
      </w:r>
      <w:r>
        <w:rPr>
          <w:rFonts w:ascii="楷体" w:eastAsia="楷体" w:hAnsi="楷体" w:hint="eastAsia"/>
          <w:sz w:val="21"/>
          <w:szCs w:val="18"/>
        </w:rPr>
        <w:t>，具体以理财产品销售机构实际受理的时间为准。</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sz w:val="21"/>
          <w:szCs w:val="18"/>
        </w:rPr>
      </w:pPr>
      <w:r>
        <w:rPr>
          <w:rFonts w:ascii="楷体" w:eastAsia="楷体" w:hAnsi="楷体" w:hint="eastAsia"/>
          <w:sz w:val="21"/>
          <w:szCs w:val="18"/>
        </w:rPr>
        <w:t>认购期间募集资金累计金额达到上限后，产品管理人有权自下一工作日起停止接受认购，认购期间提前结束。</w:t>
      </w:r>
      <w:r>
        <w:rPr>
          <w:rFonts w:ascii="楷体" w:eastAsia="楷体" w:hAnsi="楷体" w:cs="楷体" w:hint="eastAsia"/>
          <w:kern w:val="2"/>
          <w:sz w:val="21"/>
          <w:szCs w:val="21"/>
        </w:rPr>
        <w:t>当发生上述情形且理财产品管理人决定停止接受认购时，理财产品管理人应当在</w:t>
      </w:r>
      <w:r>
        <w:rPr>
          <w:rFonts w:ascii="楷体" w:eastAsia="楷体" w:hAnsi="楷体" w:cs="楷体"/>
          <w:kern w:val="2"/>
          <w:sz w:val="21"/>
          <w:szCs w:val="21"/>
        </w:rPr>
        <w:t>3个工作日内通过相应信息披露渠道进行披露，并说明运用相关措施的原因、拟采取的应对安排等。</w:t>
      </w:r>
      <w:r>
        <w:rPr>
          <w:rFonts w:ascii="楷体" w:eastAsia="楷体" w:hAnsi="楷体" w:hint="eastAsia"/>
          <w:sz w:val="21"/>
          <w:szCs w:val="18"/>
        </w:rPr>
        <w:t>对于募集资金</w:t>
      </w:r>
      <w:r>
        <w:rPr>
          <w:rFonts w:ascii="楷体" w:eastAsia="楷体" w:hAnsi="楷体"/>
          <w:sz w:val="21"/>
          <w:szCs w:val="18"/>
        </w:rPr>
        <w:t>累计</w:t>
      </w:r>
      <w:r>
        <w:rPr>
          <w:rFonts w:ascii="楷体" w:eastAsia="楷体" w:hAnsi="楷体" w:hint="eastAsia"/>
          <w:sz w:val="21"/>
          <w:szCs w:val="18"/>
        </w:rPr>
        <w:t>金额</w:t>
      </w:r>
      <w:r>
        <w:rPr>
          <w:rFonts w:ascii="楷体" w:eastAsia="楷体" w:hAnsi="楷体"/>
          <w:sz w:val="21"/>
          <w:szCs w:val="18"/>
        </w:rPr>
        <w:t>达到上限</w:t>
      </w:r>
      <w:r>
        <w:rPr>
          <w:rFonts w:ascii="楷体" w:eastAsia="楷体" w:hAnsi="楷体" w:hint="eastAsia"/>
          <w:sz w:val="21"/>
          <w:szCs w:val="18"/>
        </w:rPr>
        <w:t>当日</w:t>
      </w:r>
      <w:r>
        <w:rPr>
          <w:rFonts w:ascii="楷体" w:eastAsia="楷体" w:hAnsi="楷体"/>
          <w:sz w:val="21"/>
          <w:szCs w:val="18"/>
        </w:rPr>
        <w:t>的</w:t>
      </w:r>
      <w:r>
        <w:rPr>
          <w:rFonts w:ascii="楷体" w:eastAsia="楷体" w:hAnsi="楷体" w:hint="eastAsia"/>
          <w:sz w:val="21"/>
          <w:szCs w:val="18"/>
        </w:rPr>
        <w:t>有效</w:t>
      </w:r>
      <w:r>
        <w:rPr>
          <w:rFonts w:ascii="楷体" w:eastAsia="楷体" w:hAnsi="楷体"/>
          <w:sz w:val="21"/>
          <w:szCs w:val="18"/>
        </w:rPr>
        <w:t>认购申请</w:t>
      </w:r>
      <w:r>
        <w:rPr>
          <w:rFonts w:ascii="楷体" w:eastAsia="楷体" w:hAnsi="楷体" w:hint="eastAsia"/>
          <w:sz w:val="21"/>
          <w:szCs w:val="18"/>
        </w:rPr>
        <w:t>，采用</w:t>
      </w:r>
      <w:r>
        <w:rPr>
          <w:rFonts w:ascii="楷体" w:eastAsia="楷体" w:hAnsi="楷体"/>
          <w:sz w:val="21"/>
          <w:szCs w:val="18"/>
        </w:rPr>
        <w:t>“比例确认”</w:t>
      </w:r>
      <w:r>
        <w:rPr>
          <w:rFonts w:ascii="楷体" w:eastAsia="楷体" w:hAnsi="楷体" w:hint="eastAsia"/>
          <w:sz w:val="21"/>
          <w:szCs w:val="18"/>
        </w:rPr>
        <w:t>的</w:t>
      </w:r>
      <w:r>
        <w:rPr>
          <w:rFonts w:ascii="楷体" w:eastAsia="楷体" w:hAnsi="楷体"/>
          <w:sz w:val="21"/>
          <w:szCs w:val="18"/>
        </w:rPr>
        <w:t>原则</w:t>
      </w:r>
      <w:r>
        <w:rPr>
          <w:rFonts w:ascii="楷体" w:eastAsia="楷体" w:hAnsi="楷体" w:hint="eastAsia"/>
          <w:sz w:val="21"/>
          <w:szCs w:val="18"/>
        </w:rPr>
        <w:t>分别</w:t>
      </w:r>
      <w:r>
        <w:rPr>
          <w:rFonts w:ascii="楷体" w:eastAsia="楷体" w:hAnsi="楷体"/>
          <w:sz w:val="21"/>
          <w:szCs w:val="18"/>
        </w:rPr>
        <w:t>给予部分确认，未确认部分的资金将在认购期结束后的5</w:t>
      </w:r>
      <w:r>
        <w:rPr>
          <w:rFonts w:ascii="楷体" w:eastAsia="楷体" w:hAnsi="楷体" w:hint="eastAsia"/>
          <w:sz w:val="21"/>
          <w:szCs w:val="18"/>
        </w:rPr>
        <w:t>个</w:t>
      </w:r>
      <w:r>
        <w:rPr>
          <w:rFonts w:ascii="楷体" w:eastAsia="楷体" w:hAnsi="楷体"/>
          <w:sz w:val="21"/>
          <w:szCs w:val="18"/>
        </w:rPr>
        <w:t>工作日内</w:t>
      </w:r>
      <w:r>
        <w:rPr>
          <w:rFonts w:ascii="楷体" w:eastAsia="楷体" w:hAnsi="楷体" w:hint="eastAsia"/>
          <w:sz w:val="21"/>
          <w:szCs w:val="18"/>
        </w:rPr>
        <w:t>返还</w:t>
      </w:r>
      <w:r>
        <w:rPr>
          <w:rFonts w:ascii="楷体" w:eastAsia="楷体" w:hAnsi="楷体"/>
          <w:sz w:val="21"/>
          <w:szCs w:val="18"/>
        </w:rPr>
        <w:t>投资者</w:t>
      </w:r>
      <w:r>
        <w:rPr>
          <w:rFonts w:ascii="楷体" w:eastAsia="楷体" w:hAnsi="楷体" w:cs="楷体" w:hint="eastAsia"/>
          <w:sz w:val="21"/>
          <w:szCs w:val="18"/>
        </w:rPr>
        <w:t>或解除冻结</w:t>
      </w:r>
      <w:r>
        <w:rPr>
          <w:rFonts w:ascii="楷体" w:eastAsia="楷体" w:hAnsi="楷体"/>
          <w:sz w:val="21"/>
          <w:szCs w:val="18"/>
        </w:rPr>
        <w:t>。</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b/>
          <w:sz w:val="21"/>
          <w:szCs w:val="18"/>
        </w:rPr>
      </w:pPr>
      <w:r>
        <w:rPr>
          <w:rFonts w:ascii="楷体" w:eastAsia="楷体" w:hAnsi="楷体" w:hint="eastAsia"/>
          <w:b/>
          <w:sz w:val="21"/>
          <w:szCs w:val="18"/>
        </w:rPr>
        <w:t>认购期间，</w:t>
      </w:r>
      <w:r>
        <w:rPr>
          <w:rFonts w:ascii="楷体" w:eastAsia="楷体" w:hAnsi="楷体" w:cs="楷体" w:hint="eastAsia"/>
          <w:b/>
          <w:sz w:val="21"/>
          <w:szCs w:val="18"/>
        </w:rPr>
        <w:t>投资者可于认购当日（遇节假日顺延至下一工作日）认购交易时间截止时点前撤销认购申请，该时点后不得撤销</w:t>
      </w:r>
      <w:r>
        <w:rPr>
          <w:rFonts w:ascii="楷体" w:eastAsia="楷体" w:hAnsi="楷体" w:hint="eastAsia"/>
          <w:b/>
          <w:sz w:val="21"/>
          <w:szCs w:val="18"/>
        </w:rPr>
        <w:t>。</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sz w:val="21"/>
          <w:szCs w:val="18"/>
        </w:rPr>
      </w:pPr>
      <w:r>
        <w:rPr>
          <w:rFonts w:ascii="楷体" w:eastAsia="楷体" w:hAnsi="楷体" w:hint="eastAsia"/>
          <w:sz w:val="21"/>
          <w:szCs w:val="18"/>
        </w:rPr>
        <w:t>认购方式：投资者可通过代销机构网上银行、手机银行办理理财账户的开户及理财产品的购买手续。</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sz w:val="21"/>
          <w:szCs w:val="18"/>
        </w:rPr>
      </w:pPr>
      <w:r>
        <w:rPr>
          <w:rFonts w:ascii="楷体" w:eastAsia="楷体" w:hAnsi="楷体" w:hint="eastAsia"/>
          <w:sz w:val="21"/>
          <w:szCs w:val="18"/>
        </w:rPr>
        <w:lastRenderedPageBreak/>
        <w:t>个人投资者认购起点金额人民币【</w:t>
      </w:r>
      <w:r>
        <w:rPr>
          <w:rFonts w:ascii="楷体" w:eastAsia="楷体" w:hAnsi="楷体"/>
          <w:sz w:val="21"/>
          <w:szCs w:val="18"/>
        </w:rPr>
        <w:t>0.01</w:t>
      </w:r>
      <w:r>
        <w:rPr>
          <w:rFonts w:ascii="楷体" w:eastAsia="楷体" w:hAnsi="楷体" w:hint="eastAsia"/>
          <w:sz w:val="21"/>
          <w:szCs w:val="18"/>
        </w:rPr>
        <w:t>】元，高于起点金额以人民币【</w:t>
      </w:r>
      <w:r>
        <w:rPr>
          <w:rFonts w:ascii="楷体" w:eastAsia="楷体" w:hAnsi="楷体"/>
          <w:sz w:val="21"/>
          <w:szCs w:val="18"/>
        </w:rPr>
        <w:t>0.01</w:t>
      </w:r>
      <w:r>
        <w:rPr>
          <w:rFonts w:ascii="楷体" w:eastAsia="楷体" w:hAnsi="楷体" w:hint="eastAsia"/>
          <w:sz w:val="21"/>
          <w:szCs w:val="18"/>
        </w:rPr>
        <w:t>】元的整数倍递增。</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sz w:val="21"/>
          <w:szCs w:val="18"/>
        </w:rPr>
      </w:pPr>
      <w:r>
        <w:rPr>
          <w:rFonts w:ascii="楷体" w:eastAsia="楷体" w:hAnsi="楷体" w:hint="eastAsia"/>
          <w:sz w:val="21"/>
          <w:szCs w:val="18"/>
        </w:rPr>
        <w:t>认购费用：本理财产品无认购费。</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sz w:val="21"/>
          <w:szCs w:val="18"/>
        </w:rPr>
      </w:pPr>
      <w:r>
        <w:rPr>
          <w:rFonts w:ascii="楷体" w:eastAsia="楷体" w:hAnsi="楷体" w:hint="eastAsia"/>
          <w:sz w:val="21"/>
          <w:szCs w:val="18"/>
        </w:rPr>
        <w:t>理财产品认购份额的计算：</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sz w:val="21"/>
          <w:szCs w:val="18"/>
        </w:rPr>
      </w:pPr>
      <w:r>
        <w:rPr>
          <w:rFonts w:ascii="楷体" w:eastAsia="楷体" w:hAnsi="楷体"/>
          <w:sz w:val="21"/>
          <w:szCs w:val="18"/>
        </w:rPr>
        <w:t>认购份额=（认购金额-认购费用+</w:t>
      </w:r>
      <w:r>
        <w:rPr>
          <w:rFonts w:ascii="楷体" w:eastAsia="楷体" w:hAnsi="楷体" w:hint="eastAsia"/>
          <w:sz w:val="21"/>
          <w:szCs w:val="18"/>
        </w:rPr>
        <w:t>认购</w:t>
      </w:r>
      <w:r>
        <w:rPr>
          <w:rFonts w:ascii="楷体" w:eastAsia="楷体" w:hAnsi="楷体"/>
          <w:sz w:val="21"/>
          <w:szCs w:val="18"/>
        </w:rPr>
        <w:t>期利息）÷T日理财产品份额净值</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sz w:val="21"/>
          <w:szCs w:val="18"/>
        </w:rPr>
      </w:pPr>
      <w:r>
        <w:rPr>
          <w:rFonts w:ascii="楷体" w:eastAsia="楷体" w:hAnsi="楷体"/>
          <w:sz w:val="21"/>
          <w:szCs w:val="18"/>
        </w:rPr>
        <w:t>认购费用=认购金额×认购费率</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cs="Times New Roman"/>
          <w:sz w:val="21"/>
          <w:szCs w:val="18"/>
        </w:rPr>
      </w:pPr>
      <w:r>
        <w:rPr>
          <w:rFonts w:ascii="楷体" w:eastAsia="楷体" w:hAnsi="楷体" w:cs="Times New Roman" w:hint="eastAsia"/>
          <w:sz w:val="21"/>
          <w:szCs w:val="18"/>
        </w:rPr>
        <w:t>认购程序：投资者应在其资金账户中预留足够的认购金额，预留资金不足的，视为认购无效。投资者的认购申请获得</w:t>
      </w:r>
      <w:r>
        <w:rPr>
          <w:rFonts w:ascii="楷体" w:eastAsia="楷体" w:hAnsi="楷体" w:hint="eastAsia"/>
          <w:sz w:val="21"/>
          <w:szCs w:val="18"/>
        </w:rPr>
        <w:t>理财产品销售机构</w:t>
      </w:r>
      <w:r>
        <w:rPr>
          <w:rFonts w:ascii="楷体" w:eastAsia="楷体" w:hAnsi="楷体" w:cs="Times New Roman" w:hint="eastAsia"/>
          <w:sz w:val="21"/>
          <w:szCs w:val="18"/>
        </w:rPr>
        <w:t>受理后，</w:t>
      </w:r>
      <w:r>
        <w:rPr>
          <w:rFonts w:ascii="楷体" w:eastAsia="楷体" w:hAnsi="楷体" w:hint="eastAsia"/>
          <w:sz w:val="21"/>
          <w:szCs w:val="18"/>
        </w:rPr>
        <w:t>理财产品销售机构</w:t>
      </w:r>
      <w:r>
        <w:rPr>
          <w:rFonts w:ascii="楷体" w:eastAsia="楷体" w:hAnsi="楷体" w:cs="Times New Roman" w:hint="eastAsia"/>
          <w:sz w:val="21"/>
          <w:szCs w:val="18"/>
        </w:rPr>
        <w:t>有权扣划</w:t>
      </w:r>
      <w:r>
        <w:rPr>
          <w:rFonts w:ascii="楷体" w:eastAsia="楷体" w:hAnsi="楷体" w:cs="楷体" w:hint="eastAsia"/>
          <w:sz w:val="21"/>
          <w:szCs w:val="18"/>
        </w:rPr>
        <w:t>或冻结</w:t>
      </w:r>
      <w:r>
        <w:rPr>
          <w:rFonts w:ascii="楷体" w:eastAsia="楷体" w:hAnsi="楷体" w:cs="Times New Roman" w:hint="eastAsia"/>
          <w:sz w:val="21"/>
          <w:szCs w:val="18"/>
        </w:rPr>
        <w:t>投资者资金账户相应认购金额。</w:t>
      </w:r>
      <w:r>
        <w:rPr>
          <w:rFonts w:ascii="楷体" w:eastAsia="楷体" w:hAnsi="楷体" w:cs="楷体" w:hint="eastAsia"/>
          <w:sz w:val="21"/>
          <w:szCs w:val="18"/>
        </w:rPr>
        <w:t>该投资者资金账户在投资本理财产品期间不得销户，因投资者销户造成的损失由投资者自行承担。</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cs="Times New Roman"/>
          <w:sz w:val="21"/>
          <w:szCs w:val="18"/>
        </w:rPr>
      </w:pPr>
      <w:r>
        <w:rPr>
          <w:rFonts w:ascii="楷体" w:eastAsia="楷体" w:hAnsi="楷体" w:cs="Times New Roman" w:hint="eastAsia"/>
          <w:sz w:val="21"/>
          <w:szCs w:val="18"/>
        </w:rPr>
        <w:t>认购期利息：</w:t>
      </w:r>
      <w:r>
        <w:rPr>
          <w:rFonts w:ascii="楷体" w:eastAsia="楷体" w:hAnsi="楷体" w:cs="楷体" w:hint="eastAsia"/>
          <w:sz w:val="21"/>
          <w:szCs w:val="18"/>
        </w:rPr>
        <w:t>如销售机构实时扣划投资者认购资金，投资者认购申请成功确认当日（含）至认购期最后一日（不含）期间产生的活期利息将折算成产品份额，归投资者所有。如销售机构先冻结投资者资金，投资者认购资金扣划前，认购资金按销售机构公布的人民币活期存款利率计算利息，该等利息不作为认购资金扣收。具体以产品销售机构规定的认购程序为准。当本理财产品不成立时，认购期利息具体处理方式详见本理财产品说明书“四、产品成立”部分。</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cs="Times New Roman"/>
          <w:sz w:val="21"/>
          <w:szCs w:val="18"/>
        </w:rPr>
      </w:pPr>
      <w:r>
        <w:rPr>
          <w:rFonts w:ascii="楷体" w:eastAsia="楷体" w:hAnsi="楷体" w:cs="Times New Roman" w:hint="eastAsia"/>
          <w:sz w:val="21"/>
          <w:szCs w:val="18"/>
        </w:rPr>
        <w:t>认购资金来源限制：投资者不得使用贷款、发行债券等筹集的非自有资金投资本理财产品。</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cs="Times New Roman"/>
          <w:sz w:val="21"/>
          <w:szCs w:val="18"/>
        </w:rPr>
      </w:pPr>
      <w:r>
        <w:rPr>
          <w:rFonts w:ascii="楷体" w:eastAsia="楷体" w:hAnsi="楷体" w:cs="Times New Roman" w:hint="eastAsia"/>
          <w:sz w:val="21"/>
          <w:szCs w:val="18"/>
        </w:rPr>
        <w:t>单一投资者累计持有本理财产品</w:t>
      </w:r>
      <w:r>
        <w:rPr>
          <w:rFonts w:ascii="楷体" w:eastAsia="楷体" w:hAnsi="楷体" w:cs="Times New Roman"/>
          <w:sz w:val="21"/>
          <w:szCs w:val="18"/>
        </w:rPr>
        <w:t>A份额的金额上限为【1】</w:t>
      </w:r>
      <w:r>
        <w:rPr>
          <w:rFonts w:ascii="楷体" w:eastAsia="楷体" w:hAnsi="楷体" w:cs="Times New Roman" w:hint="eastAsia"/>
          <w:sz w:val="21"/>
          <w:szCs w:val="18"/>
        </w:rPr>
        <w:t>亿</w:t>
      </w:r>
      <w:r>
        <w:rPr>
          <w:rFonts w:ascii="楷体" w:eastAsia="楷体" w:hAnsi="楷体" w:cs="Times New Roman"/>
          <w:sz w:val="21"/>
          <w:szCs w:val="18"/>
        </w:rPr>
        <w:t>元人民币，对于可能导致单一投资者累计持有本理财产品金额超过上限的</w:t>
      </w:r>
      <w:r>
        <w:rPr>
          <w:rFonts w:ascii="楷体" w:eastAsia="楷体" w:hAnsi="楷体" w:cs="Times New Roman" w:hint="eastAsia"/>
          <w:sz w:val="21"/>
          <w:szCs w:val="18"/>
        </w:rPr>
        <w:t>认</w:t>
      </w:r>
      <w:r>
        <w:rPr>
          <w:rFonts w:ascii="楷体" w:eastAsia="楷体" w:hAnsi="楷体" w:cs="Times New Roman"/>
          <w:sz w:val="21"/>
          <w:szCs w:val="18"/>
        </w:rPr>
        <w:t>购申请，产品管理人或销售机构有权视情况接受或拒绝。</w:t>
      </w:r>
    </w:p>
    <w:p w:rsidR="00C1769E" w:rsidRDefault="007B0020" w:rsidP="007B0020">
      <w:pPr>
        <w:pStyle w:val="a8"/>
        <w:widowControl w:val="0"/>
        <w:numPr>
          <w:ilvl w:val="0"/>
          <w:numId w:val="18"/>
        </w:numPr>
        <w:overflowPunct w:val="0"/>
        <w:topLinePunct/>
        <w:autoSpaceDE w:val="0"/>
        <w:autoSpaceDN w:val="0"/>
        <w:spacing w:before="0" w:beforeAutospacing="0" w:after="0" w:afterAutospacing="0" w:line="400" w:lineRule="exact"/>
        <w:rPr>
          <w:rFonts w:ascii="楷体" w:eastAsia="楷体" w:hAnsi="楷体" w:cs="Times New Roman"/>
          <w:b/>
          <w:sz w:val="22"/>
          <w:szCs w:val="18"/>
        </w:rPr>
      </w:pPr>
      <w:r>
        <w:rPr>
          <w:rFonts w:ascii="楷体" w:eastAsia="楷体" w:hAnsi="楷体" w:cs="Times New Roman" w:hint="eastAsia"/>
          <w:b/>
          <w:sz w:val="22"/>
          <w:szCs w:val="18"/>
        </w:rPr>
        <w:t>对于可能导致单一投资者累计持有本理财产品份额超过总份额</w:t>
      </w:r>
      <w:r>
        <w:rPr>
          <w:rFonts w:ascii="楷体" w:eastAsia="楷体" w:hAnsi="楷体" w:cs="Times New Roman"/>
          <w:b/>
          <w:sz w:val="22"/>
          <w:szCs w:val="18"/>
        </w:rPr>
        <w:t>50%的认购申请，产品管理人或销售机构应拒绝接受或部分接受，确保单一投资者持有份额不超过总份额50%。</w:t>
      </w:r>
    </w:p>
    <w:p w:rsidR="00C1769E" w:rsidRDefault="00C1769E">
      <w:pPr>
        <w:pStyle w:val="a8"/>
        <w:widowControl w:val="0"/>
        <w:overflowPunct w:val="0"/>
        <w:topLinePunct/>
        <w:autoSpaceDE w:val="0"/>
        <w:autoSpaceDN w:val="0"/>
        <w:spacing w:before="0" w:beforeAutospacing="0" w:after="0" w:afterAutospacing="0" w:line="400" w:lineRule="exact"/>
        <w:rPr>
          <w:rFonts w:ascii="楷体" w:eastAsia="楷体" w:hAnsi="楷体" w:cs="楷体"/>
          <w:b/>
          <w:sz w:val="21"/>
          <w:szCs w:val="21"/>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rPr>
        <w:t>产品成立</w:t>
      </w:r>
    </w:p>
    <w:p w:rsidR="00C1769E" w:rsidRDefault="007B0020" w:rsidP="007B0020">
      <w:pPr>
        <w:pStyle w:val="a8"/>
        <w:widowControl w:val="0"/>
        <w:numPr>
          <w:ilvl w:val="0"/>
          <w:numId w:val="19"/>
        </w:numPr>
        <w:overflowPunct w:val="0"/>
        <w:topLinePunct/>
        <w:autoSpaceDE w:val="0"/>
        <w:autoSpaceDN w:val="0"/>
        <w:spacing w:before="0" w:beforeAutospacing="0" w:after="0" w:afterAutospacing="0" w:line="400" w:lineRule="exact"/>
        <w:rPr>
          <w:rFonts w:ascii="楷体" w:eastAsia="楷体" w:hAnsi="楷体" w:cs="Times New Roman"/>
          <w:b/>
          <w:bCs/>
          <w:sz w:val="21"/>
          <w:szCs w:val="18"/>
        </w:rPr>
      </w:pPr>
      <w:r>
        <w:rPr>
          <w:rFonts w:ascii="楷体" w:eastAsia="楷体" w:hAnsi="楷体" w:cs="Times New Roman"/>
          <w:sz w:val="21"/>
          <w:szCs w:val="18"/>
        </w:rPr>
        <w:t>本理财产品认购期届满（或提前结束）之日的下一工作日本理财产品成立，该日为产品成立日。因不可抗力</w:t>
      </w:r>
      <w:r>
        <w:rPr>
          <w:rFonts w:ascii="楷体" w:eastAsia="楷体" w:hAnsi="楷体" w:cs="Times New Roman" w:hint="eastAsia"/>
          <w:sz w:val="21"/>
          <w:szCs w:val="18"/>
        </w:rPr>
        <w:t>、</w:t>
      </w:r>
      <w:r>
        <w:rPr>
          <w:rFonts w:ascii="楷体" w:eastAsia="楷体" w:hAnsi="楷体" w:cs="Times New Roman"/>
          <w:sz w:val="21"/>
          <w:szCs w:val="18"/>
        </w:rPr>
        <w:t>募集规模低于说明书约定的最低规模(如有)或其他因素导致理财产品无法成立时，理财产品管理人有权不成立本理财产品。</w:t>
      </w:r>
    </w:p>
    <w:p w:rsidR="00C1769E" w:rsidRDefault="007B0020" w:rsidP="007B0020">
      <w:pPr>
        <w:pStyle w:val="a8"/>
        <w:widowControl w:val="0"/>
        <w:numPr>
          <w:ilvl w:val="0"/>
          <w:numId w:val="19"/>
        </w:numPr>
        <w:overflowPunct w:val="0"/>
        <w:topLinePunct/>
        <w:autoSpaceDE w:val="0"/>
        <w:autoSpaceDN w:val="0"/>
        <w:spacing w:before="0" w:beforeAutospacing="0" w:after="0" w:afterAutospacing="0" w:line="400" w:lineRule="exact"/>
        <w:rPr>
          <w:rFonts w:ascii="楷体" w:eastAsia="楷体" w:hAnsi="楷体" w:cs="Times New Roman"/>
          <w:b/>
          <w:bCs/>
          <w:sz w:val="21"/>
          <w:szCs w:val="18"/>
        </w:rPr>
      </w:pPr>
      <w:r>
        <w:rPr>
          <w:rFonts w:ascii="楷体" w:eastAsia="楷体" w:hAnsi="楷体" w:cs="Times New Roman"/>
          <w:sz w:val="21"/>
          <w:szCs w:val="18"/>
        </w:rPr>
        <w:t>本理财产品不成立时，理财产品管理人将在认购期届满（或提前结束）之日的下一工作日（含）起【7】个工作日内，通过销售渠道退还已扣划的投资者认购资金及其在申请成功确认当日（含）至认购期届满（或提前结束）之日（不含）期间产生的活期利息（如有），或解除对相关资金的冻结，认购期届满（或提前结束）之日至资金到账日间不计利息，双方权利义务在前述款项退还或解除冻结之日终止。</w:t>
      </w:r>
    </w:p>
    <w:p w:rsidR="00C1769E" w:rsidRDefault="00C1769E"/>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理财产品费用</w:t>
      </w:r>
    </w:p>
    <w:p w:rsidR="00C1769E" w:rsidRDefault="007B0020" w:rsidP="007B0020">
      <w:pPr>
        <w:pStyle w:val="a8"/>
        <w:widowControl w:val="0"/>
        <w:numPr>
          <w:ilvl w:val="0"/>
          <w:numId w:val="20"/>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固定管理费</w:t>
      </w:r>
      <w:r>
        <w:rPr>
          <w:rFonts w:ascii="楷体" w:eastAsia="楷体" w:hAnsi="楷体" w:cs="楷体" w:hint="eastAsia"/>
          <w:b/>
          <w:bCs/>
          <w:sz w:val="21"/>
          <w:szCs w:val="18"/>
        </w:rPr>
        <w:t>：【</w:t>
      </w:r>
      <w:r>
        <w:rPr>
          <w:rFonts w:ascii="楷体" w:eastAsia="楷体" w:hAnsi="楷体" w:cs="楷体"/>
          <w:b/>
          <w:bCs/>
          <w:sz w:val="21"/>
          <w:szCs w:val="18"/>
        </w:rPr>
        <w:t>0.15%】（年化）。</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在通常情况下，产品固定管理费按当日产品份额*产品份额净值的【</w:t>
      </w:r>
      <w:r>
        <w:rPr>
          <w:rFonts w:ascii="楷体" w:eastAsia="楷体" w:hAnsi="楷体" w:cs="楷体"/>
          <w:b/>
          <w:sz w:val="21"/>
          <w:szCs w:val="21"/>
        </w:rPr>
        <w:t>0.15%</w:t>
      </w:r>
      <w:r>
        <w:rPr>
          <w:rFonts w:ascii="楷体" w:eastAsia="楷体" w:hAnsi="楷体" w:cs="楷体" w:hint="eastAsia"/>
          <w:b/>
          <w:sz w:val="21"/>
          <w:szCs w:val="21"/>
        </w:rPr>
        <w:t>】（年化）计提，固定管理费计算方法如下：</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bCs/>
          <w:sz w:val="21"/>
          <w:szCs w:val="18"/>
        </w:rPr>
        <w:t>F1</w:t>
      </w:r>
      <w:r>
        <w:rPr>
          <w:rFonts w:ascii="楷体" w:eastAsia="楷体" w:hAnsi="楷体" w:cs="楷体"/>
          <w:b/>
          <w:sz w:val="21"/>
          <w:szCs w:val="21"/>
        </w:rPr>
        <w:t>＝E×【0.15%</w:t>
      </w:r>
      <w:r>
        <w:rPr>
          <w:rFonts w:ascii="楷体" w:eastAsia="楷体" w:hAnsi="楷体" w:cs="楷体" w:hint="eastAsia"/>
          <w:b/>
          <w:sz w:val="21"/>
          <w:szCs w:val="21"/>
        </w:rPr>
        <w:t>】÷</w:t>
      </w:r>
      <w:r>
        <w:rPr>
          <w:rFonts w:ascii="楷体" w:eastAsia="楷体" w:hAnsi="楷体" w:cs="楷体"/>
          <w:b/>
          <w:sz w:val="21"/>
          <w:szCs w:val="21"/>
        </w:rPr>
        <w:t>365</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bCs/>
          <w:sz w:val="21"/>
          <w:szCs w:val="18"/>
        </w:rPr>
        <w:t>F1</w:t>
      </w:r>
      <w:r>
        <w:rPr>
          <w:rFonts w:ascii="楷体" w:eastAsia="楷体" w:hAnsi="楷体" w:cs="楷体"/>
          <w:b/>
          <w:sz w:val="21"/>
          <w:szCs w:val="21"/>
        </w:rPr>
        <w:t xml:space="preserve"> </w:t>
      </w:r>
      <w:r>
        <w:rPr>
          <w:rFonts w:ascii="楷体" w:eastAsia="楷体" w:hAnsi="楷体" w:cs="楷体" w:hint="eastAsia"/>
          <w:b/>
          <w:sz w:val="21"/>
          <w:szCs w:val="21"/>
        </w:rPr>
        <w:t>为每日应计提的产品固定管理费</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sz w:val="21"/>
          <w:szCs w:val="21"/>
        </w:rPr>
        <w:t xml:space="preserve">E </w:t>
      </w:r>
      <w:r>
        <w:rPr>
          <w:rFonts w:ascii="楷体" w:eastAsia="楷体" w:hAnsi="楷体" w:cs="楷体" w:hint="eastAsia"/>
          <w:b/>
          <w:sz w:val="21"/>
          <w:szCs w:val="21"/>
        </w:rPr>
        <w:t>为当日产品份额*产品份额净值</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产品固定管理费自成立日开始每日计提，定期支付给理财产品管理人。产品管理人可不定期调整产品固定管理费率。如产品管理人调整产品固定管理费率，将通过相应信息披露渠道予以披露。</w:t>
      </w:r>
    </w:p>
    <w:p w:rsidR="00C1769E" w:rsidRDefault="007B0020" w:rsidP="007B0020">
      <w:pPr>
        <w:pStyle w:val="a8"/>
        <w:widowControl w:val="0"/>
        <w:numPr>
          <w:ilvl w:val="0"/>
          <w:numId w:val="20"/>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销售服务费</w:t>
      </w:r>
      <w:r>
        <w:rPr>
          <w:rFonts w:ascii="楷体" w:eastAsia="楷体" w:hAnsi="楷体" w:cs="楷体" w:hint="eastAsia"/>
          <w:b/>
          <w:bCs/>
          <w:sz w:val="21"/>
          <w:szCs w:val="18"/>
        </w:rPr>
        <w:t>：</w:t>
      </w:r>
      <w:r w:rsidR="0090394A">
        <w:rPr>
          <w:rFonts w:ascii="楷体" w:eastAsia="楷体" w:hAnsi="楷体" w:cs="楷体" w:hint="eastAsia"/>
          <w:b/>
          <w:bCs/>
          <w:sz w:val="21"/>
          <w:szCs w:val="18"/>
        </w:rPr>
        <w:t>C</w:t>
      </w:r>
      <w:r w:rsidR="00685658">
        <w:rPr>
          <w:rFonts w:ascii="楷体" w:eastAsia="楷体" w:hAnsi="楷体" w:cs="楷体" w:hint="eastAsia"/>
          <w:b/>
          <w:bCs/>
          <w:sz w:val="21"/>
          <w:szCs w:val="18"/>
        </w:rPr>
        <w:t>、E</w:t>
      </w:r>
      <w:r>
        <w:rPr>
          <w:rFonts w:ascii="楷体" w:eastAsia="楷体" w:hAnsi="楷体" w:cs="楷体"/>
          <w:b/>
          <w:bCs/>
          <w:sz w:val="21"/>
          <w:szCs w:val="18"/>
        </w:rPr>
        <w:t>份额【0.</w:t>
      </w:r>
      <w:r w:rsidR="0090394A">
        <w:rPr>
          <w:rFonts w:ascii="楷体" w:eastAsia="楷体" w:hAnsi="楷体" w:cs="楷体"/>
          <w:b/>
          <w:bCs/>
          <w:sz w:val="21"/>
          <w:szCs w:val="18"/>
        </w:rPr>
        <w:t>15</w:t>
      </w:r>
      <w:r>
        <w:rPr>
          <w:rFonts w:ascii="楷体" w:eastAsia="楷体" w:hAnsi="楷体" w:cs="楷体"/>
          <w:b/>
          <w:bCs/>
          <w:sz w:val="21"/>
          <w:szCs w:val="18"/>
        </w:rPr>
        <w:t>%】（年化）。</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在通常情况下，本产品</w:t>
      </w:r>
      <w:r w:rsidR="0090394A">
        <w:rPr>
          <w:rFonts w:ascii="楷体" w:eastAsia="楷体" w:hAnsi="楷体" w:cs="楷体" w:hint="eastAsia"/>
          <w:b/>
          <w:sz w:val="21"/>
          <w:szCs w:val="21"/>
        </w:rPr>
        <w:t>C</w:t>
      </w:r>
      <w:r w:rsidR="00685658">
        <w:rPr>
          <w:rFonts w:ascii="楷体" w:eastAsia="楷体" w:hAnsi="楷体" w:cs="楷体" w:hint="eastAsia"/>
          <w:b/>
          <w:sz w:val="21"/>
          <w:szCs w:val="21"/>
        </w:rPr>
        <w:t>、E</w:t>
      </w:r>
      <w:r>
        <w:rPr>
          <w:rFonts w:ascii="楷体" w:eastAsia="楷体" w:hAnsi="楷体" w:cs="楷体"/>
          <w:b/>
          <w:sz w:val="21"/>
          <w:szCs w:val="21"/>
        </w:rPr>
        <w:t>份额销售服务费按</w:t>
      </w:r>
      <w:r>
        <w:rPr>
          <w:rFonts w:ascii="楷体" w:eastAsia="楷体" w:hAnsi="楷体" w:cs="楷体" w:hint="eastAsia"/>
          <w:b/>
          <w:sz w:val="21"/>
          <w:szCs w:val="21"/>
        </w:rPr>
        <w:t>当日产品份额*产品份额净值</w:t>
      </w:r>
      <w:r>
        <w:rPr>
          <w:rFonts w:ascii="楷体" w:eastAsia="楷体" w:hAnsi="楷体" w:cs="楷体"/>
          <w:b/>
          <w:sz w:val="21"/>
          <w:szCs w:val="21"/>
        </w:rPr>
        <w:t>的【0.</w:t>
      </w:r>
      <w:r w:rsidR="0090394A">
        <w:rPr>
          <w:rFonts w:ascii="楷体" w:eastAsia="楷体" w:hAnsi="楷体" w:cs="楷体"/>
          <w:b/>
          <w:sz w:val="21"/>
          <w:szCs w:val="21"/>
        </w:rPr>
        <w:t>15</w:t>
      </w:r>
      <w:r>
        <w:rPr>
          <w:rFonts w:ascii="楷体" w:eastAsia="楷体" w:hAnsi="楷体" w:cs="楷体"/>
          <w:b/>
          <w:sz w:val="21"/>
          <w:szCs w:val="21"/>
        </w:rPr>
        <w:t>%</w:t>
      </w:r>
      <w:r>
        <w:rPr>
          <w:rFonts w:ascii="楷体" w:eastAsia="楷体" w:hAnsi="楷体" w:cs="楷体" w:hint="eastAsia"/>
          <w:b/>
          <w:sz w:val="21"/>
          <w:szCs w:val="21"/>
        </w:rPr>
        <w:t>】（年化）计提，计算方法如下：</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bCs/>
          <w:sz w:val="21"/>
          <w:szCs w:val="18"/>
        </w:rPr>
        <w:t>F2</w:t>
      </w:r>
      <w:r>
        <w:rPr>
          <w:rFonts w:ascii="楷体" w:eastAsia="楷体" w:hAnsi="楷体" w:cs="楷体"/>
          <w:b/>
          <w:sz w:val="21"/>
          <w:szCs w:val="21"/>
        </w:rPr>
        <w:t>＝E×【0.</w:t>
      </w:r>
      <w:r w:rsidR="0090394A">
        <w:rPr>
          <w:rFonts w:ascii="楷体" w:eastAsia="楷体" w:hAnsi="楷体" w:cs="楷体"/>
          <w:b/>
          <w:sz w:val="21"/>
          <w:szCs w:val="21"/>
        </w:rPr>
        <w:t>15</w:t>
      </w:r>
      <w:r>
        <w:rPr>
          <w:rFonts w:ascii="楷体" w:eastAsia="楷体" w:hAnsi="楷体" w:cs="楷体"/>
          <w:b/>
          <w:sz w:val="21"/>
          <w:szCs w:val="21"/>
        </w:rPr>
        <w:t>%</w:t>
      </w:r>
      <w:r>
        <w:rPr>
          <w:rFonts w:ascii="楷体" w:eastAsia="楷体" w:hAnsi="楷体" w:cs="楷体" w:hint="eastAsia"/>
          <w:b/>
          <w:sz w:val="21"/>
          <w:szCs w:val="21"/>
        </w:rPr>
        <w:t>】÷</w:t>
      </w:r>
      <w:r>
        <w:rPr>
          <w:rFonts w:ascii="楷体" w:eastAsia="楷体" w:hAnsi="楷体" w:cs="楷体"/>
          <w:b/>
          <w:sz w:val="21"/>
          <w:szCs w:val="21"/>
        </w:rPr>
        <w:t>365</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bCs/>
          <w:sz w:val="21"/>
          <w:szCs w:val="18"/>
        </w:rPr>
        <w:t>F2</w:t>
      </w:r>
      <w:r>
        <w:rPr>
          <w:rFonts w:ascii="楷体" w:eastAsia="楷体" w:hAnsi="楷体" w:cs="楷体"/>
          <w:b/>
          <w:sz w:val="21"/>
          <w:szCs w:val="21"/>
        </w:rPr>
        <w:t xml:space="preserve"> </w:t>
      </w:r>
      <w:r>
        <w:rPr>
          <w:rFonts w:ascii="楷体" w:eastAsia="楷体" w:hAnsi="楷体" w:cs="楷体" w:hint="eastAsia"/>
          <w:b/>
          <w:sz w:val="21"/>
          <w:szCs w:val="21"/>
        </w:rPr>
        <w:t>为每日应计提的产品销售服务费</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sz w:val="21"/>
          <w:szCs w:val="21"/>
        </w:rPr>
        <w:t xml:space="preserve">E </w:t>
      </w:r>
      <w:r>
        <w:rPr>
          <w:rFonts w:ascii="楷体" w:eastAsia="楷体" w:hAnsi="楷体" w:cs="楷体" w:hint="eastAsia"/>
          <w:b/>
          <w:sz w:val="21"/>
          <w:szCs w:val="21"/>
        </w:rPr>
        <w:t>为当日产品份额*产品份额净值</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产品销售服务费自成立日开始每日计提，定期支付给理财产品销售机构。产品管理人</w:t>
      </w:r>
      <w:r>
        <w:rPr>
          <w:rFonts w:ascii="楷体" w:eastAsia="楷体" w:hAnsi="楷体" w:cs="楷体"/>
          <w:b/>
          <w:sz w:val="21"/>
          <w:szCs w:val="21"/>
        </w:rPr>
        <w:t>/销售机构</w:t>
      </w:r>
      <w:r>
        <w:rPr>
          <w:rFonts w:ascii="楷体" w:eastAsia="楷体" w:hAnsi="楷体" w:cs="楷体" w:hint="eastAsia"/>
          <w:b/>
          <w:sz w:val="21"/>
          <w:szCs w:val="21"/>
        </w:rPr>
        <w:t>可不定期调整产品销售服务费率。如调整产品销售服务费率，将通过相应信息披露渠道予以披露。</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各销售机构或各类份额（如有）的销售服务费或有不同。</w:t>
      </w:r>
    </w:p>
    <w:p w:rsidR="00C1769E" w:rsidRDefault="007B0020" w:rsidP="007B0020">
      <w:pPr>
        <w:pStyle w:val="a8"/>
        <w:widowControl w:val="0"/>
        <w:numPr>
          <w:ilvl w:val="0"/>
          <w:numId w:val="20"/>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托管费</w:t>
      </w:r>
      <w:r>
        <w:rPr>
          <w:rFonts w:ascii="楷体" w:eastAsia="楷体" w:hAnsi="楷体" w:cs="楷体" w:hint="eastAsia"/>
          <w:b/>
          <w:bCs/>
          <w:sz w:val="21"/>
          <w:szCs w:val="18"/>
        </w:rPr>
        <w:t>：【</w:t>
      </w:r>
      <w:r>
        <w:rPr>
          <w:rFonts w:ascii="楷体" w:eastAsia="楷体" w:hAnsi="楷体" w:cs="楷体"/>
          <w:b/>
          <w:bCs/>
          <w:sz w:val="21"/>
          <w:szCs w:val="18"/>
        </w:rPr>
        <w:t>0.025%】（年化）。</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在通常情况下，产品托管费按当日产品份额*产品份额净值的【</w:t>
      </w:r>
      <w:r>
        <w:rPr>
          <w:rFonts w:ascii="楷体" w:eastAsia="楷体" w:hAnsi="楷体" w:cs="楷体"/>
          <w:b/>
          <w:sz w:val="21"/>
          <w:szCs w:val="21"/>
        </w:rPr>
        <w:t>0.025%</w:t>
      </w:r>
      <w:r>
        <w:rPr>
          <w:rFonts w:ascii="楷体" w:eastAsia="楷体" w:hAnsi="楷体" w:cs="楷体" w:hint="eastAsia"/>
          <w:b/>
          <w:sz w:val="21"/>
          <w:szCs w:val="21"/>
        </w:rPr>
        <w:t>】（年化）计提。计算方法如下：</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bCs/>
          <w:sz w:val="21"/>
          <w:szCs w:val="18"/>
        </w:rPr>
        <w:t>F3</w:t>
      </w:r>
      <w:r>
        <w:rPr>
          <w:rFonts w:ascii="楷体" w:eastAsia="楷体" w:hAnsi="楷体" w:cs="楷体"/>
          <w:b/>
          <w:sz w:val="21"/>
          <w:szCs w:val="21"/>
        </w:rPr>
        <w:t>=E×【0.025%</w:t>
      </w:r>
      <w:r>
        <w:rPr>
          <w:rFonts w:ascii="楷体" w:eastAsia="楷体" w:hAnsi="楷体" w:cs="楷体" w:hint="eastAsia"/>
          <w:b/>
          <w:sz w:val="21"/>
          <w:szCs w:val="21"/>
        </w:rPr>
        <w:t>】÷</w:t>
      </w:r>
      <w:r>
        <w:rPr>
          <w:rFonts w:ascii="楷体" w:eastAsia="楷体" w:hAnsi="楷体" w:cs="楷体"/>
          <w:b/>
          <w:sz w:val="21"/>
          <w:szCs w:val="21"/>
        </w:rPr>
        <w:t>365</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bCs/>
          <w:sz w:val="21"/>
          <w:szCs w:val="18"/>
        </w:rPr>
        <w:t>F3</w:t>
      </w:r>
      <w:r>
        <w:rPr>
          <w:rFonts w:ascii="楷体" w:eastAsia="楷体" w:hAnsi="楷体" w:cs="楷体"/>
          <w:b/>
          <w:sz w:val="21"/>
          <w:szCs w:val="21"/>
        </w:rPr>
        <w:t xml:space="preserve"> </w:t>
      </w:r>
      <w:r>
        <w:rPr>
          <w:rFonts w:ascii="楷体" w:eastAsia="楷体" w:hAnsi="楷体" w:cs="楷体" w:hint="eastAsia"/>
          <w:b/>
          <w:sz w:val="21"/>
          <w:szCs w:val="21"/>
        </w:rPr>
        <w:t>为每日应计提的产品托管费</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b/>
          <w:sz w:val="21"/>
          <w:szCs w:val="21"/>
        </w:rPr>
        <w:t xml:space="preserve">E </w:t>
      </w:r>
      <w:r>
        <w:rPr>
          <w:rFonts w:ascii="楷体" w:eastAsia="楷体" w:hAnsi="楷体" w:cs="楷体" w:hint="eastAsia"/>
          <w:b/>
          <w:sz w:val="21"/>
          <w:szCs w:val="21"/>
        </w:rPr>
        <w:t>为当日产品份额*产品份额净值</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产品托管费自成立日开始每日计提，定期支付给理财产品托管人。</w:t>
      </w:r>
    </w:p>
    <w:p w:rsidR="00C1769E" w:rsidRDefault="007B0020" w:rsidP="007B0020">
      <w:pPr>
        <w:pStyle w:val="a8"/>
        <w:widowControl w:val="0"/>
        <w:numPr>
          <w:ilvl w:val="0"/>
          <w:numId w:val="20"/>
        </w:numPr>
        <w:overflowPunct w:val="0"/>
        <w:topLinePunct/>
        <w:autoSpaceDE w:val="0"/>
        <w:autoSpaceDN w:val="0"/>
        <w:spacing w:before="0" w:beforeAutospacing="0" w:after="0" w:afterAutospacing="0" w:line="400" w:lineRule="exact"/>
        <w:rPr>
          <w:rFonts w:ascii="楷体" w:eastAsia="楷体" w:hAnsi="楷体" w:cs="楷体"/>
          <w:b/>
          <w:sz w:val="21"/>
          <w:szCs w:val="18"/>
        </w:rPr>
      </w:pPr>
      <w:r>
        <w:rPr>
          <w:rFonts w:ascii="楷体" w:eastAsia="楷体" w:hAnsi="楷体" w:cs="楷体" w:hint="eastAsia"/>
          <w:b/>
          <w:sz w:val="21"/>
          <w:szCs w:val="18"/>
        </w:rPr>
        <w:t>理财产品认购费、申购费、赎回费</w:t>
      </w:r>
    </w:p>
    <w:p w:rsidR="00C1769E" w:rsidRDefault="007B0020">
      <w:pPr>
        <w:pStyle w:val="a8"/>
        <w:widowControl w:val="0"/>
        <w:numPr>
          <w:ilvl w:val="255"/>
          <w:numId w:val="0"/>
        </w:numPr>
        <w:overflowPunct w:val="0"/>
        <w:topLinePunct/>
        <w:autoSpaceDE w:val="0"/>
        <w:autoSpaceDN w:val="0"/>
        <w:spacing w:before="0" w:beforeAutospacing="0" w:after="0" w:afterAutospacing="0" w:line="400" w:lineRule="exact"/>
        <w:ind w:leftChars="200" w:left="420"/>
        <w:rPr>
          <w:rFonts w:ascii="楷体" w:eastAsia="楷体" w:hAnsi="楷体" w:cs="楷体"/>
          <w:b/>
          <w:sz w:val="21"/>
          <w:szCs w:val="18"/>
        </w:rPr>
      </w:pPr>
      <w:r>
        <w:rPr>
          <w:rFonts w:ascii="楷体" w:eastAsia="楷体" w:hAnsi="楷体" w:cs="楷体" w:hint="eastAsia"/>
          <w:b/>
          <w:sz w:val="21"/>
          <w:szCs w:val="18"/>
        </w:rPr>
        <w:t>本理财产品无认购费、申购费、赎回费。</w:t>
      </w:r>
    </w:p>
    <w:p w:rsidR="00C1769E" w:rsidRDefault="007B0020" w:rsidP="007B0020">
      <w:pPr>
        <w:pStyle w:val="a8"/>
        <w:widowControl w:val="0"/>
        <w:numPr>
          <w:ilvl w:val="0"/>
          <w:numId w:val="20"/>
        </w:numPr>
        <w:overflowPunct w:val="0"/>
        <w:topLinePunct/>
        <w:autoSpaceDE w:val="0"/>
        <w:autoSpaceDN w:val="0"/>
        <w:spacing w:before="0" w:beforeAutospacing="0" w:after="0" w:afterAutospacing="0" w:line="400" w:lineRule="exact"/>
        <w:ind w:firstLineChars="200" w:firstLine="422"/>
        <w:rPr>
          <w:rFonts w:ascii="楷体" w:eastAsia="楷体" w:hAnsi="楷体" w:cs="楷体"/>
          <w:b/>
          <w:sz w:val="21"/>
          <w:szCs w:val="18"/>
        </w:rPr>
      </w:pPr>
      <w:r>
        <w:rPr>
          <w:rFonts w:ascii="楷体" w:eastAsia="楷体" w:hAnsi="楷体" w:cs="楷体" w:hint="eastAsia"/>
          <w:b/>
          <w:sz w:val="21"/>
          <w:szCs w:val="18"/>
        </w:rPr>
        <w:t>强制赎回费：</w:t>
      </w:r>
    </w:p>
    <w:p w:rsidR="00C1769E" w:rsidRDefault="007B0020" w:rsidP="007B0020">
      <w:pPr>
        <w:pStyle w:val="a8"/>
        <w:widowControl w:val="0"/>
        <w:numPr>
          <w:ilvl w:val="3"/>
          <w:numId w:val="21"/>
        </w:numPr>
        <w:overflowPunct w:val="0"/>
        <w:topLinePunct/>
        <w:autoSpaceDE w:val="0"/>
        <w:autoSpaceDN w:val="0"/>
        <w:spacing w:before="0" w:beforeAutospacing="0" w:after="0" w:afterAutospacing="0" w:line="400" w:lineRule="exact"/>
        <w:ind w:left="0" w:firstLine="426"/>
        <w:rPr>
          <w:rFonts w:ascii="楷体" w:eastAsia="楷体" w:hAnsi="楷体" w:cs="楷体"/>
          <w:b/>
          <w:sz w:val="21"/>
          <w:szCs w:val="18"/>
        </w:rPr>
      </w:pPr>
      <w:r>
        <w:rPr>
          <w:rFonts w:ascii="楷体" w:eastAsia="楷体" w:hAnsi="楷体" w:cs="楷体"/>
          <w:b/>
          <w:sz w:val="21"/>
          <w:szCs w:val="18"/>
        </w:rPr>
        <w:t>在满足相关流动性风险管理要求的前提下，当本产品持有的现金、国债、中央银行票据、政策性金融债券以及5个交易日内到期的其他金融工具占产品资产净值的比例合计低于5%且偏离度为负时，管理人将对当日单个产品投资者申请赎回份额超过本产品总份额</w:t>
      </w:r>
      <w:r>
        <w:rPr>
          <w:rFonts w:ascii="楷体" w:eastAsia="楷体" w:hAnsi="楷体" w:cs="楷体"/>
          <w:b/>
          <w:sz w:val="21"/>
          <w:szCs w:val="18"/>
        </w:rPr>
        <w:lastRenderedPageBreak/>
        <w:t>1%以上的赎回申请征收1%的强制赎回费用，并将上述赎回费用全额计入本产品财产。管理人与托管机构协商确认上述做法无益于现金管理类产品利益最大化的情形除外。</w:t>
      </w:r>
    </w:p>
    <w:p w:rsidR="00C1769E" w:rsidRDefault="007B0020" w:rsidP="007B0020">
      <w:pPr>
        <w:pStyle w:val="a8"/>
        <w:widowControl w:val="0"/>
        <w:numPr>
          <w:ilvl w:val="3"/>
          <w:numId w:val="21"/>
        </w:numPr>
        <w:overflowPunct w:val="0"/>
        <w:topLinePunct/>
        <w:autoSpaceDE w:val="0"/>
        <w:autoSpaceDN w:val="0"/>
        <w:spacing w:before="0" w:beforeAutospacing="0" w:after="0" w:afterAutospacing="0" w:line="400" w:lineRule="exact"/>
        <w:ind w:left="0" w:firstLine="426"/>
        <w:rPr>
          <w:rFonts w:ascii="楷体" w:eastAsia="楷体" w:hAnsi="楷体" w:cs="楷体"/>
          <w:b/>
          <w:sz w:val="21"/>
          <w:szCs w:val="18"/>
        </w:rPr>
      </w:pPr>
      <w:r>
        <w:rPr>
          <w:rFonts w:ascii="楷体" w:eastAsia="楷体" w:hAnsi="楷体" w:cs="楷体"/>
          <w:b/>
          <w:sz w:val="21"/>
          <w:szCs w:val="18"/>
        </w:rPr>
        <w:t>本产品前10名投资者的持有份额合计超过本产品总份额50%的，当投资组合中现金、国债、中央银行票据、政策性金融债券以及5个交易日内到期的其他金融工具占本产品资产净值的比例合计低于10%且偏离度为负时，管理人将对投资者超过本产品总份额1%以上的赎回申请征收1%的强制赎回费用。</w:t>
      </w:r>
    </w:p>
    <w:p w:rsidR="00C1769E" w:rsidRDefault="007B0020" w:rsidP="007B0020">
      <w:pPr>
        <w:pStyle w:val="a8"/>
        <w:widowControl w:val="0"/>
        <w:numPr>
          <w:ilvl w:val="0"/>
          <w:numId w:val="20"/>
        </w:numPr>
        <w:overflowPunct w:val="0"/>
        <w:topLinePunct/>
        <w:autoSpaceDE w:val="0"/>
        <w:autoSpaceDN w:val="0"/>
        <w:spacing w:before="0" w:beforeAutospacing="0" w:after="0" w:afterAutospacing="0" w:line="400" w:lineRule="exact"/>
        <w:ind w:firstLineChars="200" w:firstLine="422"/>
        <w:rPr>
          <w:rFonts w:ascii="楷体" w:eastAsia="楷体" w:hAnsi="楷体" w:cs="楷体"/>
          <w:b/>
          <w:sz w:val="21"/>
          <w:szCs w:val="18"/>
        </w:rPr>
      </w:pPr>
      <w:r>
        <w:rPr>
          <w:rFonts w:ascii="楷体" w:eastAsia="楷体" w:hAnsi="楷体" w:cs="楷体" w:hint="eastAsia"/>
          <w:b/>
          <w:sz w:val="21"/>
          <w:szCs w:val="18"/>
        </w:rPr>
        <w:t>其他从理财产品财产中支付的税费</w:t>
      </w:r>
    </w:p>
    <w:p w:rsidR="00C1769E" w:rsidRDefault="007B0020" w:rsidP="007B0020">
      <w:pPr>
        <w:pStyle w:val="a8"/>
        <w:widowControl w:val="0"/>
        <w:numPr>
          <w:ilvl w:val="0"/>
          <w:numId w:val="22"/>
        </w:numPr>
        <w:overflowPunct w:val="0"/>
        <w:topLinePunct/>
        <w:autoSpaceDE w:val="0"/>
        <w:autoSpaceDN w:val="0"/>
        <w:spacing w:before="0" w:beforeAutospacing="0" w:after="0" w:afterAutospacing="0" w:line="400" w:lineRule="exact"/>
        <w:ind w:hanging="1674"/>
        <w:rPr>
          <w:rFonts w:ascii="楷体" w:eastAsia="楷体" w:hAnsi="楷体" w:cs="楷体"/>
          <w:b/>
          <w:sz w:val="21"/>
          <w:szCs w:val="18"/>
        </w:rPr>
      </w:pPr>
      <w:r>
        <w:rPr>
          <w:rFonts w:ascii="楷体" w:eastAsia="楷体" w:hAnsi="楷体" w:cs="楷体"/>
          <w:b/>
          <w:sz w:val="21"/>
          <w:szCs w:val="18"/>
        </w:rPr>
        <w:t>投资账户开立及维护费、交易手续费、资金汇划费、清算费；</w:t>
      </w:r>
    </w:p>
    <w:p w:rsidR="00C1769E" w:rsidRDefault="007B0020" w:rsidP="007B0020">
      <w:pPr>
        <w:pStyle w:val="a8"/>
        <w:widowControl w:val="0"/>
        <w:numPr>
          <w:ilvl w:val="0"/>
          <w:numId w:val="22"/>
        </w:numPr>
        <w:overflowPunct w:val="0"/>
        <w:topLinePunct/>
        <w:autoSpaceDE w:val="0"/>
        <w:autoSpaceDN w:val="0"/>
        <w:spacing w:before="0" w:beforeAutospacing="0" w:after="0" w:afterAutospacing="0" w:line="400" w:lineRule="exact"/>
        <w:ind w:left="0" w:firstLine="431"/>
        <w:rPr>
          <w:rFonts w:ascii="楷体" w:eastAsia="楷体" w:hAnsi="楷体" w:cs="楷体"/>
          <w:b/>
          <w:sz w:val="21"/>
          <w:szCs w:val="18"/>
        </w:rPr>
      </w:pPr>
      <w:r>
        <w:rPr>
          <w:rFonts w:ascii="楷体" w:eastAsia="楷体" w:hAnsi="楷体" w:cs="楷体"/>
          <w:b/>
          <w:sz w:val="21"/>
          <w:szCs w:val="18"/>
        </w:rPr>
        <w:t>产品成立后与产品相关的审计费、诉讼费、仲裁费、律师费、执行费、信息披露费；</w:t>
      </w:r>
    </w:p>
    <w:p w:rsidR="00C1769E" w:rsidRDefault="007B0020" w:rsidP="007B0020">
      <w:pPr>
        <w:pStyle w:val="a8"/>
        <w:widowControl w:val="0"/>
        <w:numPr>
          <w:ilvl w:val="0"/>
          <w:numId w:val="22"/>
        </w:numPr>
        <w:overflowPunct w:val="0"/>
        <w:topLinePunct/>
        <w:autoSpaceDE w:val="0"/>
        <w:autoSpaceDN w:val="0"/>
        <w:spacing w:before="0" w:beforeAutospacing="0" w:after="0" w:afterAutospacing="0" w:line="400" w:lineRule="exact"/>
        <w:ind w:hanging="1674"/>
        <w:rPr>
          <w:rFonts w:ascii="楷体" w:eastAsia="楷体" w:hAnsi="楷体" w:cs="楷体"/>
          <w:b/>
          <w:sz w:val="21"/>
          <w:szCs w:val="18"/>
        </w:rPr>
      </w:pPr>
      <w:r>
        <w:rPr>
          <w:rFonts w:ascii="楷体" w:eastAsia="楷体" w:hAnsi="楷体" w:cs="楷体"/>
          <w:b/>
          <w:sz w:val="21"/>
          <w:szCs w:val="18"/>
        </w:rPr>
        <w:t>增值税及附加税费等；</w:t>
      </w:r>
    </w:p>
    <w:p w:rsidR="00C1769E" w:rsidRDefault="007B0020" w:rsidP="007B0020">
      <w:pPr>
        <w:pStyle w:val="a8"/>
        <w:widowControl w:val="0"/>
        <w:numPr>
          <w:ilvl w:val="0"/>
          <w:numId w:val="22"/>
        </w:numPr>
        <w:overflowPunct w:val="0"/>
        <w:topLinePunct/>
        <w:autoSpaceDE w:val="0"/>
        <w:autoSpaceDN w:val="0"/>
        <w:spacing w:before="0" w:beforeAutospacing="0" w:after="0" w:afterAutospacing="0" w:line="400" w:lineRule="exact"/>
        <w:ind w:hanging="1674"/>
        <w:rPr>
          <w:rFonts w:ascii="楷体" w:eastAsia="楷体" w:hAnsi="楷体" w:cs="楷体"/>
          <w:b/>
          <w:sz w:val="21"/>
          <w:szCs w:val="18"/>
        </w:rPr>
      </w:pPr>
      <w:r>
        <w:rPr>
          <w:rFonts w:ascii="楷体" w:eastAsia="楷体" w:hAnsi="楷体" w:cs="楷体"/>
          <w:b/>
          <w:sz w:val="21"/>
          <w:szCs w:val="18"/>
        </w:rPr>
        <w:t>以及其他按照国家有关规定可以列入的费用。</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上述税费（如有）在实际发生时按照实际发生额支付。</w:t>
      </w:r>
    </w:p>
    <w:p w:rsidR="00C1769E" w:rsidRDefault="00C1769E">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申购和赎回</w:t>
      </w:r>
    </w:p>
    <w:p w:rsidR="00C1769E" w:rsidRDefault="007B0020" w:rsidP="007B0020">
      <w:pPr>
        <w:pStyle w:val="2"/>
        <w:numPr>
          <w:ilvl w:val="0"/>
          <w:numId w:val="23"/>
        </w:numPr>
        <w:spacing w:line="400" w:lineRule="exact"/>
        <w:ind w:firstLineChars="0"/>
        <w:rPr>
          <w:rFonts w:ascii="楷体" w:eastAsia="楷体" w:hAnsi="楷体" w:cs="楷体"/>
          <w:szCs w:val="21"/>
        </w:rPr>
      </w:pPr>
      <w:r>
        <w:rPr>
          <w:rFonts w:ascii="楷体" w:eastAsia="楷体" w:hAnsi="楷体" w:cs="楷体" w:hint="eastAsia"/>
          <w:kern w:val="0"/>
        </w:rPr>
        <w:t>产品成立日（不含）后，每个工作日开放申购、赎回。</w:t>
      </w:r>
      <w:r>
        <w:rPr>
          <w:rFonts w:ascii="楷体" w:eastAsia="楷体" w:hAnsi="楷体" w:cs="楷体" w:hint="eastAsia"/>
          <w:color w:val="000000"/>
          <w:kern w:val="0"/>
        </w:rPr>
        <w:t>如遇特殊情况需临时增加</w:t>
      </w:r>
      <w:r>
        <w:rPr>
          <w:rFonts w:ascii="楷体" w:eastAsia="楷体" w:hAnsi="楷体" w:cs="楷体"/>
          <w:color w:val="000000"/>
          <w:kern w:val="0"/>
        </w:rPr>
        <w:t>/减少开放日的，以产品管理人具体公告为准。</w:t>
      </w:r>
    </w:p>
    <w:p w:rsidR="00C1769E" w:rsidRDefault="007B0020" w:rsidP="007B0020">
      <w:pPr>
        <w:pStyle w:val="2"/>
        <w:numPr>
          <w:ilvl w:val="0"/>
          <w:numId w:val="23"/>
        </w:numPr>
        <w:spacing w:line="400" w:lineRule="exact"/>
        <w:ind w:firstLineChars="0"/>
        <w:rPr>
          <w:rFonts w:ascii="楷体" w:eastAsia="楷体" w:hAnsi="楷体" w:cs="楷体"/>
          <w:kern w:val="0"/>
          <w:szCs w:val="18"/>
        </w:rPr>
      </w:pPr>
      <w:r>
        <w:rPr>
          <w:rFonts w:ascii="楷体" w:eastAsia="楷体" w:hAnsi="楷体" w:cs="楷体" w:hint="eastAsia"/>
          <w:kern w:val="0"/>
          <w:szCs w:val="18"/>
        </w:rPr>
        <w:t>代销机构申购和赎回交易时间：</w:t>
      </w:r>
      <w:r>
        <w:rPr>
          <w:rFonts w:ascii="楷体" w:eastAsia="楷体" w:hAnsi="楷体" w:cs="楷体" w:hint="eastAsia"/>
          <w:szCs w:val="18"/>
        </w:rPr>
        <w:t>本产品</w:t>
      </w:r>
      <w:r w:rsidR="0090394A">
        <w:rPr>
          <w:rFonts w:ascii="楷体" w:eastAsia="楷体" w:hAnsi="楷体" w:cs="楷体" w:hint="eastAsia"/>
          <w:szCs w:val="18"/>
        </w:rPr>
        <w:t>C</w:t>
      </w:r>
      <w:r w:rsidR="00810BB2">
        <w:rPr>
          <w:rFonts w:ascii="楷体" w:eastAsia="楷体" w:hAnsi="楷体" w:cs="楷体" w:hint="eastAsia"/>
          <w:szCs w:val="18"/>
        </w:rPr>
        <w:t>、E</w:t>
      </w:r>
      <w:r>
        <w:rPr>
          <w:rFonts w:ascii="楷体" w:eastAsia="楷体" w:hAnsi="楷体" w:cs="楷体" w:hint="eastAsia"/>
          <w:szCs w:val="18"/>
        </w:rPr>
        <w:t>份额申购和赎回交易时间为</w:t>
      </w:r>
      <w:r>
        <w:rPr>
          <w:rFonts w:ascii="楷体" w:eastAsia="楷体" w:hAnsi="楷体" w:cs="楷体" w:hint="eastAsia"/>
          <w:kern w:val="0"/>
          <w:szCs w:val="18"/>
        </w:rPr>
        <w:t>每个开放日的北京时间</w:t>
      </w:r>
      <w:r>
        <w:rPr>
          <w:rFonts w:ascii="楷体" w:eastAsia="楷体" w:hAnsi="楷体" w:cs="楷体"/>
          <w:kern w:val="0"/>
          <w:szCs w:val="18"/>
        </w:rPr>
        <w:t>0</w:t>
      </w:r>
      <w:r w:rsidR="00A12C4E">
        <w:rPr>
          <w:rFonts w:ascii="楷体" w:eastAsia="楷体" w:hAnsi="楷体" w:cs="楷体"/>
          <w:kern w:val="0"/>
          <w:szCs w:val="18"/>
        </w:rPr>
        <w:t>8</w:t>
      </w:r>
      <w:r>
        <w:rPr>
          <w:rFonts w:ascii="楷体" w:eastAsia="楷体" w:hAnsi="楷体" w:cs="楷体"/>
          <w:kern w:val="0"/>
          <w:szCs w:val="18"/>
        </w:rPr>
        <w:t>:</w:t>
      </w:r>
      <w:r w:rsidR="00A12C4E">
        <w:rPr>
          <w:rFonts w:ascii="楷体" w:eastAsia="楷体" w:hAnsi="楷体" w:cs="楷体"/>
          <w:kern w:val="0"/>
          <w:szCs w:val="18"/>
        </w:rPr>
        <w:t>3</w:t>
      </w:r>
      <w:r>
        <w:rPr>
          <w:rFonts w:ascii="楷体" w:eastAsia="楷体" w:hAnsi="楷体" w:cs="楷体"/>
          <w:kern w:val="0"/>
          <w:szCs w:val="18"/>
        </w:rPr>
        <w:t>0-1</w:t>
      </w:r>
      <w:r w:rsidR="00A12C4E">
        <w:rPr>
          <w:rFonts w:ascii="楷体" w:eastAsia="楷体" w:hAnsi="楷体" w:cs="楷体"/>
          <w:kern w:val="0"/>
          <w:szCs w:val="18"/>
        </w:rPr>
        <w:t>5</w:t>
      </w:r>
      <w:r>
        <w:rPr>
          <w:rFonts w:ascii="楷体" w:eastAsia="楷体" w:hAnsi="楷体" w:cs="楷体"/>
          <w:kern w:val="0"/>
          <w:szCs w:val="18"/>
        </w:rPr>
        <w:t>:</w:t>
      </w:r>
      <w:r w:rsidR="00A12C4E">
        <w:rPr>
          <w:rFonts w:ascii="楷体" w:eastAsia="楷体" w:hAnsi="楷体" w:cs="楷体"/>
          <w:kern w:val="0"/>
          <w:szCs w:val="18"/>
        </w:rPr>
        <w:t>3</w:t>
      </w:r>
      <w:r>
        <w:rPr>
          <w:rFonts w:ascii="楷体" w:eastAsia="楷体" w:hAnsi="楷体" w:cs="楷体"/>
          <w:kern w:val="0"/>
          <w:szCs w:val="18"/>
        </w:rPr>
        <w:t>0</w:t>
      </w:r>
      <w:r>
        <w:rPr>
          <w:rFonts w:ascii="楷体" w:eastAsia="楷体" w:hAnsi="楷体" w:cs="楷体" w:hint="eastAsia"/>
          <w:kern w:val="0"/>
          <w:szCs w:val="18"/>
        </w:rPr>
        <w:t>（不含）</w:t>
      </w:r>
      <w:r>
        <w:rPr>
          <w:rFonts w:ascii="楷体" w:eastAsia="楷体" w:hAnsi="楷体" w:cs="楷体"/>
          <w:kern w:val="0"/>
          <w:szCs w:val="18"/>
        </w:rPr>
        <w:t>，柜台营业时间以销售机构各网点公告为准。因理财产品管理情况和市场突发事件导致对理财产品的申购赎回有重大影响，产品管理人可视情况进行相应调整并通过相应信息披露渠道予以披露。</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挂单时间：理财产品存续期内，本产品</w:t>
      </w:r>
      <w:r w:rsidR="0090394A">
        <w:rPr>
          <w:rFonts w:ascii="楷体" w:eastAsia="楷体" w:hAnsi="楷体" w:cs="楷体" w:hint="eastAsia"/>
          <w:sz w:val="21"/>
          <w:szCs w:val="18"/>
        </w:rPr>
        <w:t>C</w:t>
      </w:r>
      <w:r w:rsidR="00810BB2">
        <w:rPr>
          <w:rFonts w:ascii="楷体" w:eastAsia="楷体" w:hAnsi="楷体" w:cs="楷体" w:hint="eastAsia"/>
          <w:sz w:val="21"/>
          <w:szCs w:val="18"/>
        </w:rPr>
        <w:t>、E</w:t>
      </w:r>
      <w:r>
        <w:rPr>
          <w:rFonts w:ascii="楷体" w:eastAsia="楷体" w:hAnsi="楷体" w:cs="楷体" w:hint="eastAsia"/>
          <w:sz w:val="21"/>
          <w:szCs w:val="18"/>
        </w:rPr>
        <w:t>份额投资者可在挂单时间内（工作日的北京时间</w:t>
      </w:r>
      <w:r>
        <w:rPr>
          <w:rFonts w:ascii="楷体" w:eastAsia="楷体" w:hAnsi="楷体" w:cs="楷体"/>
          <w:sz w:val="21"/>
          <w:szCs w:val="18"/>
        </w:rPr>
        <w:t>0:00-0</w:t>
      </w:r>
      <w:r w:rsidR="00A12C4E">
        <w:rPr>
          <w:rFonts w:ascii="楷体" w:eastAsia="楷体" w:hAnsi="楷体" w:cs="楷体"/>
          <w:sz w:val="21"/>
          <w:szCs w:val="18"/>
        </w:rPr>
        <w:t>8</w:t>
      </w:r>
      <w:r>
        <w:rPr>
          <w:rFonts w:ascii="楷体" w:eastAsia="楷体" w:hAnsi="楷体" w:cs="楷体"/>
          <w:sz w:val="21"/>
          <w:szCs w:val="18"/>
        </w:rPr>
        <w:t>:</w:t>
      </w:r>
      <w:r w:rsidR="00A12C4E">
        <w:rPr>
          <w:rFonts w:ascii="楷体" w:eastAsia="楷体" w:hAnsi="楷体" w:cs="楷体"/>
          <w:sz w:val="21"/>
          <w:szCs w:val="18"/>
        </w:rPr>
        <w:t>3</w:t>
      </w:r>
      <w:r>
        <w:rPr>
          <w:rFonts w:ascii="楷体" w:eastAsia="楷体" w:hAnsi="楷体" w:cs="楷体"/>
          <w:sz w:val="21"/>
          <w:szCs w:val="18"/>
        </w:rPr>
        <w:t>0</w:t>
      </w:r>
      <w:r>
        <w:rPr>
          <w:rFonts w:ascii="楷体" w:eastAsia="楷体" w:hAnsi="楷体" w:cs="楷体" w:hint="eastAsia"/>
          <w:sz w:val="21"/>
          <w:szCs w:val="18"/>
        </w:rPr>
        <w:t>、</w:t>
      </w:r>
      <w:r>
        <w:rPr>
          <w:rFonts w:ascii="楷体" w:eastAsia="楷体" w:hAnsi="楷体" w:cs="楷体"/>
          <w:sz w:val="21"/>
          <w:szCs w:val="18"/>
        </w:rPr>
        <w:t>1</w:t>
      </w:r>
      <w:r w:rsidR="00A12C4E">
        <w:rPr>
          <w:rFonts w:ascii="楷体" w:eastAsia="楷体" w:hAnsi="楷体" w:cs="楷体"/>
          <w:sz w:val="21"/>
          <w:szCs w:val="18"/>
        </w:rPr>
        <w:t>5</w:t>
      </w:r>
      <w:r>
        <w:rPr>
          <w:rFonts w:ascii="楷体" w:eastAsia="楷体" w:hAnsi="楷体" w:cs="楷体"/>
          <w:sz w:val="21"/>
          <w:szCs w:val="18"/>
        </w:rPr>
        <w:t>：</w:t>
      </w:r>
      <w:r w:rsidR="00A12C4E">
        <w:rPr>
          <w:rFonts w:ascii="楷体" w:eastAsia="楷体" w:hAnsi="楷体" w:cs="楷体" w:hint="eastAsia"/>
          <w:sz w:val="21"/>
          <w:szCs w:val="18"/>
        </w:rPr>
        <w:t>3</w:t>
      </w:r>
      <w:r>
        <w:rPr>
          <w:rFonts w:ascii="楷体" w:eastAsia="楷体" w:hAnsi="楷体" w:cs="楷体"/>
          <w:sz w:val="21"/>
          <w:szCs w:val="18"/>
        </w:rPr>
        <w:t>0-24：00及非工作日的0:00-24:00），通过销售机构指定渠道进行挂单申购或赎回本理财产品。挂单交易申请受理的时间为该次挂单交易申请的下一受理时间。投资者在进行挂单申购交易时，应保证资金账户有足够的申购资金。</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交易规则：本产品</w:t>
      </w:r>
      <w:r w:rsidR="0090394A">
        <w:rPr>
          <w:rFonts w:ascii="楷体" w:eastAsia="楷体" w:hAnsi="楷体" w:cs="楷体" w:hint="eastAsia"/>
          <w:sz w:val="21"/>
          <w:szCs w:val="18"/>
        </w:rPr>
        <w:t>C</w:t>
      </w:r>
      <w:r w:rsidR="007B7EC5">
        <w:rPr>
          <w:rFonts w:ascii="楷体" w:eastAsia="楷体" w:hAnsi="楷体" w:cs="楷体" w:hint="eastAsia"/>
          <w:sz w:val="21"/>
          <w:szCs w:val="18"/>
        </w:rPr>
        <w:t>、E</w:t>
      </w:r>
      <w:r>
        <w:rPr>
          <w:rFonts w:ascii="楷体" w:eastAsia="楷体" w:hAnsi="楷体" w:cs="楷体" w:hint="eastAsia"/>
          <w:sz w:val="21"/>
          <w:szCs w:val="18"/>
        </w:rPr>
        <w:t>份额申购及赎回的交易规则详见下表：</w:t>
      </w:r>
    </w:p>
    <w:tbl>
      <w:tblPr>
        <w:tblStyle w:val="ab"/>
        <w:tblW w:w="9248" w:type="dxa"/>
        <w:jc w:val="center"/>
        <w:tblLayout w:type="fixed"/>
        <w:tblLook w:val="04A0" w:firstRow="1" w:lastRow="0" w:firstColumn="1" w:lastColumn="0" w:noHBand="0" w:noVBand="1"/>
      </w:tblPr>
      <w:tblGrid>
        <w:gridCol w:w="2972"/>
        <w:gridCol w:w="2977"/>
        <w:gridCol w:w="3299"/>
      </w:tblGrid>
      <w:tr w:rsidR="00C1769E">
        <w:trPr>
          <w:trHeight w:val="618"/>
          <w:jc w:val="center"/>
        </w:trPr>
        <w:tc>
          <w:tcPr>
            <w:tcW w:w="2972" w:type="dxa"/>
            <w:vAlign w:val="center"/>
          </w:tcPr>
          <w:p w:rsidR="00C1769E" w:rsidRDefault="007B0020">
            <w:pPr>
              <w:pStyle w:val="a8"/>
              <w:widowControl w:val="0"/>
              <w:overflowPunct w:val="0"/>
              <w:topLinePunct/>
              <w:autoSpaceDE w:val="0"/>
              <w:autoSpaceDN w:val="0"/>
              <w:spacing w:before="0" w:beforeAutospacing="0" w:after="0" w:afterAutospacing="0"/>
              <w:jc w:val="center"/>
              <w:rPr>
                <w:rFonts w:ascii="楷体" w:eastAsia="楷体" w:hAnsi="楷体" w:cs="楷体"/>
                <w:b/>
                <w:sz w:val="21"/>
                <w:szCs w:val="21"/>
              </w:rPr>
            </w:pPr>
            <w:r>
              <w:rPr>
                <w:rFonts w:ascii="楷体" w:eastAsia="楷体" w:hAnsi="楷体" w:cs="楷体" w:hint="eastAsia"/>
                <w:b/>
                <w:sz w:val="21"/>
                <w:szCs w:val="21"/>
              </w:rPr>
              <w:t>申购</w:t>
            </w:r>
            <w:r>
              <w:rPr>
                <w:rFonts w:ascii="楷体" w:eastAsia="楷体" w:hAnsi="楷体" w:cs="楷体"/>
                <w:b/>
                <w:sz w:val="21"/>
                <w:szCs w:val="21"/>
              </w:rPr>
              <w:t>/赎回发起时间</w:t>
            </w:r>
          </w:p>
        </w:tc>
        <w:tc>
          <w:tcPr>
            <w:tcW w:w="2977" w:type="dxa"/>
            <w:vAlign w:val="center"/>
          </w:tcPr>
          <w:p w:rsidR="00C1769E" w:rsidRDefault="007B0020">
            <w:pPr>
              <w:pStyle w:val="a8"/>
              <w:overflowPunct w:val="0"/>
              <w:topLinePunct/>
              <w:autoSpaceDE w:val="0"/>
              <w:autoSpaceDN w:val="0"/>
              <w:spacing w:before="0" w:beforeAutospacing="0" w:after="0" w:afterAutospacing="0"/>
              <w:jc w:val="center"/>
              <w:rPr>
                <w:rFonts w:ascii="楷体" w:eastAsia="楷体" w:hAnsi="楷体" w:cs="楷体"/>
                <w:b/>
                <w:sz w:val="21"/>
                <w:szCs w:val="21"/>
              </w:rPr>
            </w:pPr>
            <w:r>
              <w:rPr>
                <w:rFonts w:ascii="楷体" w:eastAsia="楷体" w:hAnsi="楷体" w:cs="楷体" w:hint="eastAsia"/>
                <w:b/>
                <w:sz w:val="21"/>
                <w:szCs w:val="21"/>
              </w:rPr>
              <w:t>申购</w:t>
            </w:r>
            <w:r>
              <w:rPr>
                <w:rFonts w:ascii="楷体" w:eastAsia="楷体" w:hAnsi="楷体" w:cs="楷体"/>
                <w:b/>
                <w:sz w:val="21"/>
                <w:szCs w:val="21"/>
              </w:rPr>
              <w:t>/赎回申请受理日</w:t>
            </w:r>
          </w:p>
        </w:tc>
        <w:tc>
          <w:tcPr>
            <w:tcW w:w="3299" w:type="dxa"/>
            <w:vAlign w:val="center"/>
          </w:tcPr>
          <w:p w:rsidR="00C1769E" w:rsidRDefault="007B0020">
            <w:pPr>
              <w:pStyle w:val="a8"/>
              <w:overflowPunct w:val="0"/>
              <w:topLinePunct/>
              <w:autoSpaceDE w:val="0"/>
              <w:autoSpaceDN w:val="0"/>
              <w:spacing w:before="0" w:beforeAutospacing="0" w:after="0" w:afterAutospacing="0"/>
              <w:jc w:val="center"/>
              <w:rPr>
                <w:rFonts w:ascii="楷体" w:eastAsia="楷体" w:hAnsi="楷体" w:cs="楷体"/>
                <w:b/>
                <w:sz w:val="21"/>
                <w:szCs w:val="21"/>
              </w:rPr>
            </w:pPr>
            <w:r>
              <w:rPr>
                <w:rFonts w:ascii="楷体" w:eastAsia="楷体" w:hAnsi="楷体" w:cs="楷体" w:hint="eastAsia"/>
                <w:b/>
                <w:sz w:val="21"/>
                <w:szCs w:val="21"/>
              </w:rPr>
              <w:t>申购</w:t>
            </w:r>
            <w:r>
              <w:rPr>
                <w:rFonts w:ascii="楷体" w:eastAsia="楷体" w:hAnsi="楷体" w:cs="楷体"/>
                <w:b/>
                <w:sz w:val="21"/>
                <w:szCs w:val="21"/>
              </w:rPr>
              <w:t>/赎回确认日</w:t>
            </w:r>
          </w:p>
        </w:tc>
      </w:tr>
      <w:tr w:rsidR="00C1769E">
        <w:trPr>
          <w:trHeight w:val="535"/>
          <w:jc w:val="center"/>
        </w:trPr>
        <w:tc>
          <w:tcPr>
            <w:tcW w:w="2972" w:type="dxa"/>
            <w:vAlign w:val="center"/>
          </w:tcPr>
          <w:p w:rsidR="00C1769E" w:rsidRDefault="007B0020">
            <w:pPr>
              <w:pStyle w:val="a8"/>
              <w:widowControl w:val="0"/>
              <w:overflowPunct w:val="0"/>
              <w:topLinePunct/>
              <w:autoSpaceDE w:val="0"/>
              <w:autoSpaceDN w:val="0"/>
              <w:spacing w:before="0" w:beforeAutospacing="0" w:after="0" w:afterAutospacing="0"/>
              <w:jc w:val="center"/>
              <w:rPr>
                <w:rFonts w:ascii="楷体" w:eastAsia="楷体" w:hAnsi="楷体" w:cs="楷体"/>
                <w:sz w:val="21"/>
                <w:szCs w:val="18"/>
              </w:rPr>
            </w:pPr>
            <w:r>
              <w:rPr>
                <w:rFonts w:ascii="楷体" w:eastAsia="楷体" w:hAnsi="楷体" w:cs="楷体" w:hint="eastAsia"/>
                <w:sz w:val="21"/>
                <w:szCs w:val="18"/>
              </w:rPr>
              <w:t>每个工作日</w:t>
            </w:r>
          </w:p>
          <w:p w:rsidR="00C1769E" w:rsidRDefault="007B0020">
            <w:pPr>
              <w:pStyle w:val="a8"/>
              <w:widowControl w:val="0"/>
              <w:overflowPunct w:val="0"/>
              <w:topLinePunct/>
              <w:autoSpaceDE w:val="0"/>
              <w:autoSpaceDN w:val="0"/>
              <w:spacing w:before="0" w:beforeAutospacing="0" w:after="0" w:afterAutospacing="0"/>
              <w:jc w:val="center"/>
              <w:rPr>
                <w:rFonts w:ascii="楷体" w:eastAsia="楷体" w:hAnsi="楷体" w:cs="楷体"/>
                <w:sz w:val="21"/>
                <w:szCs w:val="18"/>
              </w:rPr>
            </w:pPr>
            <w:r>
              <w:rPr>
                <w:rFonts w:ascii="楷体" w:eastAsia="楷体" w:hAnsi="楷体" w:cs="楷体"/>
                <w:sz w:val="21"/>
                <w:szCs w:val="18"/>
              </w:rPr>
              <w:t>0:00-1</w:t>
            </w:r>
            <w:r w:rsidR="00A12C4E">
              <w:rPr>
                <w:rFonts w:ascii="楷体" w:eastAsia="楷体" w:hAnsi="楷体" w:cs="楷体"/>
                <w:sz w:val="21"/>
                <w:szCs w:val="18"/>
              </w:rPr>
              <w:t>5</w:t>
            </w:r>
            <w:r>
              <w:rPr>
                <w:rFonts w:ascii="楷体" w:eastAsia="楷体" w:hAnsi="楷体" w:cs="楷体"/>
                <w:sz w:val="21"/>
                <w:szCs w:val="18"/>
              </w:rPr>
              <w:t>:</w:t>
            </w:r>
            <w:r w:rsidR="00A12C4E">
              <w:rPr>
                <w:rFonts w:ascii="楷体" w:eastAsia="楷体" w:hAnsi="楷体" w:cs="楷体"/>
                <w:sz w:val="21"/>
                <w:szCs w:val="18"/>
              </w:rPr>
              <w:t>3</w:t>
            </w:r>
            <w:r>
              <w:rPr>
                <w:rFonts w:ascii="楷体" w:eastAsia="楷体" w:hAnsi="楷体" w:cs="楷体"/>
                <w:sz w:val="21"/>
                <w:szCs w:val="18"/>
              </w:rPr>
              <w:t>0</w:t>
            </w:r>
            <w:r>
              <w:rPr>
                <w:rFonts w:ascii="楷体" w:eastAsia="楷体" w:hAnsi="楷体" w:cs="楷体" w:hint="eastAsia"/>
                <w:sz w:val="21"/>
                <w:szCs w:val="18"/>
              </w:rPr>
              <w:t>（不含）</w:t>
            </w:r>
          </w:p>
        </w:tc>
        <w:tc>
          <w:tcPr>
            <w:tcW w:w="2977" w:type="dxa"/>
            <w:vAlign w:val="center"/>
          </w:tcPr>
          <w:p w:rsidR="00C1769E" w:rsidRDefault="007B0020">
            <w:pPr>
              <w:pStyle w:val="a8"/>
              <w:overflowPunct w:val="0"/>
              <w:topLinePunct/>
              <w:autoSpaceDE w:val="0"/>
              <w:autoSpaceDN w:val="0"/>
              <w:spacing w:before="0" w:beforeAutospacing="0" w:after="0" w:afterAutospacing="0"/>
              <w:jc w:val="center"/>
              <w:rPr>
                <w:rFonts w:ascii="楷体" w:eastAsia="楷体" w:hAnsi="楷体" w:cs="楷体"/>
                <w:sz w:val="21"/>
                <w:szCs w:val="21"/>
              </w:rPr>
            </w:pPr>
            <w:r>
              <w:rPr>
                <w:rFonts w:ascii="楷体" w:eastAsia="楷体" w:hAnsi="楷体" w:cs="楷体" w:hint="eastAsia"/>
                <w:sz w:val="21"/>
                <w:szCs w:val="21"/>
              </w:rPr>
              <w:t>发起当日</w:t>
            </w:r>
          </w:p>
        </w:tc>
        <w:tc>
          <w:tcPr>
            <w:tcW w:w="3299" w:type="dxa"/>
            <w:vMerge w:val="restart"/>
            <w:vAlign w:val="center"/>
          </w:tcPr>
          <w:p w:rsidR="00C1769E" w:rsidRDefault="007B0020">
            <w:pPr>
              <w:pStyle w:val="a8"/>
              <w:overflowPunct w:val="0"/>
              <w:topLinePunct/>
              <w:autoSpaceDE w:val="0"/>
              <w:autoSpaceDN w:val="0"/>
              <w:spacing w:before="0" w:beforeAutospacing="0" w:after="0" w:afterAutospacing="0"/>
              <w:jc w:val="center"/>
              <w:rPr>
                <w:rFonts w:ascii="楷体" w:eastAsia="楷体" w:hAnsi="楷体" w:cs="楷体"/>
                <w:sz w:val="21"/>
                <w:szCs w:val="18"/>
              </w:rPr>
            </w:pPr>
            <w:r>
              <w:rPr>
                <w:rFonts w:ascii="楷体" w:eastAsia="楷体" w:hAnsi="楷体" w:cs="楷体" w:hint="eastAsia"/>
                <w:sz w:val="21"/>
                <w:szCs w:val="21"/>
              </w:rPr>
              <w:t>受理日的下一工作日，详见“六、申购和赎回</w:t>
            </w:r>
            <w:r>
              <w:rPr>
                <w:rFonts w:ascii="楷体" w:eastAsia="楷体" w:hAnsi="楷体" w:cs="楷体"/>
                <w:sz w:val="21"/>
                <w:szCs w:val="21"/>
              </w:rPr>
              <w:t>(八)</w:t>
            </w:r>
            <w:r>
              <w:t xml:space="preserve"> </w:t>
            </w:r>
            <w:r>
              <w:rPr>
                <w:rFonts w:ascii="楷体" w:eastAsia="楷体" w:hAnsi="楷体" w:cs="楷体" w:hint="eastAsia"/>
                <w:sz w:val="21"/>
                <w:szCs w:val="21"/>
              </w:rPr>
              <w:t>申购和赎回申请的确认”</w:t>
            </w:r>
          </w:p>
        </w:tc>
      </w:tr>
      <w:tr w:rsidR="00C1769E">
        <w:trPr>
          <w:trHeight w:val="630"/>
          <w:jc w:val="center"/>
        </w:trPr>
        <w:tc>
          <w:tcPr>
            <w:tcW w:w="2972" w:type="dxa"/>
            <w:vAlign w:val="center"/>
          </w:tcPr>
          <w:p w:rsidR="00C1769E" w:rsidRDefault="007B0020">
            <w:pPr>
              <w:pStyle w:val="a8"/>
              <w:widowControl w:val="0"/>
              <w:overflowPunct w:val="0"/>
              <w:topLinePunct/>
              <w:autoSpaceDE w:val="0"/>
              <w:autoSpaceDN w:val="0"/>
              <w:spacing w:before="0" w:beforeAutospacing="0" w:after="0" w:afterAutospacing="0"/>
              <w:jc w:val="center"/>
              <w:rPr>
                <w:rFonts w:ascii="楷体" w:eastAsia="楷体" w:hAnsi="楷体" w:cs="楷体"/>
                <w:sz w:val="21"/>
                <w:szCs w:val="18"/>
              </w:rPr>
            </w:pPr>
            <w:r>
              <w:rPr>
                <w:rFonts w:ascii="楷体" w:eastAsia="楷体" w:hAnsi="楷体" w:cs="楷体" w:hint="eastAsia"/>
                <w:sz w:val="21"/>
                <w:szCs w:val="18"/>
              </w:rPr>
              <w:t>每个工作日</w:t>
            </w:r>
          </w:p>
          <w:p w:rsidR="00C1769E" w:rsidRDefault="007B0020">
            <w:pPr>
              <w:pStyle w:val="a8"/>
              <w:widowControl w:val="0"/>
              <w:overflowPunct w:val="0"/>
              <w:topLinePunct/>
              <w:autoSpaceDE w:val="0"/>
              <w:autoSpaceDN w:val="0"/>
              <w:spacing w:before="0" w:beforeAutospacing="0" w:after="0" w:afterAutospacing="0"/>
              <w:jc w:val="center"/>
              <w:rPr>
                <w:rFonts w:ascii="楷体" w:eastAsia="楷体" w:hAnsi="楷体" w:cs="楷体"/>
                <w:sz w:val="21"/>
                <w:szCs w:val="18"/>
              </w:rPr>
            </w:pPr>
            <w:r>
              <w:rPr>
                <w:rFonts w:ascii="楷体" w:eastAsia="楷体" w:hAnsi="楷体" w:cs="楷体"/>
                <w:sz w:val="21"/>
                <w:szCs w:val="18"/>
              </w:rPr>
              <w:t>1</w:t>
            </w:r>
            <w:r w:rsidR="00A12C4E">
              <w:rPr>
                <w:rFonts w:ascii="楷体" w:eastAsia="楷体" w:hAnsi="楷体" w:cs="楷体"/>
                <w:sz w:val="21"/>
                <w:szCs w:val="18"/>
              </w:rPr>
              <w:t>5</w:t>
            </w:r>
            <w:r>
              <w:rPr>
                <w:rFonts w:ascii="楷体" w:eastAsia="楷体" w:hAnsi="楷体" w:cs="楷体"/>
                <w:sz w:val="21"/>
                <w:szCs w:val="18"/>
              </w:rPr>
              <w:t>:</w:t>
            </w:r>
            <w:r w:rsidR="00A12C4E">
              <w:rPr>
                <w:rFonts w:ascii="楷体" w:eastAsia="楷体" w:hAnsi="楷体" w:cs="楷体"/>
                <w:sz w:val="21"/>
                <w:szCs w:val="18"/>
              </w:rPr>
              <w:t>3</w:t>
            </w:r>
            <w:r>
              <w:rPr>
                <w:rFonts w:ascii="楷体" w:eastAsia="楷体" w:hAnsi="楷体" w:cs="楷体"/>
                <w:sz w:val="21"/>
                <w:szCs w:val="18"/>
              </w:rPr>
              <w:t>0至24:00</w:t>
            </w:r>
          </w:p>
        </w:tc>
        <w:tc>
          <w:tcPr>
            <w:tcW w:w="2977" w:type="dxa"/>
            <w:vAlign w:val="center"/>
          </w:tcPr>
          <w:p w:rsidR="00C1769E" w:rsidRDefault="007B0020">
            <w:pPr>
              <w:pStyle w:val="a8"/>
              <w:overflowPunct w:val="0"/>
              <w:topLinePunct/>
              <w:autoSpaceDE w:val="0"/>
              <w:autoSpaceDN w:val="0"/>
              <w:spacing w:before="0" w:beforeAutospacing="0" w:after="0" w:afterAutospacing="0"/>
              <w:jc w:val="center"/>
              <w:rPr>
                <w:rFonts w:ascii="楷体" w:eastAsia="楷体" w:hAnsi="楷体" w:cs="楷体"/>
                <w:sz w:val="21"/>
                <w:szCs w:val="21"/>
              </w:rPr>
            </w:pPr>
            <w:r>
              <w:rPr>
                <w:rFonts w:ascii="楷体" w:eastAsia="楷体" w:hAnsi="楷体" w:cs="楷体" w:hint="eastAsia"/>
                <w:sz w:val="21"/>
                <w:szCs w:val="21"/>
              </w:rPr>
              <w:t>发起日下一工作日</w:t>
            </w:r>
          </w:p>
        </w:tc>
        <w:tc>
          <w:tcPr>
            <w:tcW w:w="3299" w:type="dxa"/>
            <w:vMerge/>
            <w:vAlign w:val="center"/>
          </w:tcPr>
          <w:p w:rsidR="00C1769E" w:rsidRDefault="00C1769E">
            <w:pPr>
              <w:pStyle w:val="a8"/>
              <w:widowControl w:val="0"/>
              <w:overflowPunct w:val="0"/>
              <w:topLinePunct/>
              <w:autoSpaceDE w:val="0"/>
              <w:autoSpaceDN w:val="0"/>
              <w:spacing w:before="0" w:after="0"/>
              <w:rPr>
                <w:rFonts w:ascii="楷体" w:eastAsia="楷体" w:hAnsi="楷体" w:cs="楷体"/>
                <w:sz w:val="21"/>
                <w:szCs w:val="18"/>
              </w:rPr>
            </w:pPr>
          </w:p>
        </w:tc>
      </w:tr>
      <w:tr w:rsidR="00C1769E">
        <w:trPr>
          <w:trHeight w:val="606"/>
          <w:jc w:val="center"/>
        </w:trPr>
        <w:tc>
          <w:tcPr>
            <w:tcW w:w="2972" w:type="dxa"/>
            <w:vAlign w:val="center"/>
          </w:tcPr>
          <w:p w:rsidR="00C1769E" w:rsidRDefault="007B0020">
            <w:pPr>
              <w:pStyle w:val="a8"/>
              <w:widowControl w:val="0"/>
              <w:overflowPunct w:val="0"/>
              <w:topLinePunct/>
              <w:autoSpaceDE w:val="0"/>
              <w:autoSpaceDN w:val="0"/>
              <w:spacing w:before="0" w:beforeAutospacing="0" w:after="0" w:afterAutospacing="0"/>
              <w:jc w:val="center"/>
              <w:rPr>
                <w:rFonts w:ascii="楷体" w:eastAsia="楷体" w:hAnsi="楷体" w:cs="楷体"/>
                <w:sz w:val="21"/>
                <w:szCs w:val="21"/>
              </w:rPr>
            </w:pPr>
            <w:r>
              <w:rPr>
                <w:rFonts w:ascii="楷体" w:eastAsia="楷体" w:hAnsi="楷体" w:cs="楷体" w:hint="eastAsia"/>
                <w:sz w:val="21"/>
                <w:szCs w:val="18"/>
              </w:rPr>
              <w:t>非工作日</w:t>
            </w:r>
          </w:p>
        </w:tc>
        <w:tc>
          <w:tcPr>
            <w:tcW w:w="2977" w:type="dxa"/>
            <w:vAlign w:val="center"/>
          </w:tcPr>
          <w:p w:rsidR="00C1769E" w:rsidRDefault="007B0020">
            <w:pPr>
              <w:pStyle w:val="a8"/>
              <w:overflowPunct w:val="0"/>
              <w:topLinePunct/>
              <w:autoSpaceDE w:val="0"/>
              <w:autoSpaceDN w:val="0"/>
              <w:spacing w:before="0" w:beforeAutospacing="0" w:after="0" w:afterAutospacing="0"/>
              <w:jc w:val="center"/>
              <w:rPr>
                <w:rFonts w:ascii="楷体" w:eastAsia="楷体" w:hAnsi="楷体" w:cs="楷体"/>
                <w:sz w:val="21"/>
                <w:szCs w:val="21"/>
              </w:rPr>
            </w:pPr>
            <w:r>
              <w:rPr>
                <w:rFonts w:ascii="楷体" w:eastAsia="楷体" w:hAnsi="楷体" w:cs="楷体" w:hint="eastAsia"/>
                <w:sz w:val="21"/>
                <w:szCs w:val="21"/>
              </w:rPr>
              <w:t>发起日下一工作日</w:t>
            </w:r>
          </w:p>
        </w:tc>
        <w:tc>
          <w:tcPr>
            <w:tcW w:w="3299" w:type="dxa"/>
            <w:vMerge/>
            <w:vAlign w:val="center"/>
          </w:tcPr>
          <w:p w:rsidR="00C1769E" w:rsidRDefault="00C1769E">
            <w:pPr>
              <w:pStyle w:val="a8"/>
              <w:widowControl w:val="0"/>
              <w:overflowPunct w:val="0"/>
              <w:topLinePunct/>
              <w:autoSpaceDE w:val="0"/>
              <w:autoSpaceDN w:val="0"/>
              <w:spacing w:before="0" w:beforeAutospacing="0" w:after="0" w:afterAutospacing="0"/>
              <w:rPr>
                <w:rFonts w:ascii="楷体" w:eastAsia="楷体" w:hAnsi="楷体" w:cs="楷体"/>
                <w:sz w:val="21"/>
                <w:szCs w:val="18"/>
              </w:rPr>
            </w:pPr>
          </w:p>
        </w:tc>
      </w:tr>
    </w:tbl>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b/>
          <w:sz w:val="21"/>
          <w:szCs w:val="18"/>
        </w:rPr>
      </w:pPr>
      <w:r>
        <w:rPr>
          <w:rFonts w:ascii="楷体" w:eastAsia="楷体" w:hAnsi="楷体" w:cs="楷体" w:hint="eastAsia"/>
          <w:b/>
          <w:sz w:val="21"/>
          <w:szCs w:val="18"/>
        </w:rPr>
        <w:t>份额净值：本产品通过每日计算收益并分配的方式，使产品份额净值保持在</w:t>
      </w:r>
      <w:r>
        <w:rPr>
          <w:rFonts w:ascii="楷体" w:eastAsia="楷体" w:hAnsi="楷体" w:cs="楷体"/>
          <w:b/>
          <w:sz w:val="21"/>
          <w:szCs w:val="18"/>
        </w:rPr>
        <w:t>1.00元。详见“</w:t>
      </w:r>
      <w:r>
        <w:rPr>
          <w:rFonts w:ascii="楷体" w:eastAsia="楷体" w:hAnsi="楷体" w:cs="楷体" w:hint="eastAsia"/>
          <w:b/>
          <w:sz w:val="21"/>
          <w:szCs w:val="18"/>
        </w:rPr>
        <w:t>八、理财产品收益分配”。</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lastRenderedPageBreak/>
        <w:t>申购、赎回原则：</w:t>
      </w:r>
    </w:p>
    <w:p w:rsidR="00C1769E" w:rsidRDefault="007B0020" w:rsidP="007B0020">
      <w:pPr>
        <w:pStyle w:val="a8"/>
        <w:widowControl w:val="0"/>
        <w:numPr>
          <w:ilvl w:val="0"/>
          <w:numId w:val="2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投资者赎回本理财产品时，中银理财不承诺保证本金和收益；</w:t>
      </w:r>
    </w:p>
    <w:p w:rsidR="00C1769E" w:rsidRDefault="007B0020" w:rsidP="007B0020">
      <w:pPr>
        <w:pStyle w:val="a8"/>
        <w:widowControl w:val="0"/>
        <w:numPr>
          <w:ilvl w:val="0"/>
          <w:numId w:val="2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投资者申购、赎回本理财产品时，采用“确定价”原则，即申购、赎回价格以每份产品份额净值为</w:t>
      </w:r>
      <w:r>
        <w:rPr>
          <w:rFonts w:ascii="楷体" w:eastAsia="楷体" w:hAnsi="楷体" w:cs="楷体"/>
          <w:sz w:val="21"/>
          <w:szCs w:val="18"/>
        </w:rPr>
        <w:t>1.00元的基准进行计算；</w:t>
      </w:r>
    </w:p>
    <w:p w:rsidR="00C1769E" w:rsidRDefault="007B0020" w:rsidP="007B0020">
      <w:pPr>
        <w:pStyle w:val="a8"/>
        <w:widowControl w:val="0"/>
        <w:numPr>
          <w:ilvl w:val="0"/>
          <w:numId w:val="2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本理财产品采用“金额申购、份额赎回”的原则，即申购以金额申请，赎回以份额申请；</w:t>
      </w:r>
    </w:p>
    <w:p w:rsidR="00C1769E" w:rsidRDefault="007B0020" w:rsidP="007B0020">
      <w:pPr>
        <w:pStyle w:val="a8"/>
        <w:widowControl w:val="0"/>
        <w:numPr>
          <w:ilvl w:val="0"/>
          <w:numId w:val="2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投资者提交申购申请时，须按销售机构规定的方式备足足够申购资金。投资者提交赎回申请时，须在销售机构有足够的理财产品份额余额；</w:t>
      </w:r>
    </w:p>
    <w:p w:rsidR="00C1769E" w:rsidRDefault="007B0020" w:rsidP="007B0020">
      <w:pPr>
        <w:pStyle w:val="a8"/>
        <w:widowControl w:val="0"/>
        <w:numPr>
          <w:ilvl w:val="0"/>
          <w:numId w:val="2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因不可抗力导致理财产品无法继续申购或赎回时，产品管理人或销售机构有权拒绝或暂停接受投资者的申购或赎回申请；</w:t>
      </w:r>
    </w:p>
    <w:p w:rsidR="00C1769E" w:rsidRDefault="007B0020" w:rsidP="007B0020">
      <w:pPr>
        <w:pStyle w:val="a8"/>
        <w:widowControl w:val="0"/>
        <w:numPr>
          <w:ilvl w:val="0"/>
          <w:numId w:val="24"/>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在销售机构营业场所规定的申购和赎回交易时间截止时点之后，不得撤销申购和赎回申请。</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巨额赎回限制</w:t>
      </w:r>
    </w:p>
    <w:p w:rsidR="00C1769E" w:rsidRDefault="007B0020" w:rsidP="007B0020">
      <w:pPr>
        <w:pStyle w:val="a8"/>
        <w:widowControl w:val="0"/>
        <w:numPr>
          <w:ilvl w:val="0"/>
          <w:numId w:val="2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巨额赎回的认定。本理财产品单个开放日净赎回申请份额（赎回申请份额总数扣除申购申请份额总数）超过前一日终理财产品总份额的</w:t>
      </w:r>
      <w:r>
        <w:rPr>
          <w:rFonts w:ascii="楷体" w:eastAsia="楷体" w:hAnsi="楷体" w:cs="楷体"/>
          <w:sz w:val="21"/>
          <w:szCs w:val="18"/>
        </w:rPr>
        <w:t>10%。</w:t>
      </w:r>
    </w:p>
    <w:p w:rsidR="00C1769E" w:rsidRDefault="007B0020" w:rsidP="007B0020">
      <w:pPr>
        <w:pStyle w:val="a8"/>
        <w:widowControl w:val="0"/>
        <w:numPr>
          <w:ilvl w:val="0"/>
          <w:numId w:val="25"/>
        </w:numPr>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当产品出现巨额赎回时，理财产品管理人可以根据产品实际状况决定全额赎回、部分延期赎回。</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全额赎回：当理财产品管理人认为有能力支付投资者的全部赎回申请时，按正常赎回程序执行。</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部分延期赎回：当理财产品管理人认为支付投资者的赎回申请有困难或认为因支付投资者的赎回申请而进行的资产变现可能会对产品资产净值造成较大波动时，理财产品管理人在当日办理的赎回比例不低于前一日终产品总份额的</w:t>
      </w:r>
      <w:r>
        <w:rPr>
          <w:rFonts w:ascii="楷体" w:eastAsia="楷体" w:hAnsi="楷体" w:cs="楷体"/>
          <w:sz w:val="21"/>
          <w:szCs w:val="18"/>
        </w:rPr>
        <w:t>10%的前提下，可对其余赎回申请延期办理。对于当日办理的赎回申请，按单个客户赎回申请量占赎回申请总量的比例，确定当日受理的赎回份额。对于未能办理的赎回部分，根据投资者在提交赎回申请时的选择处理，选择延期赎回的，将自动转入下一工作日继续赎回，直到全部赎回为止；选择取消赎回的，当日未办理的部分赎回申请将被撤销。延期的赎回申请与下一工作日赎回申请一并处理，不享有优先确认权且赎回价格为下一个工作日的价格，以此类推，直到全部赎回为止。</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发生上述情形且理财产品管理人决定根据本条约定延期办理巨额赎回申请时，理财产品管理人应当在</w:t>
      </w:r>
      <w:r>
        <w:rPr>
          <w:rFonts w:ascii="楷体" w:eastAsia="楷体" w:hAnsi="楷体" w:cs="楷体"/>
          <w:sz w:val="21"/>
          <w:szCs w:val="18"/>
        </w:rPr>
        <w:t>3个工作日内通过相应信息披露渠道进行披露，并说明运用相关措施的原因、拟采取的应对安排等。</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申购和赎回申请的确认：投资者在申购和赎回交易时间内提交的申购申请或赎回申请，理财产品管理人在申请当日（</w:t>
      </w:r>
      <w:r>
        <w:rPr>
          <w:rFonts w:ascii="楷体" w:eastAsia="楷体" w:hAnsi="楷体" w:cs="楷体"/>
          <w:sz w:val="21"/>
          <w:szCs w:val="18"/>
        </w:rPr>
        <w:t>T日）后【第一个工作日（T+1）】对该申请的有效性进行确认。投资者可在申请确认日后(包括该日)以销售机构规定的方式查询申请的确认</w:t>
      </w:r>
      <w:r>
        <w:rPr>
          <w:rFonts w:ascii="楷体" w:eastAsia="楷体" w:hAnsi="楷体" w:cs="楷体"/>
          <w:sz w:val="21"/>
          <w:szCs w:val="18"/>
        </w:rPr>
        <w:lastRenderedPageBreak/>
        <w:t>情况。投资者在申购和赎回交易时间外提交的申购申请或赎回申请，按照本理财产品说明书“六、申购和赎回”第（三）条有关条款处理。</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申购份额、赎回金额的计算：</w:t>
      </w:r>
    </w:p>
    <w:p w:rsidR="00C1769E" w:rsidRDefault="007B0020" w:rsidP="007B0020">
      <w:pPr>
        <w:pStyle w:val="a8"/>
        <w:widowControl w:val="0"/>
        <w:numPr>
          <w:ilvl w:val="0"/>
          <w:numId w:val="26"/>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申购份额的计算</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申购份额</w:t>
      </w:r>
      <w:r>
        <w:rPr>
          <w:rFonts w:ascii="楷体" w:eastAsia="楷体" w:hAnsi="楷体" w:cs="楷体"/>
          <w:sz w:val="21"/>
          <w:szCs w:val="18"/>
        </w:rPr>
        <w:t>=（申购金额-申购费用）/T日理财产品份额净值</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rPr>
        <w:t>申购费用</w:t>
      </w:r>
      <w:r>
        <w:rPr>
          <w:rFonts w:ascii="楷体" w:eastAsia="楷体" w:hAnsi="楷体" w:cs="楷体"/>
          <w:sz w:val="21"/>
        </w:rPr>
        <w:t>=申购金额×申购费率</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申购份额保留至小数点后两位，小数点后两位以下四舍五入。</w:t>
      </w:r>
    </w:p>
    <w:p w:rsidR="00C1769E" w:rsidRDefault="007B0020" w:rsidP="007B0020">
      <w:pPr>
        <w:pStyle w:val="a8"/>
        <w:widowControl w:val="0"/>
        <w:numPr>
          <w:ilvl w:val="0"/>
          <w:numId w:val="26"/>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产品赎回金额的计算</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净赎回金额</w:t>
      </w:r>
      <w:r>
        <w:rPr>
          <w:rFonts w:ascii="楷体" w:eastAsia="楷体" w:hAnsi="楷体" w:cs="楷体"/>
          <w:sz w:val="21"/>
          <w:szCs w:val="18"/>
        </w:rPr>
        <w:t>=赎回总额-负收益金额的绝对值-赎回费用</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赎回总额</w:t>
      </w:r>
      <w:r>
        <w:rPr>
          <w:rFonts w:ascii="楷体" w:eastAsia="楷体" w:hAnsi="楷体" w:cs="楷体"/>
          <w:sz w:val="21"/>
          <w:szCs w:val="18"/>
        </w:rPr>
        <w:t>=赎回份额×T日理财产品份额净值</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赎回费用</w:t>
      </w:r>
      <w:r>
        <w:rPr>
          <w:rFonts w:ascii="楷体" w:eastAsia="楷体" w:hAnsi="楷体" w:cs="楷体"/>
          <w:sz w:val="21"/>
          <w:szCs w:val="18"/>
        </w:rPr>
        <w:t>=赎回总额×赎回费率</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r>
        <w:rPr>
          <w:rFonts w:ascii="楷体" w:eastAsia="楷体" w:hAnsi="楷体" w:cs="楷体" w:hint="eastAsia"/>
          <w:sz w:val="21"/>
          <w:szCs w:val="18"/>
        </w:rPr>
        <w:t>赎回金额保留至小数点后两位，小数点后两位以下四舍五入。</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申购和赎回的款项支付</w:t>
      </w:r>
    </w:p>
    <w:p w:rsidR="00C1769E" w:rsidRDefault="007B0020" w:rsidP="007B0020">
      <w:pPr>
        <w:pStyle w:val="a8"/>
        <w:widowControl w:val="0"/>
        <w:numPr>
          <w:ilvl w:val="0"/>
          <w:numId w:val="27"/>
        </w:numPr>
        <w:tabs>
          <w:tab w:val="left" w:pos="709"/>
          <w:tab w:val="left" w:pos="993"/>
        </w:tabs>
        <w:overflowPunct w:val="0"/>
        <w:topLinePunct/>
        <w:autoSpaceDE w:val="0"/>
        <w:autoSpaceDN w:val="0"/>
        <w:spacing w:before="0" w:beforeAutospacing="0" w:after="0" w:afterAutospacing="0" w:line="400" w:lineRule="exact"/>
        <w:rPr>
          <w:rFonts w:ascii="楷体" w:eastAsia="楷体" w:hAnsi="楷体" w:cs="楷体"/>
          <w:sz w:val="21"/>
          <w:szCs w:val="21"/>
        </w:rPr>
      </w:pPr>
      <w:r>
        <w:rPr>
          <w:rFonts w:ascii="楷体" w:eastAsia="楷体" w:hAnsi="楷体" w:cs="楷体" w:hint="eastAsia"/>
          <w:sz w:val="21"/>
          <w:szCs w:val="21"/>
        </w:rPr>
        <w:t>申购采用全额缴款或冻结方式，具体以产品销售机构的实际处理方式为准。</w:t>
      </w:r>
    </w:p>
    <w:p w:rsidR="00C1769E" w:rsidRDefault="007B0020" w:rsidP="007B0020">
      <w:pPr>
        <w:pStyle w:val="a8"/>
        <w:widowControl w:val="0"/>
        <w:numPr>
          <w:ilvl w:val="1"/>
          <w:numId w:val="28"/>
        </w:numPr>
        <w:overflowPunct w:val="0"/>
        <w:topLinePunct/>
        <w:autoSpaceDE w:val="0"/>
        <w:autoSpaceDN w:val="0"/>
        <w:spacing w:before="0" w:beforeAutospacing="0" w:after="0" w:afterAutospacing="0" w:line="400" w:lineRule="exact"/>
        <w:ind w:left="0" w:firstLine="840"/>
        <w:rPr>
          <w:rFonts w:ascii="楷体" w:eastAsia="楷体" w:hAnsi="楷体" w:cs="楷体"/>
          <w:sz w:val="21"/>
          <w:szCs w:val="21"/>
        </w:rPr>
      </w:pPr>
      <w:r>
        <w:rPr>
          <w:rFonts w:ascii="楷体" w:eastAsia="楷体" w:hAnsi="楷体" w:cs="楷体" w:hint="eastAsia"/>
          <w:sz w:val="21"/>
          <w:szCs w:val="21"/>
        </w:rPr>
        <w:t>如采取全额缴款方式，销售机构将在投资者提交申购申请的当日扣划申购款项，若申购不成功或无效，理财产品管理人将在【</w:t>
      </w:r>
      <w:r>
        <w:rPr>
          <w:rFonts w:ascii="楷体" w:eastAsia="楷体" w:hAnsi="楷体" w:cs="楷体"/>
          <w:sz w:val="21"/>
          <w:szCs w:val="21"/>
        </w:rPr>
        <w:t>3】个工作日内将收到的投资者申购款项退还至销售机构。</w:t>
      </w:r>
    </w:p>
    <w:p w:rsidR="00C1769E" w:rsidRDefault="007B0020" w:rsidP="007B0020">
      <w:pPr>
        <w:pStyle w:val="a8"/>
        <w:widowControl w:val="0"/>
        <w:numPr>
          <w:ilvl w:val="1"/>
          <w:numId w:val="28"/>
        </w:numPr>
        <w:overflowPunct w:val="0"/>
        <w:topLinePunct/>
        <w:autoSpaceDE w:val="0"/>
        <w:autoSpaceDN w:val="0"/>
        <w:spacing w:before="0" w:beforeAutospacing="0" w:after="0" w:afterAutospacing="0" w:line="400" w:lineRule="exact"/>
        <w:ind w:left="0" w:firstLine="840"/>
        <w:rPr>
          <w:rFonts w:ascii="楷体" w:eastAsia="楷体" w:hAnsi="楷体" w:cs="楷体"/>
          <w:sz w:val="21"/>
          <w:szCs w:val="21"/>
        </w:rPr>
      </w:pPr>
      <w:r>
        <w:rPr>
          <w:rFonts w:ascii="楷体" w:eastAsia="楷体" w:hAnsi="楷体" w:cs="楷体" w:hint="eastAsia"/>
          <w:sz w:val="21"/>
          <w:szCs w:val="21"/>
        </w:rPr>
        <w:t>如采取冻结方式，销售机构将在投资者提交申购申请的当日冻结申购款项，若申购成功，申购款项在申购确认日扣收；若申购不成功或无效，销售机构将在</w:t>
      </w:r>
      <w:r>
        <w:rPr>
          <w:rFonts w:ascii="楷体" w:eastAsia="楷体" w:hAnsi="楷体" w:cs="楷体"/>
          <w:sz w:val="21"/>
          <w:szCs w:val="21"/>
        </w:rPr>
        <w:t>3个工作日内解冻已冻结的申购款项</w:t>
      </w:r>
      <w:r>
        <w:rPr>
          <w:rFonts w:ascii="楷体" w:eastAsia="楷体" w:hAnsi="楷体" w:cs="楷体" w:hint="eastAsia"/>
          <w:sz w:val="21"/>
          <w:szCs w:val="21"/>
        </w:rPr>
        <w:t>。</w:t>
      </w:r>
    </w:p>
    <w:p w:rsidR="00C1769E" w:rsidRDefault="007B0020" w:rsidP="007B0020">
      <w:pPr>
        <w:pStyle w:val="a8"/>
        <w:widowControl w:val="0"/>
        <w:numPr>
          <w:ilvl w:val="0"/>
          <w:numId w:val="27"/>
        </w:numPr>
        <w:tabs>
          <w:tab w:val="left" w:pos="851"/>
        </w:tabs>
        <w:overflowPunct w:val="0"/>
        <w:topLinePunct/>
        <w:autoSpaceDE w:val="0"/>
        <w:autoSpaceDN w:val="0"/>
        <w:spacing w:before="0" w:beforeAutospacing="0" w:after="0" w:afterAutospacing="0" w:line="400" w:lineRule="exact"/>
        <w:rPr>
          <w:rFonts w:ascii="楷体" w:eastAsia="楷体" w:hAnsi="楷体" w:cs="楷体"/>
          <w:szCs w:val="21"/>
        </w:rPr>
      </w:pPr>
      <w:r>
        <w:rPr>
          <w:rFonts w:ascii="楷体" w:eastAsia="楷体" w:hAnsi="楷体" w:cs="楷体"/>
          <w:sz w:val="21"/>
          <w:szCs w:val="21"/>
        </w:rPr>
        <w:t>投资者赎回申请被确认成功后，通常情况下，赎回款项由产品管理人于理财产品赎回确认日</w:t>
      </w:r>
      <w:r>
        <w:rPr>
          <w:rFonts w:ascii="楷体" w:eastAsia="楷体" w:hAnsi="楷体" w:cs="楷体" w:hint="eastAsia"/>
          <w:sz w:val="21"/>
          <w:szCs w:val="21"/>
        </w:rPr>
        <w:t>内</w:t>
      </w:r>
      <w:r>
        <w:rPr>
          <w:rFonts w:ascii="楷体" w:eastAsia="楷体" w:hAnsi="楷体" w:cs="楷体"/>
          <w:sz w:val="21"/>
          <w:szCs w:val="21"/>
        </w:rPr>
        <w:t>支付至销售机构指定账户，并由销售机构划付至投资者账户（即按照</w:t>
      </w:r>
      <w:r>
        <w:rPr>
          <w:rFonts w:ascii="楷体" w:eastAsia="楷体" w:hAnsi="楷体" w:cs="楷体" w:hint="eastAsia"/>
          <w:sz w:val="21"/>
          <w:szCs w:val="18"/>
        </w:rPr>
        <w:t>本理财产品说明书“六、申购和赎回”</w:t>
      </w:r>
      <w:r>
        <w:rPr>
          <w:rFonts w:ascii="楷体" w:eastAsia="楷体" w:hAnsi="楷体" w:cs="楷体"/>
          <w:sz w:val="21"/>
          <w:szCs w:val="21"/>
        </w:rPr>
        <w:t>第</w:t>
      </w:r>
      <w:r>
        <w:rPr>
          <w:rFonts w:ascii="楷体" w:eastAsia="楷体" w:hAnsi="楷体" w:cs="楷体" w:hint="eastAsia"/>
          <w:sz w:val="21"/>
          <w:szCs w:val="21"/>
        </w:rPr>
        <w:t>（九）条第</w:t>
      </w:r>
      <w:r>
        <w:rPr>
          <w:rFonts w:ascii="楷体" w:eastAsia="楷体" w:hAnsi="楷体" w:cs="楷体"/>
          <w:sz w:val="21"/>
          <w:szCs w:val="21"/>
        </w:rPr>
        <w:t>2款计算的净赎回金额），期间不计利息。如发生本理财产品说明书“</w:t>
      </w:r>
      <w:r>
        <w:rPr>
          <w:rFonts w:ascii="楷体" w:eastAsia="楷体" w:hAnsi="楷体" w:cs="楷体" w:hint="eastAsia"/>
          <w:sz w:val="21"/>
          <w:szCs w:val="21"/>
        </w:rPr>
        <w:t>九</w:t>
      </w:r>
      <w:r>
        <w:rPr>
          <w:rFonts w:ascii="楷体" w:eastAsia="楷体" w:hAnsi="楷体" w:cs="楷体"/>
          <w:sz w:val="21"/>
          <w:szCs w:val="21"/>
        </w:rPr>
        <w:t>、风险揭示”的第（十</w:t>
      </w:r>
      <w:r>
        <w:rPr>
          <w:rFonts w:ascii="楷体" w:eastAsia="楷体" w:hAnsi="楷体" w:cs="楷体" w:hint="eastAsia"/>
          <w:sz w:val="21"/>
          <w:szCs w:val="21"/>
        </w:rPr>
        <w:t>一</w:t>
      </w:r>
      <w:r>
        <w:rPr>
          <w:rFonts w:ascii="楷体" w:eastAsia="楷体" w:hAnsi="楷体" w:cs="楷体"/>
          <w:sz w:val="21"/>
          <w:szCs w:val="21"/>
        </w:rPr>
        <w:t>）部分“赎回款项支付延迟风险”中的情形，赎回款项支付可能延迟，赎回款项延迟支付期间不计利息；如赎回款项支付延迟可能超过1个工作日，产品管理人将在赎回确认日后1个工作日内公告。在触动巨额赎回限制时，客户的可赎回份额需要根据巨额赎回限制规则确定，款项的支付办法按照</w:t>
      </w:r>
      <w:r>
        <w:rPr>
          <w:rFonts w:ascii="楷体" w:eastAsia="楷体" w:hAnsi="楷体" w:cs="楷体" w:hint="eastAsia"/>
          <w:sz w:val="21"/>
          <w:szCs w:val="18"/>
        </w:rPr>
        <w:t>本理财产品说明书“六、申购和赎回”</w:t>
      </w:r>
      <w:r>
        <w:rPr>
          <w:rFonts w:ascii="楷体" w:eastAsia="楷体" w:hAnsi="楷体" w:cs="楷体"/>
          <w:sz w:val="21"/>
          <w:szCs w:val="21"/>
        </w:rPr>
        <w:t>第（七）</w:t>
      </w:r>
      <w:r>
        <w:rPr>
          <w:rFonts w:ascii="楷体" w:eastAsia="楷体" w:hAnsi="楷体" w:cs="楷体" w:hint="eastAsia"/>
          <w:sz w:val="21"/>
          <w:szCs w:val="21"/>
        </w:rPr>
        <w:t>条有关条款处理。</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申购金额和赎回份额的要求：</w:t>
      </w:r>
    </w:p>
    <w:p w:rsidR="00C1769E" w:rsidRDefault="0090394A" w:rsidP="007B0020">
      <w:pPr>
        <w:pStyle w:val="a8"/>
        <w:widowControl w:val="0"/>
        <w:numPr>
          <w:ilvl w:val="0"/>
          <w:numId w:val="29"/>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C</w:t>
      </w:r>
      <w:r w:rsidR="007B0020">
        <w:rPr>
          <w:rFonts w:ascii="楷体" w:eastAsia="楷体" w:hAnsi="楷体" w:cs="楷体"/>
          <w:sz w:val="21"/>
          <w:szCs w:val="18"/>
        </w:rPr>
        <w:t>份额初次申购起点金额为【1</w:t>
      </w:r>
      <w:r>
        <w:rPr>
          <w:rFonts w:ascii="楷体" w:eastAsia="楷体" w:hAnsi="楷体" w:cs="楷体"/>
          <w:sz w:val="21"/>
          <w:szCs w:val="18"/>
        </w:rPr>
        <w:t>00</w:t>
      </w:r>
      <w:r>
        <w:rPr>
          <w:rFonts w:ascii="楷体" w:eastAsia="楷体" w:hAnsi="楷体" w:cs="楷体" w:hint="eastAsia"/>
          <w:sz w:val="21"/>
          <w:szCs w:val="18"/>
        </w:rPr>
        <w:t>万</w:t>
      </w:r>
      <w:r w:rsidR="007B0020">
        <w:rPr>
          <w:rFonts w:ascii="楷体" w:eastAsia="楷体" w:hAnsi="楷体" w:cs="楷体" w:hint="eastAsia"/>
          <w:sz w:val="21"/>
          <w:szCs w:val="18"/>
        </w:rPr>
        <w:t>】元人民币，高于起点金额以人民币【</w:t>
      </w:r>
      <w:r w:rsidR="007B0020">
        <w:rPr>
          <w:rFonts w:ascii="楷体" w:eastAsia="楷体" w:hAnsi="楷体" w:cs="楷体"/>
          <w:sz w:val="21"/>
          <w:szCs w:val="18"/>
        </w:rPr>
        <w:t>0.01</w:t>
      </w:r>
      <w:r w:rsidR="007B0020">
        <w:rPr>
          <w:rFonts w:ascii="楷体" w:eastAsia="楷体" w:hAnsi="楷体" w:cs="楷体" w:hint="eastAsia"/>
          <w:sz w:val="21"/>
          <w:szCs w:val="18"/>
        </w:rPr>
        <w:t>】元的整数倍递增；已持有理财份额的投资者追加申购金额为【</w:t>
      </w:r>
      <w:r w:rsidR="007B0020">
        <w:rPr>
          <w:rFonts w:ascii="楷体" w:eastAsia="楷体" w:hAnsi="楷体" w:cs="楷体"/>
          <w:sz w:val="21"/>
          <w:szCs w:val="18"/>
        </w:rPr>
        <w:t>0.01</w:t>
      </w:r>
      <w:r w:rsidR="007B0020">
        <w:rPr>
          <w:rFonts w:ascii="楷体" w:eastAsia="楷体" w:hAnsi="楷体" w:cs="楷体" w:hint="eastAsia"/>
          <w:sz w:val="21"/>
          <w:szCs w:val="18"/>
        </w:rPr>
        <w:t>】元或【</w:t>
      </w:r>
      <w:r w:rsidR="007B0020">
        <w:rPr>
          <w:rFonts w:ascii="楷体" w:eastAsia="楷体" w:hAnsi="楷体" w:cs="楷体"/>
          <w:sz w:val="21"/>
          <w:szCs w:val="18"/>
        </w:rPr>
        <w:t>0.01</w:t>
      </w:r>
      <w:r w:rsidR="007B0020">
        <w:rPr>
          <w:rFonts w:ascii="楷体" w:eastAsia="楷体" w:hAnsi="楷体" w:cs="楷体" w:hint="eastAsia"/>
          <w:sz w:val="21"/>
          <w:szCs w:val="18"/>
        </w:rPr>
        <w:t>】元的整数倍。赎回份额为</w:t>
      </w:r>
      <w:r w:rsidR="007B0020">
        <w:rPr>
          <w:rFonts w:ascii="楷体" w:eastAsia="楷体" w:hAnsi="楷体" w:cs="楷体"/>
          <w:sz w:val="21"/>
          <w:szCs w:val="18"/>
        </w:rPr>
        <w:t>0.01份或0.01份的整数倍</w:t>
      </w:r>
      <w:r w:rsidR="00A95754">
        <w:rPr>
          <w:rFonts w:ascii="楷体" w:eastAsia="楷体" w:hAnsi="楷体" w:cs="楷体" w:hint="eastAsia"/>
          <w:sz w:val="21"/>
          <w:szCs w:val="18"/>
        </w:rPr>
        <w:t>；E</w:t>
      </w:r>
      <w:r w:rsidR="00A95754">
        <w:rPr>
          <w:rFonts w:ascii="楷体" w:eastAsia="楷体" w:hAnsi="楷体" w:cs="楷体"/>
          <w:sz w:val="21"/>
          <w:szCs w:val="18"/>
        </w:rPr>
        <w:t>份额初次申购起点金额为【1</w:t>
      </w:r>
      <w:r w:rsidR="00A95754">
        <w:rPr>
          <w:rFonts w:ascii="楷体" w:eastAsia="楷体" w:hAnsi="楷体" w:cs="楷体" w:hint="eastAsia"/>
          <w:sz w:val="21"/>
          <w:szCs w:val="18"/>
        </w:rPr>
        <w:t>】元人民币，高于起点金额以人民币【</w:t>
      </w:r>
      <w:r w:rsidR="00A95754">
        <w:rPr>
          <w:rFonts w:ascii="楷体" w:eastAsia="楷体" w:hAnsi="楷体" w:cs="楷体"/>
          <w:sz w:val="21"/>
          <w:szCs w:val="18"/>
        </w:rPr>
        <w:t>0.01</w:t>
      </w:r>
      <w:r w:rsidR="00A95754">
        <w:rPr>
          <w:rFonts w:ascii="楷体" w:eastAsia="楷体" w:hAnsi="楷体" w:cs="楷体" w:hint="eastAsia"/>
          <w:sz w:val="21"/>
          <w:szCs w:val="18"/>
        </w:rPr>
        <w:t>】元的整数倍递增；已持有理财份额的投资者追加申购金额为【</w:t>
      </w:r>
      <w:r w:rsidR="00A95754">
        <w:rPr>
          <w:rFonts w:ascii="楷体" w:eastAsia="楷体" w:hAnsi="楷体" w:cs="楷体"/>
          <w:sz w:val="21"/>
          <w:szCs w:val="18"/>
        </w:rPr>
        <w:t>0.01</w:t>
      </w:r>
      <w:r w:rsidR="00A95754">
        <w:rPr>
          <w:rFonts w:ascii="楷体" w:eastAsia="楷体" w:hAnsi="楷体" w:cs="楷体" w:hint="eastAsia"/>
          <w:sz w:val="21"/>
          <w:szCs w:val="18"/>
        </w:rPr>
        <w:t>】元或【</w:t>
      </w:r>
      <w:r w:rsidR="00A95754">
        <w:rPr>
          <w:rFonts w:ascii="楷体" w:eastAsia="楷体" w:hAnsi="楷体" w:cs="楷体"/>
          <w:sz w:val="21"/>
          <w:szCs w:val="18"/>
        </w:rPr>
        <w:t>0.01</w:t>
      </w:r>
      <w:r w:rsidR="00A95754">
        <w:rPr>
          <w:rFonts w:ascii="楷体" w:eastAsia="楷体" w:hAnsi="楷体" w:cs="楷体" w:hint="eastAsia"/>
          <w:sz w:val="21"/>
          <w:szCs w:val="18"/>
        </w:rPr>
        <w:t>】元的整数倍。赎回份额为</w:t>
      </w:r>
      <w:r w:rsidR="00A95754">
        <w:rPr>
          <w:rFonts w:ascii="楷体" w:eastAsia="楷体" w:hAnsi="楷体" w:cs="楷体"/>
          <w:sz w:val="21"/>
          <w:szCs w:val="18"/>
        </w:rPr>
        <w:t>0.01份或0.01份的整数倍</w:t>
      </w:r>
      <w:r w:rsidR="007B0020">
        <w:rPr>
          <w:rFonts w:ascii="楷体" w:eastAsia="楷体" w:hAnsi="楷体" w:cs="楷体"/>
          <w:sz w:val="21"/>
          <w:szCs w:val="18"/>
        </w:rPr>
        <w:t>。</w:t>
      </w:r>
    </w:p>
    <w:p w:rsidR="00C1769E" w:rsidRDefault="007B0020" w:rsidP="007B0020">
      <w:pPr>
        <w:pStyle w:val="a8"/>
        <w:widowControl w:val="0"/>
        <w:numPr>
          <w:ilvl w:val="0"/>
          <w:numId w:val="29"/>
        </w:numPr>
        <w:overflowPunct w:val="0"/>
        <w:topLinePunct/>
        <w:autoSpaceDE w:val="0"/>
        <w:autoSpaceDN w:val="0"/>
        <w:spacing w:before="0" w:beforeAutospacing="0" w:after="0" w:afterAutospacing="0" w:line="400" w:lineRule="exact"/>
        <w:rPr>
          <w:rFonts w:ascii="楷体" w:eastAsia="楷体" w:hAnsi="楷体" w:cs="楷体"/>
          <w:b/>
          <w:sz w:val="22"/>
          <w:szCs w:val="18"/>
        </w:rPr>
      </w:pPr>
      <w:r>
        <w:rPr>
          <w:rFonts w:ascii="楷体" w:eastAsia="楷体" w:hAnsi="楷体" w:cs="楷体" w:hint="eastAsia"/>
          <w:b/>
          <w:kern w:val="2"/>
          <w:sz w:val="22"/>
          <w:szCs w:val="18"/>
          <w:lang w:bidi="ar"/>
        </w:rPr>
        <w:lastRenderedPageBreak/>
        <w:t>对于可能导致单一投资者累计持有本理财产品份额超过总份额</w:t>
      </w:r>
      <w:r>
        <w:rPr>
          <w:rFonts w:ascii="楷体" w:eastAsia="楷体" w:hAnsi="楷体" w:cs="楷体"/>
          <w:b/>
          <w:kern w:val="2"/>
          <w:sz w:val="22"/>
          <w:szCs w:val="18"/>
          <w:lang w:bidi="ar"/>
        </w:rPr>
        <w:t>50%的申购申请，产品管理人或销售机构应拒绝接受或部分接受，确保单一投资者持有份额不超过总份额50%。</w:t>
      </w:r>
    </w:p>
    <w:p w:rsidR="00C1769E" w:rsidRDefault="007B0020" w:rsidP="007B0020">
      <w:pPr>
        <w:pStyle w:val="a8"/>
        <w:widowControl w:val="0"/>
        <w:numPr>
          <w:ilvl w:val="0"/>
          <w:numId w:val="29"/>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在不触动巨额赎回限制的前提下，投资者可选择全部或部分赎回，部分赎回后投资者持有本理财产品</w:t>
      </w:r>
      <w:r w:rsidR="0090394A">
        <w:rPr>
          <w:rFonts w:ascii="楷体" w:eastAsia="楷体" w:hAnsi="楷体" w:cs="楷体" w:hint="eastAsia"/>
          <w:sz w:val="21"/>
          <w:szCs w:val="18"/>
        </w:rPr>
        <w:t>C</w:t>
      </w:r>
      <w:r w:rsidR="00076767">
        <w:rPr>
          <w:rFonts w:ascii="楷体" w:eastAsia="楷体" w:hAnsi="楷体" w:cs="楷体" w:hint="eastAsia"/>
          <w:sz w:val="21"/>
          <w:szCs w:val="18"/>
        </w:rPr>
        <w:t>、E</w:t>
      </w:r>
      <w:r>
        <w:rPr>
          <w:rFonts w:ascii="楷体" w:eastAsia="楷体" w:hAnsi="楷体" w:cs="楷体"/>
          <w:sz w:val="21"/>
          <w:szCs w:val="18"/>
        </w:rPr>
        <w:t>份额的实时剩余份额不得低于0.01份，对于实时剩余份额低于0.01份的部分赎回申请，产品管理人有权为投资者办理强制性全部赎回。</w:t>
      </w:r>
    </w:p>
    <w:p w:rsidR="00C1769E" w:rsidRDefault="007B0020" w:rsidP="007B0020">
      <w:pPr>
        <w:pStyle w:val="a8"/>
        <w:widowControl w:val="0"/>
        <w:numPr>
          <w:ilvl w:val="0"/>
          <w:numId w:val="29"/>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单一投资者累计持有本理财产品</w:t>
      </w:r>
      <w:r w:rsidR="0090394A">
        <w:rPr>
          <w:rFonts w:ascii="楷体" w:eastAsia="楷体" w:hAnsi="楷体" w:cs="楷体" w:hint="eastAsia"/>
          <w:sz w:val="21"/>
          <w:szCs w:val="18"/>
        </w:rPr>
        <w:t>C</w:t>
      </w:r>
      <w:r>
        <w:rPr>
          <w:rFonts w:ascii="楷体" w:eastAsia="楷体" w:hAnsi="楷体" w:cs="楷体" w:hint="eastAsia"/>
          <w:sz w:val="21"/>
          <w:szCs w:val="18"/>
        </w:rPr>
        <w:t>份额的金额上限为【</w:t>
      </w:r>
      <w:r>
        <w:rPr>
          <w:rFonts w:ascii="楷体" w:eastAsia="楷体" w:hAnsi="楷体" w:cs="楷体"/>
          <w:sz w:val="21"/>
          <w:szCs w:val="18"/>
        </w:rPr>
        <w:t>1】</w:t>
      </w:r>
      <w:r>
        <w:rPr>
          <w:rFonts w:ascii="楷体" w:eastAsia="楷体" w:hAnsi="楷体" w:cs="楷体" w:hint="eastAsia"/>
          <w:sz w:val="21"/>
          <w:szCs w:val="18"/>
        </w:rPr>
        <w:t>亿</w:t>
      </w:r>
      <w:r>
        <w:rPr>
          <w:rFonts w:ascii="楷体" w:eastAsia="楷体" w:hAnsi="楷体" w:cs="楷体"/>
          <w:sz w:val="21"/>
          <w:szCs w:val="18"/>
        </w:rPr>
        <w:t>元人民币</w:t>
      </w:r>
      <w:r w:rsidR="00076767">
        <w:rPr>
          <w:rFonts w:ascii="楷体" w:eastAsia="楷体" w:hAnsi="楷体" w:cs="楷体" w:hint="eastAsia"/>
          <w:sz w:val="21"/>
          <w:szCs w:val="18"/>
        </w:rPr>
        <w:t>，单一投资者累计持有本理财产品E份额的金额上限为【1】亿元人民币</w:t>
      </w:r>
      <w:r>
        <w:rPr>
          <w:rFonts w:ascii="楷体" w:eastAsia="楷体" w:hAnsi="楷体" w:cs="楷体" w:hint="eastAsia"/>
          <w:sz w:val="21"/>
          <w:szCs w:val="18"/>
        </w:rPr>
        <w:t>，</w:t>
      </w:r>
      <w:r>
        <w:rPr>
          <w:rFonts w:ascii="楷体" w:eastAsia="楷体" w:hAnsi="楷体" w:cs="楷体"/>
          <w:sz w:val="21"/>
          <w:szCs w:val="18"/>
        </w:rPr>
        <w:t>对于可能导致单一投资者</w:t>
      </w:r>
      <w:r>
        <w:rPr>
          <w:rFonts w:ascii="楷体" w:eastAsia="楷体" w:hAnsi="楷体" w:cs="楷体" w:hint="eastAsia"/>
          <w:sz w:val="21"/>
          <w:szCs w:val="18"/>
        </w:rPr>
        <w:t>累计持有本理财产品金额超过上限的申购申请，产品管理人或销售机构有权拒绝接受，但投资者已持有的产品份额不受影响。</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暂停申购的情形</w:t>
      </w:r>
    </w:p>
    <w:p w:rsidR="00C1769E" w:rsidRDefault="007B0020">
      <w:pPr>
        <w:pStyle w:val="a8"/>
        <w:widowControl w:val="0"/>
        <w:overflowPunct w:val="0"/>
        <w:topLinePunct/>
        <w:autoSpaceDE w:val="0"/>
        <w:autoSpaceDN w:val="0"/>
        <w:spacing w:before="0" w:beforeAutospacing="0" w:after="0" w:afterAutospacing="0" w:line="400" w:lineRule="exact"/>
        <w:ind w:left="420" w:rightChars="32" w:right="67"/>
        <w:rPr>
          <w:rFonts w:ascii="楷体" w:eastAsia="楷体" w:hAnsi="楷体" w:cs="楷体"/>
          <w:sz w:val="21"/>
          <w:szCs w:val="18"/>
        </w:rPr>
      </w:pPr>
      <w:r>
        <w:rPr>
          <w:rFonts w:ascii="楷体" w:eastAsia="楷体" w:hAnsi="楷体" w:cs="楷体" w:hint="eastAsia"/>
          <w:sz w:val="21"/>
          <w:szCs w:val="18"/>
        </w:rPr>
        <w:t>发生下列情形时，产品管理人可拒绝或暂停接受投资人的申购申请：</w:t>
      </w:r>
    </w:p>
    <w:p w:rsidR="00C1769E" w:rsidRDefault="007B0020" w:rsidP="007B0020">
      <w:pPr>
        <w:pStyle w:val="a8"/>
        <w:widowControl w:val="0"/>
        <w:numPr>
          <w:ilvl w:val="0"/>
          <w:numId w:val="30"/>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因不可抗力导致理财无法正常运作；</w:t>
      </w:r>
    </w:p>
    <w:p w:rsidR="00C1769E" w:rsidRDefault="007B0020" w:rsidP="007B0020">
      <w:pPr>
        <w:pStyle w:val="a8"/>
        <w:widowControl w:val="0"/>
        <w:numPr>
          <w:ilvl w:val="0"/>
          <w:numId w:val="30"/>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发生暂停理财资产估值情况时；</w:t>
      </w:r>
    </w:p>
    <w:p w:rsidR="00C1769E" w:rsidRDefault="007B0020" w:rsidP="007B0020">
      <w:pPr>
        <w:pStyle w:val="a8"/>
        <w:widowControl w:val="0"/>
        <w:numPr>
          <w:ilvl w:val="0"/>
          <w:numId w:val="30"/>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当产品申购金额将导致产品规模大幅波动，为保护投资者利益时；</w:t>
      </w:r>
    </w:p>
    <w:p w:rsidR="00C1769E" w:rsidRDefault="007B0020" w:rsidP="007B0020">
      <w:pPr>
        <w:pStyle w:val="a8"/>
        <w:widowControl w:val="0"/>
        <w:numPr>
          <w:ilvl w:val="0"/>
          <w:numId w:val="30"/>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理财产品任一开放日，当本理财产品实时份额超过理财产品规模上限时；</w:t>
      </w:r>
    </w:p>
    <w:p w:rsidR="00C1769E" w:rsidRDefault="007B0020" w:rsidP="007B0020">
      <w:pPr>
        <w:pStyle w:val="a8"/>
        <w:widowControl w:val="0"/>
        <w:numPr>
          <w:ilvl w:val="0"/>
          <w:numId w:val="30"/>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当影子定价确定的理财产品资产净值与摊余成本法计算的理财产品资产净值正偏离度绝对值达到</w:t>
      </w:r>
      <w:r>
        <w:rPr>
          <w:rFonts w:ascii="楷体" w:eastAsia="楷体" w:hAnsi="楷体" w:cs="楷体"/>
          <w:sz w:val="21"/>
          <w:szCs w:val="18"/>
        </w:rPr>
        <w:t>0.5%时，产品管理人应当暂停接受申购申请。</w:t>
      </w:r>
    </w:p>
    <w:p w:rsidR="00C1769E" w:rsidRDefault="007B0020">
      <w:pPr>
        <w:pStyle w:val="a8"/>
        <w:widowControl w:val="0"/>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发生上述</w:t>
      </w:r>
      <w:r>
        <w:rPr>
          <w:rFonts w:ascii="楷体" w:eastAsia="楷体" w:hAnsi="楷体" w:cs="楷体"/>
          <w:sz w:val="21"/>
          <w:szCs w:val="18"/>
        </w:rPr>
        <w:t>情形之一且理财产品管理人决定暂停接受申购申请时，理财产品管理人应当在3个工作日内通过相应信息披露渠道进行披露，并说明运用相关措施的原因、拟采取的应对安排等。</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暂停赎回或延缓支付赎回款项的情形</w:t>
      </w:r>
    </w:p>
    <w:p w:rsidR="00C1769E" w:rsidRDefault="007B0020">
      <w:pPr>
        <w:pStyle w:val="a8"/>
        <w:widowControl w:val="0"/>
        <w:overflowPunct w:val="0"/>
        <w:topLinePunct/>
        <w:autoSpaceDE w:val="0"/>
        <w:autoSpaceDN w:val="0"/>
        <w:spacing w:before="0" w:beforeAutospacing="0" w:after="0" w:afterAutospacing="0" w:line="400" w:lineRule="exact"/>
        <w:ind w:left="420" w:rightChars="32" w:right="67"/>
        <w:rPr>
          <w:rFonts w:ascii="楷体" w:eastAsia="楷体" w:hAnsi="楷体" w:cs="楷体"/>
          <w:sz w:val="21"/>
          <w:szCs w:val="18"/>
        </w:rPr>
      </w:pPr>
      <w:r>
        <w:rPr>
          <w:rFonts w:ascii="楷体" w:eastAsia="楷体" w:hAnsi="楷体" w:cs="楷体" w:hint="eastAsia"/>
          <w:sz w:val="21"/>
          <w:szCs w:val="18"/>
        </w:rPr>
        <w:t>发生下列情形时，产品管理人可暂停接受客户的赎回申请或延缓支付赎回款项：</w:t>
      </w:r>
    </w:p>
    <w:p w:rsidR="00C1769E" w:rsidRDefault="007B0020" w:rsidP="007B0020">
      <w:pPr>
        <w:pStyle w:val="a8"/>
        <w:widowControl w:val="0"/>
        <w:numPr>
          <w:ilvl w:val="0"/>
          <w:numId w:val="31"/>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因不可抗力导致产品管理人不能支付赎回款项；</w:t>
      </w:r>
    </w:p>
    <w:p w:rsidR="00C1769E" w:rsidRDefault="007B0020" w:rsidP="007B0020">
      <w:pPr>
        <w:pStyle w:val="a8"/>
        <w:widowControl w:val="0"/>
        <w:numPr>
          <w:ilvl w:val="0"/>
          <w:numId w:val="31"/>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发生暂停理财资产估值情况时；</w:t>
      </w:r>
    </w:p>
    <w:p w:rsidR="00C1769E" w:rsidRDefault="007B0020" w:rsidP="007B0020">
      <w:pPr>
        <w:pStyle w:val="a8"/>
        <w:widowControl w:val="0"/>
        <w:numPr>
          <w:ilvl w:val="0"/>
          <w:numId w:val="31"/>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证券交易所或银行间市场出现异常，导致市场发生系统性风险时；</w:t>
      </w:r>
    </w:p>
    <w:p w:rsidR="00C1769E" w:rsidRDefault="007B0020" w:rsidP="007B0020">
      <w:pPr>
        <w:pStyle w:val="a8"/>
        <w:widowControl w:val="0"/>
        <w:numPr>
          <w:ilvl w:val="0"/>
          <w:numId w:val="31"/>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连续</w:t>
      </w:r>
      <w:r>
        <w:rPr>
          <w:rFonts w:ascii="楷体" w:eastAsia="楷体" w:hAnsi="楷体" w:cs="楷体"/>
          <w:sz w:val="21"/>
          <w:szCs w:val="18"/>
        </w:rPr>
        <w:t>2个以上工作日触动巨额赎回限制时；</w:t>
      </w:r>
    </w:p>
    <w:p w:rsidR="00C1769E" w:rsidRDefault="007B0020" w:rsidP="007B0020">
      <w:pPr>
        <w:pStyle w:val="a8"/>
        <w:widowControl w:val="0"/>
        <w:numPr>
          <w:ilvl w:val="0"/>
          <w:numId w:val="31"/>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单个份额持有人在单个开放日申请赎回理财产品份额超过本理财产品总份额【</w:t>
      </w:r>
      <w:r>
        <w:rPr>
          <w:rFonts w:ascii="楷体" w:eastAsia="楷体" w:hAnsi="楷体" w:cs="楷体"/>
          <w:sz w:val="21"/>
          <w:szCs w:val="18"/>
        </w:rPr>
        <w:t>10%】时；</w:t>
      </w:r>
    </w:p>
    <w:p w:rsidR="00C1769E" w:rsidRDefault="007B0020" w:rsidP="007B0020">
      <w:pPr>
        <w:pStyle w:val="a8"/>
        <w:widowControl w:val="0"/>
        <w:numPr>
          <w:ilvl w:val="0"/>
          <w:numId w:val="31"/>
        </w:numPr>
        <w:overflowPunct w:val="0"/>
        <w:topLinePunct/>
        <w:autoSpaceDE w:val="0"/>
        <w:autoSpaceDN w:val="0"/>
        <w:spacing w:before="0" w:beforeAutospacing="0" w:after="0" w:afterAutospacing="0" w:line="400" w:lineRule="exact"/>
        <w:ind w:rightChars="32" w:right="67" w:firstLineChars="200" w:firstLine="420"/>
        <w:rPr>
          <w:rFonts w:ascii="楷体" w:eastAsia="楷体" w:hAnsi="楷体" w:cs="楷体"/>
          <w:sz w:val="21"/>
          <w:szCs w:val="18"/>
        </w:rPr>
      </w:pPr>
      <w:r>
        <w:rPr>
          <w:rFonts w:ascii="楷体" w:eastAsia="楷体" w:hAnsi="楷体" w:cs="楷体" w:hint="eastAsia"/>
          <w:sz w:val="21"/>
          <w:szCs w:val="18"/>
        </w:rPr>
        <w:t>当负偏离度绝对值连续两个交易日超过</w:t>
      </w:r>
      <w:r>
        <w:rPr>
          <w:rFonts w:ascii="楷体" w:eastAsia="楷体" w:hAnsi="楷体" w:cs="楷体"/>
          <w:sz w:val="21"/>
          <w:szCs w:val="18"/>
        </w:rPr>
        <w:t>0.5%时。</w:t>
      </w:r>
    </w:p>
    <w:p w:rsidR="00C1769E" w:rsidRDefault="007B0020">
      <w:pPr>
        <w:topLinePunct/>
        <w:spacing w:line="400" w:lineRule="exact"/>
        <w:ind w:rightChars="32" w:right="67" w:firstLine="420"/>
        <w:rPr>
          <w:rFonts w:ascii="楷体" w:eastAsia="楷体" w:hAnsi="楷体" w:cs="楷体"/>
          <w:kern w:val="0"/>
          <w:szCs w:val="18"/>
          <w:lang w:bidi="ar"/>
        </w:rPr>
      </w:pPr>
      <w:r>
        <w:rPr>
          <w:rFonts w:ascii="楷体" w:eastAsia="楷体" w:hAnsi="楷体" w:cs="楷体" w:hint="eastAsia"/>
          <w:kern w:val="0"/>
          <w:szCs w:val="18"/>
        </w:rPr>
        <w:t>发生上述</w:t>
      </w:r>
      <w:r>
        <w:rPr>
          <w:rFonts w:ascii="楷体" w:eastAsia="楷体" w:hAnsi="楷体" w:cs="楷体"/>
          <w:kern w:val="0"/>
          <w:szCs w:val="18"/>
        </w:rPr>
        <w:t>情形之一且理财产品管理人决定暂停接受赎回申请或延缓支付赎回款项时，理财产品管理人应当在3个工作日内通过相应信息披露渠道进行披露，并说明运用相关措施的原因、拟采取的应对安排等，且延缓期限不得超过20个工作日。已确认的赎回申请，理财产品管理人应足额支付；如暂时不能足额支付，应将可支付部分按单个账户申请量占</w:t>
      </w:r>
      <w:r>
        <w:rPr>
          <w:rFonts w:ascii="楷体" w:eastAsia="楷体" w:hAnsi="楷体" w:cs="楷体"/>
          <w:kern w:val="0"/>
          <w:szCs w:val="18"/>
        </w:rPr>
        <w:lastRenderedPageBreak/>
        <w:t>申请总量的比例分配给赎回申请人，未支付部分可延期支付。在开放日内，当暂停赎回或延缓支付赎回款项的情况消除时，产品管理人将及时恢复赎回或支付业务赎回款项的办理</w:t>
      </w:r>
      <w:r>
        <w:rPr>
          <w:rFonts w:ascii="楷体" w:eastAsia="楷体" w:hAnsi="楷体" w:cs="楷体" w:hint="eastAsia"/>
          <w:kern w:val="0"/>
          <w:szCs w:val="18"/>
          <w:lang w:bidi="ar"/>
        </w:rPr>
        <w:t>。</w:t>
      </w:r>
    </w:p>
    <w:p w:rsidR="00C1769E" w:rsidRDefault="007B0020">
      <w:pPr>
        <w:topLinePunct/>
        <w:spacing w:line="400" w:lineRule="exact"/>
        <w:ind w:rightChars="32" w:right="67" w:firstLine="420"/>
        <w:rPr>
          <w:rFonts w:ascii="楷体" w:eastAsia="楷体" w:hAnsi="楷体" w:cs="楷体"/>
          <w:kern w:val="0"/>
          <w:szCs w:val="18"/>
        </w:rPr>
      </w:pPr>
      <w:r>
        <w:rPr>
          <w:rFonts w:ascii="楷体" w:eastAsia="楷体" w:hAnsi="楷体" w:cs="楷体" w:hint="eastAsia"/>
          <w:kern w:val="0"/>
          <w:szCs w:val="18"/>
        </w:rPr>
        <w:t>其中，第</w:t>
      </w:r>
      <w:r>
        <w:rPr>
          <w:rFonts w:ascii="楷体" w:eastAsia="楷体" w:hAnsi="楷体" w:cs="楷体"/>
          <w:kern w:val="0"/>
          <w:szCs w:val="18"/>
        </w:rPr>
        <w:t>5项的暂停赎回或延缓支付赎回款项仅针对触发该情形的份额持有人。</w:t>
      </w:r>
    </w:p>
    <w:p w:rsidR="00C1769E" w:rsidRDefault="007B0020">
      <w:pPr>
        <w:widowControl/>
        <w:topLinePunct/>
        <w:spacing w:line="400" w:lineRule="exact"/>
        <w:ind w:firstLineChars="200" w:firstLine="420"/>
        <w:rPr>
          <w:rFonts w:ascii="楷体" w:eastAsia="楷体" w:hAnsi="楷体" w:cs="楷体"/>
          <w:szCs w:val="18"/>
        </w:rPr>
      </w:pPr>
      <w:r>
        <w:rPr>
          <w:rFonts w:ascii="楷体" w:eastAsia="楷体" w:hAnsi="楷体" w:cs="楷体" w:hint="eastAsia"/>
          <w:szCs w:val="21"/>
          <w:lang w:bidi="ar"/>
        </w:rPr>
        <w:t>本理财产品不承诺保证本金和投资收益。如本理财产品发生因交易对手、投资标的等未按时足额支付本金及</w:t>
      </w:r>
      <w:r>
        <w:rPr>
          <w:rFonts w:ascii="楷体" w:eastAsia="楷体" w:hAnsi="楷体" w:cs="楷体"/>
          <w:szCs w:val="21"/>
          <w:lang w:bidi="ar"/>
        </w:rPr>
        <w:t>/或收益等情形，造成本理财产品的基础资产无法及时、足额变现，理财产品管理人可以根据实际情况选择向投资者延迟支付或分次支付，出现极端情况时，</w:t>
      </w:r>
      <w:bookmarkStart w:id="1" w:name="_Hlk103015167"/>
      <w:r>
        <w:rPr>
          <w:rFonts w:ascii="楷体" w:eastAsia="楷体" w:hAnsi="楷体" w:cs="楷体" w:hint="eastAsia"/>
          <w:bCs/>
          <w:szCs w:val="18"/>
        </w:rPr>
        <w:t>本理财产品收益可能为零，本金全部损失</w:t>
      </w:r>
      <w:bookmarkEnd w:id="1"/>
      <w:r>
        <w:rPr>
          <w:rFonts w:ascii="楷体" w:eastAsia="楷体" w:hAnsi="楷体" w:cs="楷体" w:hint="eastAsia"/>
          <w:szCs w:val="21"/>
          <w:lang w:bidi="ar"/>
        </w:rPr>
        <w:t>。产品管理人将于发生上述情形后的</w:t>
      </w:r>
      <w:r>
        <w:rPr>
          <w:rFonts w:ascii="楷体" w:eastAsia="楷体" w:hAnsi="楷体" w:cs="楷体"/>
          <w:szCs w:val="21"/>
          <w:lang w:bidi="ar"/>
        </w:rPr>
        <w:t>2个工作日内通过相应信息披露渠道进行披露。</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自产品管理人宣布提前终止本理财产品之日起，不再接受投资者的申购或赎回申请。</w:t>
      </w:r>
    </w:p>
    <w:p w:rsidR="00C1769E" w:rsidRDefault="007B0020" w:rsidP="007B0020">
      <w:pPr>
        <w:pStyle w:val="a8"/>
        <w:widowControl w:val="0"/>
        <w:numPr>
          <w:ilvl w:val="0"/>
          <w:numId w:val="2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申购资金来源限制：投资者不得使用贷款、发行债券等筹集的非自有资金投资本理财产品。</w:t>
      </w:r>
    </w:p>
    <w:p w:rsidR="00C1769E" w:rsidRDefault="00C1769E">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提前终止</w:t>
      </w:r>
    </w:p>
    <w:p w:rsidR="00C1769E" w:rsidRDefault="007B0020" w:rsidP="007B0020">
      <w:pPr>
        <w:pStyle w:val="a8"/>
        <w:widowControl w:val="0"/>
        <w:numPr>
          <w:ilvl w:val="0"/>
          <w:numId w:val="32"/>
        </w:numPr>
        <w:overflowPunct w:val="0"/>
        <w:topLinePunct/>
        <w:autoSpaceDE w:val="0"/>
        <w:autoSpaceDN w:val="0"/>
        <w:spacing w:before="0" w:beforeAutospacing="0" w:after="0" w:afterAutospacing="0" w:line="400" w:lineRule="exact"/>
        <w:rPr>
          <w:rFonts w:ascii="楷体" w:eastAsia="楷体" w:hAnsi="楷体" w:cs="楷体"/>
          <w:sz w:val="21"/>
          <w:szCs w:val="21"/>
        </w:rPr>
      </w:pPr>
      <w:r>
        <w:rPr>
          <w:rFonts w:ascii="楷体" w:eastAsia="楷体" w:hAnsi="楷体" w:cs="楷体" w:hint="eastAsia"/>
          <w:sz w:val="21"/>
          <w:szCs w:val="21"/>
        </w:rPr>
        <w:t>本理财产品存续期内，投资者无权单方面主动决定终止本理财产品。为保护投资者利益，理财产品管理人有权按照本理财产品资金运作的实际情况，主动终止本理财产品。如理财产品管理人需要提前终止本理财产品，将至少提前【</w:t>
      </w:r>
      <w:r>
        <w:rPr>
          <w:rFonts w:ascii="楷体" w:eastAsia="楷体" w:hAnsi="楷体" w:cs="楷体"/>
          <w:sz w:val="21"/>
          <w:szCs w:val="21"/>
        </w:rPr>
        <w:t>3】个工作日（含）予以公告。</w:t>
      </w:r>
    </w:p>
    <w:p w:rsidR="00C1769E" w:rsidRDefault="007B0020" w:rsidP="007B0020">
      <w:pPr>
        <w:pStyle w:val="a8"/>
        <w:widowControl w:val="0"/>
        <w:numPr>
          <w:ilvl w:val="0"/>
          <w:numId w:val="32"/>
        </w:numPr>
        <w:overflowPunct w:val="0"/>
        <w:topLinePunct/>
        <w:autoSpaceDE w:val="0"/>
        <w:autoSpaceDN w:val="0"/>
        <w:spacing w:before="0" w:beforeAutospacing="0" w:after="0" w:afterAutospacing="0" w:line="400" w:lineRule="exact"/>
        <w:rPr>
          <w:rFonts w:ascii="楷体" w:eastAsia="楷体" w:hAnsi="楷体" w:cs="楷体"/>
          <w:sz w:val="21"/>
          <w:szCs w:val="21"/>
        </w:rPr>
      </w:pPr>
      <w:r>
        <w:rPr>
          <w:rFonts w:ascii="楷体" w:eastAsia="楷体" w:hAnsi="楷体" w:cs="楷体" w:hint="eastAsia"/>
          <w:sz w:val="21"/>
          <w:szCs w:val="21"/>
        </w:rPr>
        <w:t>理财产品管理人提前终止本理财产品的原因包括但不限于：</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因不可抗力原因导致理财产品无法继续运作。</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遇有市场出现剧烈波动、异常风险事件等情形导致理财产品收益出现大幅波动或严重影响理财产品的资产安全。</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因投资者理财资金被有权机关扣划等原因导致理财产品剩余资产无法满足相关法律法规规定、所投资市场要求或协议等相关法律文件约定，或者继续存续无法实现投资目标。</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因相关投资管理机构解散、破产、撤销、被取消业务资格等原因无法继续履行相应职责导致产品无法继续运作。</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相关投资管理机构或运用理财资金的第三方主体实施符合法律法规规定或协议等相关文件约定的行为导致理财产品被动提前终止。</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因法律法规变化或国家金融政策调整、紧急措施出台影响产品继续正常运作。</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提前终止产品比维持产品运作更有利于保护产品持有人的权益。</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本理财产品资产净值低于【</w:t>
      </w:r>
      <w:r>
        <w:rPr>
          <w:rFonts w:ascii="楷体" w:eastAsia="楷体" w:hAnsi="楷体" w:cs="楷体"/>
          <w:sz w:val="21"/>
          <w:szCs w:val="21"/>
        </w:rPr>
        <w:t>1亿】元时，产品管理人有权提前终止本产品。</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本理财产品负偏离度绝对值连续两个交易日超过</w:t>
      </w:r>
      <w:r>
        <w:rPr>
          <w:rFonts w:ascii="楷体" w:eastAsia="楷体" w:hAnsi="楷体" w:cs="楷体"/>
          <w:sz w:val="21"/>
          <w:szCs w:val="21"/>
        </w:rPr>
        <w:t>0.5%时。</w:t>
      </w:r>
    </w:p>
    <w:p w:rsidR="00C1769E" w:rsidRDefault="007B0020" w:rsidP="007B0020">
      <w:pPr>
        <w:pStyle w:val="a8"/>
        <w:widowControl w:val="0"/>
        <w:numPr>
          <w:ilvl w:val="0"/>
          <w:numId w:val="33"/>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法律法规规定或监管部门认定的其他情形。</w:t>
      </w:r>
    </w:p>
    <w:p w:rsidR="00C1769E" w:rsidRDefault="007B0020" w:rsidP="007B0020">
      <w:pPr>
        <w:pStyle w:val="a8"/>
        <w:widowControl w:val="0"/>
        <w:numPr>
          <w:ilvl w:val="0"/>
          <w:numId w:val="32"/>
        </w:numPr>
        <w:overflowPunct w:val="0"/>
        <w:topLinePunct/>
        <w:autoSpaceDE w:val="0"/>
        <w:autoSpaceDN w:val="0"/>
        <w:spacing w:before="0" w:beforeAutospacing="0" w:after="0" w:afterAutospacing="0" w:line="400" w:lineRule="exact"/>
        <w:rPr>
          <w:rFonts w:ascii="楷体" w:eastAsia="楷体" w:hAnsi="楷体" w:cs="楷体"/>
          <w:sz w:val="21"/>
          <w:szCs w:val="21"/>
        </w:rPr>
      </w:pPr>
      <w:r>
        <w:rPr>
          <w:rFonts w:ascii="楷体" w:eastAsia="楷体" w:hAnsi="楷体" w:cs="楷体" w:hint="eastAsia"/>
          <w:sz w:val="21"/>
          <w:szCs w:val="21"/>
        </w:rPr>
        <w:lastRenderedPageBreak/>
        <w:t>如理财产品管理人提前终止本理财产品，将至少提前【</w:t>
      </w:r>
      <w:r>
        <w:rPr>
          <w:rFonts w:ascii="楷体" w:eastAsia="楷体" w:hAnsi="楷体" w:cs="楷体"/>
          <w:sz w:val="21"/>
          <w:szCs w:val="21"/>
        </w:rPr>
        <w:t>3】个工作日（含）通过相应信息披露渠道予以披露，将理财产品资产变现，并在变现完成后【10】个工作日内将变现后资金根据本理财产品说明书的规定分配，划入销售机构指定资金账户。提前终止日至资金实际到账日期间不计息。</w:t>
      </w:r>
    </w:p>
    <w:p w:rsidR="00C1769E" w:rsidRDefault="007B0020" w:rsidP="007B0020">
      <w:pPr>
        <w:pStyle w:val="a8"/>
        <w:widowControl w:val="0"/>
        <w:numPr>
          <w:ilvl w:val="0"/>
          <w:numId w:val="32"/>
        </w:numPr>
        <w:overflowPunct w:val="0"/>
        <w:topLinePunct/>
        <w:autoSpaceDE w:val="0"/>
        <w:autoSpaceDN w:val="0"/>
        <w:spacing w:before="0" w:beforeAutospacing="0" w:after="0" w:afterAutospacing="0" w:line="400" w:lineRule="exact"/>
        <w:rPr>
          <w:rFonts w:ascii="楷体" w:eastAsia="楷体" w:hAnsi="楷体" w:cs="楷体"/>
          <w:sz w:val="21"/>
          <w:szCs w:val="21"/>
        </w:rPr>
      </w:pPr>
      <w:r>
        <w:rPr>
          <w:rFonts w:ascii="楷体" w:eastAsia="楷体" w:hAnsi="楷体" w:cs="楷体" w:hint="eastAsia"/>
          <w:sz w:val="21"/>
          <w:szCs w:val="21"/>
        </w:rPr>
        <w:t>如理财产品管理人提前终止本理财产品，管理费、销售服务费、托管费依照</w:t>
      </w:r>
      <w:r>
        <w:rPr>
          <w:rFonts w:ascii="楷体" w:eastAsia="楷体" w:hAnsi="楷体" w:cs="楷体" w:hint="eastAsia"/>
          <w:sz w:val="21"/>
          <w:szCs w:val="18"/>
        </w:rPr>
        <w:t>本理财产品说明书</w:t>
      </w:r>
      <w:r>
        <w:rPr>
          <w:rFonts w:ascii="楷体" w:eastAsia="楷体" w:hAnsi="楷体" w:cs="楷体" w:hint="eastAsia"/>
          <w:sz w:val="21"/>
          <w:szCs w:val="21"/>
        </w:rPr>
        <w:t>“</w:t>
      </w:r>
      <w:r>
        <w:rPr>
          <w:rFonts w:ascii="楷体" w:eastAsia="楷体" w:hAnsi="楷体" w:cs="楷体"/>
          <w:sz w:val="21"/>
          <w:szCs w:val="21"/>
        </w:rPr>
        <w:t>五</w:t>
      </w:r>
      <w:r>
        <w:rPr>
          <w:rFonts w:ascii="楷体" w:eastAsia="楷体" w:hAnsi="楷体" w:cs="楷体" w:hint="eastAsia"/>
          <w:sz w:val="21"/>
          <w:szCs w:val="21"/>
        </w:rPr>
        <w:t>、理财产品费用”部分的约定计算和支付。</w:t>
      </w:r>
    </w:p>
    <w:p w:rsidR="00C1769E" w:rsidRDefault="00C1769E">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sz w:val="21"/>
          <w:szCs w:val="18"/>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理财产品收益分配</w:t>
      </w:r>
    </w:p>
    <w:p w:rsidR="00C1769E" w:rsidRDefault="007B0020" w:rsidP="007B0020">
      <w:pPr>
        <w:pStyle w:val="a8"/>
        <w:widowControl w:val="0"/>
        <w:numPr>
          <w:ilvl w:val="0"/>
          <w:numId w:val="34"/>
        </w:numPr>
        <w:overflowPunct w:val="0"/>
        <w:topLinePunct/>
        <w:autoSpaceDE w:val="0"/>
        <w:autoSpaceDN w:val="0"/>
        <w:spacing w:before="0" w:beforeAutospacing="0" w:after="0" w:afterAutospacing="0" w:line="400" w:lineRule="exact"/>
        <w:rPr>
          <w:rFonts w:ascii="楷体" w:eastAsia="楷体" w:hAnsi="楷体" w:cs="楷体"/>
          <w:b/>
          <w:sz w:val="21"/>
          <w:szCs w:val="18"/>
        </w:rPr>
      </w:pPr>
      <w:r>
        <w:rPr>
          <w:rFonts w:ascii="楷体" w:eastAsia="楷体" w:hAnsi="楷体" w:cs="楷体" w:hint="eastAsia"/>
          <w:b/>
          <w:sz w:val="21"/>
          <w:szCs w:val="18"/>
        </w:rPr>
        <w:t>收益分配原则</w:t>
      </w:r>
    </w:p>
    <w:p w:rsidR="00C1769E" w:rsidRDefault="007B0020" w:rsidP="007B0020">
      <w:pPr>
        <w:pStyle w:val="a8"/>
        <w:widowControl w:val="0"/>
        <w:numPr>
          <w:ilvl w:val="0"/>
          <w:numId w:val="35"/>
        </w:numPr>
        <w:overflowPunct w:val="0"/>
        <w:topLinePunct/>
        <w:autoSpaceDE w:val="0"/>
        <w:autoSpaceDN w:val="0"/>
        <w:spacing w:before="0" w:beforeAutospacing="0" w:after="0" w:afterAutospacing="0" w:line="400" w:lineRule="exact"/>
        <w:rPr>
          <w:rFonts w:ascii="楷体" w:eastAsia="楷体" w:hAnsi="楷体" w:cs="楷体"/>
          <w:b/>
          <w:color w:val="FF0000"/>
          <w:sz w:val="21"/>
          <w:szCs w:val="21"/>
        </w:rPr>
      </w:pPr>
      <w:r>
        <w:rPr>
          <w:rFonts w:ascii="楷体" w:eastAsia="楷体" w:hAnsi="楷体" w:cs="楷体" w:hint="eastAsia"/>
          <w:b/>
          <w:sz w:val="21"/>
          <w:szCs w:val="21"/>
        </w:rPr>
        <w:t>产品收益分配采用红利再投资方式，免收再投资的费用；</w:t>
      </w:r>
    </w:p>
    <w:p w:rsidR="00C1769E" w:rsidRDefault="007B0020" w:rsidP="007B0020">
      <w:pPr>
        <w:pStyle w:val="a8"/>
        <w:widowControl w:val="0"/>
        <w:numPr>
          <w:ilvl w:val="0"/>
          <w:numId w:val="35"/>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每一产品份额享有同等分配权；</w:t>
      </w:r>
    </w:p>
    <w:p w:rsidR="00C1769E" w:rsidRDefault="007B0020" w:rsidP="007B0020">
      <w:pPr>
        <w:pStyle w:val="a8"/>
        <w:widowControl w:val="0"/>
        <w:numPr>
          <w:ilvl w:val="0"/>
          <w:numId w:val="35"/>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“每日分配、按日支付”。本理财产品根据每日产品收益情况，以每万份产品已实现收益（以下简称“万份收益”）为基准，为投资者每日计算当日收益并分配，且每日进行支付。万份收益计算方法详见</w:t>
      </w:r>
      <w:r>
        <w:rPr>
          <w:rFonts w:ascii="楷体" w:eastAsia="楷体" w:hAnsi="楷体" w:cs="楷体" w:hint="eastAsia"/>
          <w:b/>
          <w:bCs/>
          <w:sz w:val="21"/>
          <w:szCs w:val="18"/>
        </w:rPr>
        <w:t>本理财产品说明书</w:t>
      </w:r>
      <w:r>
        <w:rPr>
          <w:rFonts w:ascii="楷体" w:eastAsia="楷体" w:hAnsi="楷体" w:cs="楷体" w:hint="eastAsia"/>
          <w:b/>
          <w:sz w:val="21"/>
          <w:szCs w:val="21"/>
        </w:rPr>
        <w:t>“十、理财产品估值”部分。投资者当日收益分配的计算保留到小数点后</w:t>
      </w:r>
      <w:r>
        <w:rPr>
          <w:rFonts w:ascii="楷体" w:eastAsia="楷体" w:hAnsi="楷体" w:cs="楷体"/>
          <w:b/>
          <w:sz w:val="21"/>
          <w:szCs w:val="21"/>
        </w:rPr>
        <w:t>2位，小数点后第3位按去尾原则处理。因去尾形成的余额将进行再次分配，直到分完为止。</w:t>
      </w:r>
    </w:p>
    <w:p w:rsidR="00C1769E" w:rsidRDefault="007B0020" w:rsidP="007B0020">
      <w:pPr>
        <w:pStyle w:val="a8"/>
        <w:widowControl w:val="0"/>
        <w:numPr>
          <w:ilvl w:val="0"/>
          <w:numId w:val="35"/>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本产品根据每日收益情况，将当日收益全部分配，若当日已实现收益大于零时，为投资者记正收益；若当日已实现收益小于零时，为投资者记负收益；若当日已实现收益等于零时，当日投资者不记收益。</w:t>
      </w:r>
    </w:p>
    <w:p w:rsidR="00C1769E" w:rsidRDefault="007B0020" w:rsidP="007B0020">
      <w:pPr>
        <w:pStyle w:val="a8"/>
        <w:widowControl w:val="0"/>
        <w:numPr>
          <w:ilvl w:val="0"/>
          <w:numId w:val="35"/>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本产品每日进行收益计算并分配时，每日收益支付方式只采用红利再投资</w:t>
      </w:r>
      <w:r>
        <w:rPr>
          <w:rFonts w:ascii="楷体" w:eastAsia="楷体" w:hAnsi="楷体" w:cs="楷体"/>
          <w:b/>
          <w:sz w:val="21"/>
          <w:szCs w:val="21"/>
        </w:rPr>
        <w:t>(即红利转产品份额)方式，投资者可通过赎回产品份额获得现金收益；若当日已实现收益大于零时，则增加投资者产品份额；若当日已实现收益等于零时，则保持投资者产品份额不变；产品管理人将采取必要措施尽量避免产品已实现收益小于零，若当日已实现收益小于零时，不缩减投资者产品份额，待其后累计收益大于零时，即增加投资者产品份额；若投资者赎回产品份额，其收益将结清，收益为负值的，则从投资者赎回款中扣除。</w:t>
      </w:r>
    </w:p>
    <w:p w:rsidR="00C1769E" w:rsidRDefault="007B0020" w:rsidP="007B0020">
      <w:pPr>
        <w:pStyle w:val="a8"/>
        <w:widowControl w:val="0"/>
        <w:numPr>
          <w:ilvl w:val="0"/>
          <w:numId w:val="35"/>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当日申购且在申购确认日成功确认的产品份额自申购确认日起，享有本产品的收益分配权益；当日赎回且在赎回确认日成功确认的产品份额自赎回确认日起，不享有本产品的收益分配权益。法律、法规或监管机构另有规定的，从其规定。</w:t>
      </w:r>
    </w:p>
    <w:p w:rsidR="00C1769E" w:rsidRDefault="007B0020" w:rsidP="007B0020">
      <w:pPr>
        <w:pStyle w:val="a8"/>
        <w:widowControl w:val="0"/>
        <w:numPr>
          <w:ilvl w:val="0"/>
          <w:numId w:val="34"/>
        </w:numPr>
        <w:overflowPunct w:val="0"/>
        <w:topLinePunct/>
        <w:autoSpaceDE w:val="0"/>
        <w:autoSpaceDN w:val="0"/>
        <w:spacing w:before="0" w:beforeAutospacing="0" w:after="0" w:afterAutospacing="0" w:line="400" w:lineRule="exact"/>
        <w:rPr>
          <w:rFonts w:ascii="楷体" w:eastAsia="楷体" w:hAnsi="楷体" w:cs="楷体"/>
          <w:b/>
          <w:sz w:val="21"/>
          <w:szCs w:val="18"/>
        </w:rPr>
      </w:pPr>
      <w:r>
        <w:rPr>
          <w:rFonts w:ascii="楷体" w:eastAsia="楷体" w:hAnsi="楷体" w:cs="楷体" w:hint="eastAsia"/>
          <w:b/>
          <w:sz w:val="21"/>
          <w:szCs w:val="18"/>
        </w:rPr>
        <w:t>收益分配方案及其公告</w:t>
      </w:r>
    </w:p>
    <w:p w:rsidR="00C1769E" w:rsidRDefault="007B0020">
      <w:pPr>
        <w:pStyle w:val="a8"/>
        <w:widowControl w:val="0"/>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本产品按日计算并分配收益，产品管理人不另行公告产品收益分配方案。</w:t>
      </w:r>
    </w:p>
    <w:p w:rsidR="00C1769E" w:rsidRDefault="00C1769E">
      <w:pPr>
        <w:spacing w:line="312" w:lineRule="auto"/>
        <w:rPr>
          <w:rFonts w:ascii="楷体" w:eastAsia="楷体" w:hAnsi="楷体" w:cs="楷体"/>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lastRenderedPageBreak/>
        <w:t>风险揭示</w:t>
      </w:r>
    </w:p>
    <w:p w:rsidR="00C1769E" w:rsidRDefault="007B0020">
      <w:pPr>
        <w:pStyle w:val="a8"/>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本理财产品为非保本浮动收益型低风险产品，理财产品管理人将本着“恪守信用、勤勉尽责”的原则管理和运用理财产品财产，但并不对本理财产品提供保证本金和收益的承诺，投资者的本金和收益可能会因市场变动而蒙受一定程度的损失，投资者应充分认识投资风险，谨慎投资。</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市场风险：受各种市场因素、宏观政策因素等的影响，本理财产品所投资的各类资产价值可能下跌，导致理财收益下降甚至本金损失。理财产品管理人将密切跟踪货币市场、债券市场及其他证券市场走势，在各类资产间灵活配置，设定单类资产的配置比例，降低市场风险。同时限制理财产品财产的投资范围和比例，严格按投资原则进行投资运作。</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信用风险：如果本理财产品的交易对手或者所投资的各类债券和其他债权发生信用违约、托管人破产，可能影响投资收益，甚至致使理财产品本金受到损失。理财产品管理人将对所投资的各类债权类资产的风险承担主体的财务状况、行业背景以及公司治理等进行密切跟踪及分析，并根据内部投资评级的要求，严格控制风险暴露；另外，理财产品管理人将基于谨慎性原则，对交易对手的资质进行严格挑选。</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流动性风险：流动性风险是指本理财产品无法通过变现资产等途径以合理成本及时获得充足资金，用于满足本理财产品的投资者赎回需求、履行其他支付义务的风险。理财产品管理人将对持仓证券的流动性进行研究和监控，使未来现金流尽可能地均匀分布，保留适当的现金和</w:t>
      </w:r>
      <w:r>
        <w:rPr>
          <w:rFonts w:ascii="楷体" w:eastAsia="楷体" w:hAnsi="楷体" w:cs="楷体" w:hint="eastAsia"/>
          <w:b/>
          <w:kern w:val="2"/>
          <w:sz w:val="21"/>
          <w:szCs w:val="21"/>
          <w:lang w:bidi="ar"/>
        </w:rPr>
        <w:t>高流动性资产</w:t>
      </w:r>
      <w:r>
        <w:rPr>
          <w:rFonts w:ascii="楷体" w:eastAsia="楷体" w:hAnsi="楷体" w:cs="楷体" w:hint="eastAsia"/>
          <w:b/>
          <w:sz w:val="21"/>
          <w:szCs w:val="21"/>
        </w:rPr>
        <w:t>比例，同时增加剩余期限短、流动性好的资产比例。加强与投资者的沟通与宣传、分析投资者的行为方式、关注资金市场变化，提前判断流动性变化并且采取应对措施，力争理财产品的参与和退出较为平稳地运行。</w:t>
      </w:r>
    </w:p>
    <w:p w:rsidR="00C1769E" w:rsidRDefault="007B0020" w:rsidP="007B0020">
      <w:pPr>
        <w:pStyle w:val="a8"/>
        <w:numPr>
          <w:ilvl w:val="0"/>
          <w:numId w:val="37"/>
        </w:numPr>
        <w:overflowPunct w:val="0"/>
        <w:topLinePunct/>
        <w:autoSpaceDE w:val="0"/>
        <w:autoSpaceDN w:val="0"/>
        <w:spacing w:before="0" w:beforeAutospacing="0" w:after="0" w:afterAutospacing="0" w:line="400" w:lineRule="exact"/>
        <w:ind w:firstLineChars="200" w:firstLine="422"/>
        <w:rPr>
          <w:rFonts w:ascii="楷体" w:eastAsia="楷体" w:hAnsi="楷体" w:cs="楷体"/>
          <w:b/>
          <w:sz w:val="21"/>
          <w:szCs w:val="21"/>
        </w:rPr>
      </w:pPr>
      <w:r>
        <w:rPr>
          <w:rFonts w:ascii="楷体" w:eastAsia="楷体" w:hAnsi="楷体" w:cs="楷体" w:hint="eastAsia"/>
          <w:b/>
          <w:sz w:val="21"/>
          <w:szCs w:val="21"/>
        </w:rPr>
        <w:t>认（申）购和赎回安排</w:t>
      </w:r>
    </w:p>
    <w:p w:rsidR="00C1769E" w:rsidRDefault="007B0020">
      <w:pPr>
        <w:pStyle w:val="a8"/>
        <w:numPr>
          <w:ilvl w:val="255"/>
          <w:numId w:val="0"/>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本理财产品的认（申）购和赎回安排具体规则详见本《产品说明书》“三、认购”和“六、申购和赎回”部分。</w:t>
      </w:r>
    </w:p>
    <w:p w:rsidR="00C1769E" w:rsidRDefault="007B0020" w:rsidP="007B0020">
      <w:pPr>
        <w:pStyle w:val="a8"/>
        <w:numPr>
          <w:ilvl w:val="0"/>
          <w:numId w:val="37"/>
        </w:numPr>
        <w:overflowPunct w:val="0"/>
        <w:topLinePunct/>
        <w:autoSpaceDE w:val="0"/>
        <w:autoSpaceDN w:val="0"/>
        <w:spacing w:before="0" w:beforeAutospacing="0" w:after="0" w:afterAutospacing="0" w:line="400" w:lineRule="exact"/>
        <w:ind w:firstLineChars="200" w:firstLine="422"/>
        <w:rPr>
          <w:rFonts w:ascii="楷体" w:eastAsia="楷体" w:hAnsi="楷体" w:cs="楷体"/>
          <w:b/>
          <w:sz w:val="21"/>
          <w:szCs w:val="21"/>
        </w:rPr>
      </w:pPr>
      <w:r>
        <w:rPr>
          <w:rFonts w:ascii="楷体" w:eastAsia="楷体" w:hAnsi="楷体" w:cs="楷体" w:hint="eastAsia"/>
          <w:b/>
          <w:sz w:val="21"/>
          <w:szCs w:val="21"/>
        </w:rPr>
        <w:t>拟投资市场、资产的流动性风险评估</w:t>
      </w:r>
    </w:p>
    <w:p w:rsidR="00C1769E" w:rsidRDefault="007B0020">
      <w:pPr>
        <w:pStyle w:val="a8"/>
        <w:numPr>
          <w:ilvl w:val="255"/>
          <w:numId w:val="0"/>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本理财产品主要投资于境内固定收益类资产，其中投资范围包含：现金、银行存款、债券回购、中央银行票据、同业存单、债券、非金融企业债务融资工具、资产支持证券以及国家金融监督管理机构、中国人民银行认可的其他具有良好流动性的货币市场工具。产品管理人会合理进行流动性资产配置以提高产品流动性。</w:t>
      </w:r>
    </w:p>
    <w:p w:rsidR="00C1769E" w:rsidRDefault="007B0020">
      <w:pPr>
        <w:pStyle w:val="a8"/>
        <w:numPr>
          <w:ilvl w:val="255"/>
          <w:numId w:val="0"/>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本产品拟投资市场根据投资范围，可分为银行间债券市场和交易所债券市场。银行间市场是中国债券的主体市场，参与者主要是银行、基金、保险资管、券商等各类机构投资者，实行双边谈判逐笔成交，整体流动性较好，尤其是利率债和高等级信用债品种成交活跃。交易所债券市场参与者包含各类金融机构、企业和个人投资者，采用集合竞价和大宗交易模式互相补充，市场流动性视具体品种不同。</w:t>
      </w:r>
    </w:p>
    <w:p w:rsidR="00C1769E" w:rsidRDefault="007B0020">
      <w:pPr>
        <w:pStyle w:val="a8"/>
        <w:numPr>
          <w:ilvl w:val="255"/>
          <w:numId w:val="0"/>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lastRenderedPageBreak/>
        <w:t>本产品拟投资的具体资产可分为银行间债券、交易所债券和货币市场类，整体上银行间发行债券的流动性要优于交易所发行的债券，货币市场类一般投资期限较短，流动性也较好。银行间市场发行的债券可分为三大类：第一类是银行间发行的国债、央票和政策性金融债，这三类债券的流动性最好。第二类是银行间发行的短期融资券、超短期融资券、中期票据和企业债，这几类信用债按照信用等级的不同，高等级的流动性优于中低等级，成交活跃品种以信用等级为</w:t>
      </w:r>
      <w:r>
        <w:rPr>
          <w:rFonts w:ascii="楷体" w:eastAsia="楷体" w:hAnsi="楷体" w:cs="楷体"/>
          <w:b/>
          <w:sz w:val="21"/>
          <w:szCs w:val="21"/>
        </w:rPr>
        <w:t>AAA的债券为主。第三类是地方政府债、政策性银行之外金融机构发行的金融债（商业银行债、商业银行次级债券、保险公司债、证券公司债、证券公司短期融资券和其它金融机构债）和资产支持证券，资产支持证券成交活跃度相对较低。交易所发行的债券也可分为三大类，一是流动性较好的国债；二是交易所发行的企业债和公募公司债，这两类信用债的个券流动性差异很大，部分债券竞价交易经常多日未有成交，成交活跃券种仍集中在AAA的高等级债券。三是交易所发行的地方政府债、证券公司债和政策银行债，这几类债券的成交量占比较小。尤其是政策银行债因主要在银行间发行，交易所发行量较少，成交相对不活跃。货币市场类资产主要包括同业存单、债券回购和存款。同业存单在银行间发行和交易，单只发行金额一般较大，AAA存单的流动性最好，在二级市场交易活跃。债券回购有确定的到期日限制，到期前无法为流动性变现提供帮助，但相对其他可投资产来说，债券回购的期限较短。银行存款分为有提前支取条款和无提前支取条款两类，一般可提前支取的流动性好于不可提前支取的存款，但可提前支取也要看是否有额外的附加条款。</w:t>
      </w:r>
    </w:p>
    <w:p w:rsidR="00C1769E" w:rsidRDefault="007B0020" w:rsidP="007B0020">
      <w:pPr>
        <w:pStyle w:val="a8"/>
        <w:numPr>
          <w:ilvl w:val="0"/>
          <w:numId w:val="37"/>
        </w:numPr>
        <w:overflowPunct w:val="0"/>
        <w:topLinePunct/>
        <w:autoSpaceDE w:val="0"/>
        <w:autoSpaceDN w:val="0"/>
        <w:spacing w:before="0" w:beforeAutospacing="0" w:after="0" w:afterAutospacing="0" w:line="400" w:lineRule="exact"/>
        <w:ind w:firstLineChars="200" w:firstLine="422"/>
        <w:rPr>
          <w:rFonts w:ascii="楷体" w:eastAsia="楷体" w:hAnsi="楷体" w:cs="楷体"/>
          <w:b/>
          <w:sz w:val="21"/>
          <w:szCs w:val="21"/>
        </w:rPr>
      </w:pPr>
      <w:r>
        <w:rPr>
          <w:rFonts w:ascii="楷体" w:eastAsia="楷体" w:hAnsi="楷体" w:cs="楷体" w:hint="eastAsia"/>
          <w:b/>
          <w:sz w:val="21"/>
          <w:szCs w:val="21"/>
        </w:rPr>
        <w:t>拟运用的流动性风险应对措施及其使用情形、处理方法、程序及对投资者的潜在影响</w:t>
      </w:r>
    </w:p>
    <w:p w:rsidR="00C1769E" w:rsidRDefault="007B0020">
      <w:pPr>
        <w:pStyle w:val="a8"/>
        <w:numPr>
          <w:ilvl w:val="255"/>
          <w:numId w:val="0"/>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理财产品管理人可依照法律法规及本《产品说明书》的约定，综合运用各类流动性风险应对措施，对认（申）购和赎回申请进行适度调整，流动性风险应对措施分为认（申）购风险应对措施和赎回风险应对措施。</w:t>
      </w:r>
    </w:p>
    <w:p w:rsidR="00C1769E" w:rsidRDefault="007B0020" w:rsidP="007B0020">
      <w:pPr>
        <w:pStyle w:val="a8"/>
        <w:numPr>
          <w:ilvl w:val="1"/>
          <w:numId w:val="38"/>
        </w:numPr>
        <w:overflowPunct w:val="0"/>
        <w:topLinePunct/>
        <w:autoSpaceDE w:val="0"/>
        <w:autoSpaceDN w:val="0"/>
        <w:spacing w:before="0" w:beforeAutospacing="0" w:after="0" w:afterAutospacing="0" w:line="400" w:lineRule="exact"/>
        <w:jc w:val="both"/>
        <w:rPr>
          <w:rFonts w:ascii="楷体" w:eastAsia="楷体" w:hAnsi="楷体" w:cs="楷体"/>
          <w:b/>
          <w:kern w:val="2"/>
          <w:sz w:val="21"/>
          <w:szCs w:val="20"/>
        </w:rPr>
      </w:pPr>
      <w:r>
        <w:rPr>
          <w:rFonts w:ascii="楷体" w:eastAsia="楷体" w:hAnsi="楷体" w:cs="楷体" w:hint="eastAsia"/>
          <w:b/>
          <w:sz w:val="21"/>
          <w:szCs w:val="21"/>
        </w:rPr>
        <w:t>认（申）购</w:t>
      </w:r>
      <w:r>
        <w:rPr>
          <w:rFonts w:ascii="楷体" w:eastAsia="楷体" w:hAnsi="楷体" w:cs="楷体" w:hint="eastAsia"/>
          <w:b/>
          <w:kern w:val="2"/>
          <w:sz w:val="21"/>
          <w:szCs w:val="20"/>
        </w:rPr>
        <w:t>风险应对措施</w:t>
      </w:r>
    </w:p>
    <w:p w:rsidR="00C1769E" w:rsidRDefault="007B0020">
      <w:pPr>
        <w:pStyle w:val="a8"/>
        <w:numPr>
          <w:ilvl w:val="255"/>
          <w:numId w:val="0"/>
        </w:numPr>
        <w:overflowPunct w:val="0"/>
        <w:topLinePunct/>
        <w:autoSpaceDE w:val="0"/>
        <w:autoSpaceDN w:val="0"/>
        <w:spacing w:before="0" w:beforeAutospacing="0" w:after="0" w:afterAutospacing="0" w:line="400" w:lineRule="exact"/>
        <w:ind w:firstLineChars="200" w:firstLine="422"/>
        <w:jc w:val="both"/>
        <w:rPr>
          <w:rFonts w:ascii="楷体" w:eastAsia="楷体" w:hAnsi="楷体" w:cs="楷体"/>
          <w:b/>
          <w:kern w:val="2"/>
          <w:sz w:val="21"/>
          <w:szCs w:val="20"/>
        </w:rPr>
      </w:pPr>
      <w:r>
        <w:rPr>
          <w:rFonts w:ascii="楷体" w:eastAsia="楷体" w:hAnsi="楷体" w:cs="楷体" w:hint="eastAsia"/>
          <w:b/>
          <w:sz w:val="21"/>
          <w:szCs w:val="21"/>
        </w:rPr>
        <w:t>当接受认（申）购申请将导致产品规模大幅波动或超过上限，或对存量理财产品份额持有人利益构成潜在重大不利影响时，或者基于投资运作与风险控制需要，理财产品管理人将采取设定单一投资者认（申）购金额上限、拒绝巨额认（申）购、暂停认（申）购等措施，保护存量理财产品份额持有人的合法权益。实施认（申）购风险应对措施的情形、处理方式及程序详见本《产品说明书》“六、申购和赎回”部分的相关约定。若实施认（申）购风险应对措施，投资者可能无法正常提交认（申）购申请，已经提交的认（申）购申请可能被拒绝接受。</w:t>
      </w:r>
    </w:p>
    <w:p w:rsidR="00C1769E" w:rsidRDefault="007B0020" w:rsidP="007B0020">
      <w:pPr>
        <w:pStyle w:val="a8"/>
        <w:numPr>
          <w:ilvl w:val="1"/>
          <w:numId w:val="38"/>
        </w:numPr>
        <w:overflowPunct w:val="0"/>
        <w:topLinePunct/>
        <w:autoSpaceDE w:val="0"/>
        <w:autoSpaceDN w:val="0"/>
        <w:spacing w:before="0" w:beforeAutospacing="0" w:after="0" w:afterAutospacing="0" w:line="400" w:lineRule="exact"/>
        <w:jc w:val="both"/>
        <w:rPr>
          <w:rFonts w:ascii="楷体" w:eastAsia="楷体" w:hAnsi="楷体" w:cs="楷体"/>
          <w:b/>
          <w:kern w:val="2"/>
          <w:sz w:val="21"/>
          <w:szCs w:val="20"/>
        </w:rPr>
      </w:pPr>
      <w:r>
        <w:rPr>
          <w:rFonts w:ascii="楷体" w:eastAsia="楷体" w:hAnsi="楷体" w:cs="楷体" w:hint="eastAsia"/>
          <w:b/>
          <w:sz w:val="21"/>
          <w:szCs w:val="21"/>
        </w:rPr>
        <w:t>赎回风险应对措施</w:t>
      </w:r>
    </w:p>
    <w:p w:rsidR="00C1769E" w:rsidRDefault="007B0020" w:rsidP="007B0020">
      <w:pPr>
        <w:pStyle w:val="a8"/>
        <w:numPr>
          <w:ilvl w:val="0"/>
          <w:numId w:val="39"/>
        </w:numPr>
        <w:tabs>
          <w:tab w:val="left" w:pos="420"/>
        </w:tabs>
        <w:overflowPunct w:val="0"/>
        <w:topLinePunct/>
        <w:autoSpaceDE w:val="0"/>
        <w:autoSpaceDN w:val="0"/>
        <w:spacing w:before="0" w:beforeAutospacing="0" w:after="0" w:afterAutospacing="0" w:line="400" w:lineRule="exact"/>
        <w:ind w:firstLineChars="200" w:firstLine="422"/>
        <w:jc w:val="both"/>
        <w:rPr>
          <w:rFonts w:ascii="楷体" w:eastAsia="楷体" w:hAnsi="楷体" w:cs="楷体"/>
          <w:b/>
          <w:kern w:val="2"/>
          <w:sz w:val="21"/>
          <w:szCs w:val="20"/>
        </w:rPr>
      </w:pPr>
      <w:r>
        <w:rPr>
          <w:rFonts w:ascii="楷体" w:eastAsia="楷体" w:hAnsi="楷体" w:cs="楷体" w:hint="eastAsia"/>
          <w:b/>
          <w:kern w:val="2"/>
          <w:sz w:val="21"/>
          <w:szCs w:val="20"/>
        </w:rPr>
        <w:t>延期办理巨额赎回申请：当本理财产品触发巨额赎回限制时，产品管理人可以延期办理巨额赎回申请，详见</w:t>
      </w:r>
      <w:r>
        <w:rPr>
          <w:rFonts w:ascii="楷体" w:eastAsia="楷体" w:hAnsi="楷体" w:cs="楷体" w:hint="eastAsia"/>
          <w:b/>
          <w:sz w:val="21"/>
          <w:szCs w:val="21"/>
        </w:rPr>
        <w:t>本</w:t>
      </w:r>
      <w:r>
        <w:rPr>
          <w:rFonts w:ascii="楷体" w:eastAsia="楷体" w:hAnsi="楷体" w:cs="楷体" w:hint="eastAsia"/>
          <w:b/>
          <w:kern w:val="2"/>
          <w:sz w:val="21"/>
          <w:szCs w:val="20"/>
        </w:rPr>
        <w:t>《产品说明书》“六、申购和赎回”部分关于巨额赎回的相关约</w:t>
      </w:r>
      <w:r>
        <w:rPr>
          <w:rFonts w:ascii="楷体" w:eastAsia="楷体" w:hAnsi="楷体" w:cs="楷体" w:hint="eastAsia"/>
          <w:b/>
          <w:kern w:val="2"/>
          <w:sz w:val="21"/>
          <w:szCs w:val="20"/>
        </w:rPr>
        <w:lastRenderedPageBreak/>
        <w:t>定。当实施延期办理巨额赎回申请的措施时，投资者的赎回申请将无法按时全额获得确认，投资者自身的流动性可能受到影响，并将额外承担市场波动对理财产品净值的影响。</w:t>
      </w:r>
    </w:p>
    <w:p w:rsidR="00C1769E" w:rsidRDefault="007B0020" w:rsidP="007B0020">
      <w:pPr>
        <w:pStyle w:val="a8"/>
        <w:numPr>
          <w:ilvl w:val="0"/>
          <w:numId w:val="39"/>
        </w:numPr>
        <w:tabs>
          <w:tab w:val="left" w:pos="420"/>
        </w:tabs>
        <w:overflowPunct w:val="0"/>
        <w:topLinePunct/>
        <w:autoSpaceDE w:val="0"/>
        <w:autoSpaceDN w:val="0"/>
        <w:spacing w:before="0" w:beforeAutospacing="0" w:after="0" w:afterAutospacing="0" w:line="400" w:lineRule="exact"/>
        <w:ind w:firstLineChars="200" w:firstLine="422"/>
        <w:jc w:val="both"/>
        <w:rPr>
          <w:rFonts w:ascii="楷体" w:eastAsia="楷体" w:hAnsi="楷体" w:cs="楷体"/>
          <w:b/>
          <w:kern w:val="2"/>
          <w:sz w:val="21"/>
          <w:szCs w:val="20"/>
        </w:rPr>
      </w:pPr>
      <w:r>
        <w:rPr>
          <w:rFonts w:ascii="楷体" w:eastAsia="楷体" w:hAnsi="楷体" w:cs="楷体" w:hint="eastAsia"/>
          <w:b/>
          <w:kern w:val="2"/>
          <w:sz w:val="21"/>
          <w:szCs w:val="20"/>
        </w:rPr>
        <w:t>暂停接受赎回申请或延缓支付赎回款项：实施暂停接受赎回申请或延缓支付赎回款项的情形、处理方式及程序详见</w:t>
      </w:r>
      <w:r>
        <w:rPr>
          <w:rFonts w:ascii="楷体" w:eastAsia="楷体" w:hAnsi="楷体" w:cs="楷体" w:hint="eastAsia"/>
          <w:b/>
          <w:sz w:val="21"/>
          <w:szCs w:val="21"/>
        </w:rPr>
        <w:t>本</w:t>
      </w:r>
      <w:r>
        <w:rPr>
          <w:rFonts w:ascii="楷体" w:eastAsia="楷体" w:hAnsi="楷体" w:cs="楷体" w:hint="eastAsia"/>
          <w:b/>
          <w:kern w:val="2"/>
          <w:sz w:val="21"/>
          <w:szCs w:val="20"/>
        </w:rPr>
        <w:t>《产品说明书》“六、申购和赎回”关于暂停接受赎回申请或延缓支付赎回款项的相关约定。若实施暂停接受赎回申请的措施，投资者一方面不能赎回理财产品份额，可能影响自身的流动性，另一方面将承担额外的市场波动对理财产品净值的影响；若实施延缓支付赎回款项，投资者不能如期获得全额赎回款，自身的流动性可能受到影响。</w:t>
      </w:r>
    </w:p>
    <w:p w:rsidR="00C1769E" w:rsidRDefault="007B0020" w:rsidP="007B0020">
      <w:pPr>
        <w:pStyle w:val="a8"/>
        <w:numPr>
          <w:ilvl w:val="0"/>
          <w:numId w:val="39"/>
        </w:numPr>
        <w:tabs>
          <w:tab w:val="left" w:pos="420"/>
        </w:tabs>
        <w:overflowPunct w:val="0"/>
        <w:topLinePunct/>
        <w:autoSpaceDE w:val="0"/>
        <w:autoSpaceDN w:val="0"/>
        <w:spacing w:before="0" w:beforeAutospacing="0" w:after="0" w:afterAutospacing="0" w:line="400" w:lineRule="exact"/>
        <w:ind w:firstLineChars="200" w:firstLine="422"/>
        <w:jc w:val="both"/>
        <w:rPr>
          <w:rFonts w:ascii="楷体" w:eastAsia="楷体" w:hAnsi="楷体" w:cs="楷体"/>
          <w:b/>
          <w:kern w:val="2"/>
          <w:sz w:val="21"/>
          <w:szCs w:val="20"/>
        </w:rPr>
      </w:pPr>
      <w:r>
        <w:rPr>
          <w:rFonts w:ascii="楷体" w:eastAsia="楷体" w:hAnsi="楷体" w:cs="楷体" w:hint="eastAsia"/>
          <w:b/>
          <w:kern w:val="2"/>
          <w:sz w:val="21"/>
          <w:szCs w:val="20"/>
        </w:rPr>
        <w:t>暂停理财产品估值：暂停理财产品估值的情形详见</w:t>
      </w:r>
      <w:r>
        <w:rPr>
          <w:rFonts w:ascii="楷体" w:eastAsia="楷体" w:hAnsi="楷体" w:cs="楷体" w:hint="eastAsia"/>
          <w:b/>
          <w:sz w:val="21"/>
          <w:szCs w:val="21"/>
        </w:rPr>
        <w:t>本</w:t>
      </w:r>
      <w:r>
        <w:rPr>
          <w:rFonts w:ascii="楷体" w:eastAsia="楷体" w:hAnsi="楷体" w:cs="楷体" w:hint="eastAsia"/>
          <w:b/>
          <w:kern w:val="2"/>
          <w:sz w:val="21"/>
          <w:szCs w:val="20"/>
        </w:rPr>
        <w:t>《产品说明书》关于暂停理财产品估值情形的相关约定。若实施暂停理财产品估值，理财产品管理人会采取延缓支付赎回款项或暂停接受理财产品申购赎回申请的措施，对投资者产生的风险如前所述。</w:t>
      </w:r>
    </w:p>
    <w:p w:rsidR="00C1769E" w:rsidRDefault="007B0020" w:rsidP="007B0020">
      <w:pPr>
        <w:pStyle w:val="a8"/>
        <w:numPr>
          <w:ilvl w:val="1"/>
          <w:numId w:val="38"/>
        </w:numPr>
        <w:overflowPunct w:val="0"/>
        <w:topLinePunct/>
        <w:autoSpaceDE w:val="0"/>
        <w:autoSpaceDN w:val="0"/>
        <w:spacing w:before="0" w:beforeAutospacing="0" w:after="0" w:afterAutospacing="0" w:line="400" w:lineRule="exact"/>
        <w:ind w:left="0" w:firstLine="840"/>
        <w:jc w:val="both"/>
        <w:rPr>
          <w:rFonts w:ascii="楷体" w:eastAsia="楷体" w:hAnsi="楷体" w:cs="楷体"/>
          <w:b/>
          <w:sz w:val="21"/>
          <w:szCs w:val="21"/>
        </w:rPr>
      </w:pPr>
      <w:r>
        <w:rPr>
          <w:rFonts w:ascii="楷体" w:eastAsia="楷体" w:hAnsi="楷体" w:cs="楷体" w:hint="eastAsia"/>
          <w:b/>
          <w:sz w:val="21"/>
          <w:szCs w:val="21"/>
        </w:rPr>
        <w:t>如本理财产品采用国家金融监督管理机构规定的其他流动性风险控制措施或对上述流动性风险应对措施的使用情形、处理方法、程序进行调整，将在正式实施前至少</w:t>
      </w:r>
      <w:r>
        <w:rPr>
          <w:rFonts w:ascii="楷体" w:eastAsia="楷体" w:hAnsi="楷体" w:cs="楷体"/>
          <w:b/>
          <w:sz w:val="21"/>
          <w:szCs w:val="21"/>
        </w:rPr>
        <w:t>3</w:t>
      </w:r>
      <w:r>
        <w:rPr>
          <w:rFonts w:ascii="楷体" w:eastAsia="楷体" w:hAnsi="楷体" w:cs="楷体" w:hint="eastAsia"/>
          <w:b/>
          <w:sz w:val="21"/>
          <w:szCs w:val="21"/>
        </w:rPr>
        <w:t>个工作日通过相应信息披露渠道披露，并在理财产品销售文件中约定或更新相关措施的使用情形、处理方法、程序及对投资者的潜在影响。</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操作风险：产品运作过程中，因内部控制存在缺陷或者人为因素造成操作失误或违反操作规程等引致的风险，例如，越权违规交易、交易错误、</w:t>
      </w:r>
      <w:r>
        <w:rPr>
          <w:rFonts w:ascii="楷体" w:eastAsia="楷体" w:hAnsi="楷体" w:cs="楷体"/>
          <w:b/>
          <w:sz w:val="21"/>
          <w:szCs w:val="21"/>
        </w:rPr>
        <w:t>IT系统故障等风险。</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管理风险：由于本理财产品管理人受技能和管理水平等因素的限制，可能会影响本理财产品的本金和投资收益，导致本金遭受损失和理财收益处于较低水平甚至为零的风险。</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法律风险：法律风险包括但不限于因监管措施和解决民商事争议而支付的罚款、罚金、违约金或者赔偿金所导致的风险。</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政策风险：本理财产品是针对当前的相关法规和政策设计的。如国家宏观政策以及市场相关法规政策发生变化，可能影响本理财产品的受理、投资、偿还等的正常进行，甚至导致本理财产品收益降低甚至本金损失。</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b/>
          <w:sz w:val="21"/>
          <w:szCs w:val="21"/>
        </w:rPr>
        <w:t>产品不成立风险：如果因不可抗力</w:t>
      </w:r>
      <w:r>
        <w:rPr>
          <w:rFonts w:ascii="楷体" w:eastAsia="楷体" w:hAnsi="楷体" w:cs="楷体" w:hint="eastAsia"/>
          <w:b/>
          <w:sz w:val="21"/>
          <w:szCs w:val="21"/>
        </w:rPr>
        <w:t>、</w:t>
      </w:r>
      <w:r>
        <w:rPr>
          <w:rFonts w:ascii="楷体" w:eastAsia="楷体" w:hAnsi="楷体" w:cs="楷体"/>
          <w:b/>
          <w:sz w:val="21"/>
          <w:szCs w:val="21"/>
        </w:rPr>
        <w:t>募集规模低于说明书约定的最低规模</w:t>
      </w:r>
      <w:r>
        <w:rPr>
          <w:rFonts w:ascii="楷体" w:eastAsia="楷体" w:hAnsi="楷体" w:cs="楷体" w:hint="eastAsia"/>
          <w:b/>
          <w:sz w:val="21"/>
          <w:szCs w:val="21"/>
        </w:rPr>
        <w:t>（</w:t>
      </w:r>
      <w:r>
        <w:rPr>
          <w:rFonts w:ascii="楷体" w:eastAsia="楷体" w:hAnsi="楷体" w:cs="楷体"/>
          <w:b/>
          <w:sz w:val="21"/>
          <w:szCs w:val="21"/>
        </w:rPr>
        <w:t>如有</w:t>
      </w:r>
      <w:r>
        <w:rPr>
          <w:rFonts w:ascii="楷体" w:eastAsia="楷体" w:hAnsi="楷体" w:cs="楷体" w:hint="eastAsia"/>
          <w:b/>
          <w:sz w:val="21"/>
          <w:szCs w:val="21"/>
        </w:rPr>
        <w:t>）</w:t>
      </w:r>
      <w:r>
        <w:rPr>
          <w:rFonts w:ascii="楷体" w:eastAsia="楷体" w:hAnsi="楷体" w:cs="楷体"/>
          <w:b/>
          <w:sz w:val="21"/>
          <w:szCs w:val="21"/>
        </w:rPr>
        <w:t>或其他因素导致产品管理人宣布本理财产品不成立的情形，投资者将面临再投资风险。</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提前终止的风险：在投资期内，如本理财产品发生本《产品说明书》“七、提前终止”部分规定的情形，理财产品管理人有权提前终止本理财产品，投资者可能面临不能实现收益目标及不能进行再投资的风险。</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信息传递风险：本理财产品存续期内，投资者应根据本《产品说明书》所载明的信息披露方式及时、主动查询本理财产品的相关信息。如果投资者未及时、主动查询，或由于通讯故障、系统故障以及其他不可抗力等因素的影响使得投资者无法及时了解产品</w:t>
      </w:r>
      <w:r>
        <w:rPr>
          <w:rFonts w:ascii="楷体" w:eastAsia="楷体" w:hAnsi="楷体" w:cs="楷体" w:hint="eastAsia"/>
          <w:b/>
          <w:sz w:val="21"/>
          <w:szCs w:val="21"/>
        </w:rPr>
        <w:lastRenderedPageBreak/>
        <w:t>信息，并由此产生的责任和风险由投资者自行承担。</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赎回款项支付延迟风险：如因本产品项下对应的金融资产延期或无法变现等原因造成本产品不能按时支付赎回款项，或因技术因素而产生的风险，如电脑系统故障等，可能会造成赎回款项支付延迟，投资者将面临无法及时获得赎回款项的风险。</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投资标的特有风险：</w:t>
      </w:r>
    </w:p>
    <w:p w:rsidR="00C1769E" w:rsidRDefault="007B0020" w:rsidP="007B0020">
      <w:pPr>
        <w:pStyle w:val="a8"/>
        <w:numPr>
          <w:ilvl w:val="0"/>
          <w:numId w:val="40"/>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货币市场工具投资风险</w:t>
      </w:r>
    </w:p>
    <w:p w:rsidR="00C1769E" w:rsidRDefault="007B0020" w:rsidP="007B0020">
      <w:pPr>
        <w:pStyle w:val="a8"/>
        <w:numPr>
          <w:ilvl w:val="0"/>
          <w:numId w:val="41"/>
        </w:numPr>
        <w:overflowPunct w:val="0"/>
        <w:topLinePunct/>
        <w:autoSpaceDE w:val="0"/>
        <w:autoSpaceDN w:val="0"/>
        <w:spacing w:before="0" w:beforeAutospacing="0" w:after="0" w:afterAutospacing="0" w:line="400" w:lineRule="exact"/>
        <w:ind w:left="0" w:firstLine="840"/>
        <w:jc w:val="both"/>
        <w:rPr>
          <w:rFonts w:ascii="楷体" w:eastAsia="楷体" w:hAnsi="楷体" w:cs="楷体"/>
          <w:b/>
          <w:sz w:val="21"/>
          <w:szCs w:val="21"/>
        </w:rPr>
      </w:pPr>
      <w:r>
        <w:rPr>
          <w:rFonts w:ascii="楷体" w:eastAsia="楷体" w:hAnsi="楷体" w:cs="楷体" w:hint="eastAsia"/>
          <w:b/>
          <w:sz w:val="21"/>
          <w:szCs w:val="21"/>
        </w:rPr>
        <w:t>本理财产品作为资金借出方参与货币市场工具交易时，交易对手可能无法及时偿还全部或部分本金和</w:t>
      </w:r>
      <w:r>
        <w:rPr>
          <w:rFonts w:ascii="楷体" w:eastAsia="楷体" w:hAnsi="楷体" w:cs="楷体"/>
          <w:b/>
          <w:sz w:val="21"/>
          <w:szCs w:val="21"/>
        </w:rPr>
        <w:t>/或收益，导致理财产品收益下降甚至本金损失；</w:t>
      </w:r>
    </w:p>
    <w:p w:rsidR="00C1769E" w:rsidRDefault="007B0020" w:rsidP="007B0020">
      <w:pPr>
        <w:pStyle w:val="a8"/>
        <w:numPr>
          <w:ilvl w:val="0"/>
          <w:numId w:val="41"/>
        </w:numPr>
        <w:overflowPunct w:val="0"/>
        <w:topLinePunct/>
        <w:autoSpaceDE w:val="0"/>
        <w:autoSpaceDN w:val="0"/>
        <w:spacing w:before="0" w:beforeAutospacing="0" w:after="0" w:afterAutospacing="0" w:line="400" w:lineRule="exact"/>
        <w:ind w:left="0" w:firstLine="840"/>
        <w:jc w:val="both"/>
        <w:rPr>
          <w:rFonts w:ascii="楷体" w:eastAsia="楷体" w:hAnsi="楷体" w:cs="楷体"/>
          <w:b/>
          <w:sz w:val="21"/>
          <w:szCs w:val="21"/>
        </w:rPr>
      </w:pPr>
      <w:r>
        <w:rPr>
          <w:rFonts w:ascii="楷体" w:eastAsia="楷体" w:hAnsi="楷体" w:cs="楷体" w:hint="eastAsia"/>
          <w:b/>
          <w:sz w:val="21"/>
          <w:szCs w:val="21"/>
        </w:rPr>
        <w:t>本理财产品作为资金借入方参与货币市场工具交易时，交易利率可能大于债券投资收益，进而导致理财产品收益下降甚至本金损失。</w:t>
      </w:r>
    </w:p>
    <w:p w:rsidR="00C1769E" w:rsidRDefault="007B0020" w:rsidP="007B0020">
      <w:pPr>
        <w:pStyle w:val="a8"/>
        <w:numPr>
          <w:ilvl w:val="0"/>
          <w:numId w:val="41"/>
        </w:numPr>
        <w:overflowPunct w:val="0"/>
        <w:topLinePunct/>
        <w:autoSpaceDE w:val="0"/>
        <w:autoSpaceDN w:val="0"/>
        <w:spacing w:before="0" w:beforeAutospacing="0" w:after="0" w:afterAutospacing="0" w:line="400" w:lineRule="exact"/>
        <w:ind w:left="0" w:firstLine="840"/>
        <w:jc w:val="both"/>
        <w:rPr>
          <w:rFonts w:ascii="楷体" w:eastAsia="楷体" w:hAnsi="楷体" w:cs="楷体"/>
          <w:b/>
          <w:sz w:val="21"/>
          <w:szCs w:val="21"/>
        </w:rPr>
      </w:pPr>
      <w:r>
        <w:rPr>
          <w:rFonts w:ascii="楷体" w:eastAsia="楷体" w:hAnsi="楷体" w:cs="楷体" w:hint="eastAsia"/>
          <w:b/>
          <w:sz w:val="21"/>
          <w:szCs w:val="21"/>
        </w:rPr>
        <w:t>本理财产品作为资金借入方参与货币市场工具交易，将增大产品投资总量，放大投资组合风险。资金借入比例越高，风险暴露程度越高，理财产品收益下降甚至本金损失的可能性越大。</w:t>
      </w:r>
    </w:p>
    <w:p w:rsidR="00C1769E" w:rsidRDefault="007B0020" w:rsidP="007B0020">
      <w:pPr>
        <w:pStyle w:val="a8"/>
        <w:numPr>
          <w:ilvl w:val="0"/>
          <w:numId w:val="40"/>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债券投资风险</w:t>
      </w:r>
    </w:p>
    <w:p w:rsidR="00C1769E" w:rsidRDefault="007B0020" w:rsidP="007B0020">
      <w:pPr>
        <w:pStyle w:val="a8"/>
        <w:numPr>
          <w:ilvl w:val="0"/>
          <w:numId w:val="42"/>
        </w:numPr>
        <w:overflowPunct w:val="0"/>
        <w:topLinePunct/>
        <w:autoSpaceDE w:val="0"/>
        <w:autoSpaceDN w:val="0"/>
        <w:spacing w:before="0" w:beforeAutospacing="0" w:after="0" w:afterAutospacing="0" w:line="400" w:lineRule="exact"/>
        <w:jc w:val="both"/>
        <w:rPr>
          <w:rFonts w:ascii="楷体" w:eastAsia="楷体" w:hAnsi="楷体" w:cs="楷体"/>
          <w:b/>
          <w:sz w:val="21"/>
          <w:szCs w:val="21"/>
        </w:rPr>
      </w:pPr>
      <w:r>
        <w:rPr>
          <w:rFonts w:ascii="楷体" w:eastAsia="楷体" w:hAnsi="楷体" w:cs="楷体" w:hint="eastAsia"/>
          <w:b/>
          <w:sz w:val="21"/>
          <w:szCs w:val="21"/>
        </w:rPr>
        <w:t>市场风险</w:t>
      </w:r>
    </w:p>
    <w:p w:rsidR="00C1769E" w:rsidRDefault="007B0020">
      <w:pPr>
        <w:overflowPunct w:val="0"/>
        <w:topLinePunct/>
        <w:autoSpaceDE w:val="0"/>
        <w:autoSpaceDN w:val="0"/>
        <w:spacing w:line="400" w:lineRule="exact"/>
        <w:ind w:firstLineChars="200" w:firstLine="422"/>
        <w:rPr>
          <w:rFonts w:ascii="楷体" w:eastAsia="楷体" w:hAnsi="楷体" w:cs="楷体"/>
          <w:b/>
          <w:szCs w:val="21"/>
        </w:rPr>
      </w:pPr>
      <w:r>
        <w:rPr>
          <w:rFonts w:ascii="楷体" w:eastAsia="楷体" w:hAnsi="楷体" w:cs="楷体" w:hint="eastAsia"/>
          <w:b/>
          <w:szCs w:val="21"/>
        </w:rPr>
        <w:t>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rsidR="00C1769E" w:rsidRDefault="007B0020" w:rsidP="007B0020">
      <w:pPr>
        <w:pStyle w:val="a8"/>
        <w:numPr>
          <w:ilvl w:val="0"/>
          <w:numId w:val="42"/>
        </w:numPr>
        <w:overflowPunct w:val="0"/>
        <w:topLinePunct/>
        <w:autoSpaceDE w:val="0"/>
        <w:autoSpaceDN w:val="0"/>
        <w:spacing w:before="0" w:beforeAutospacing="0" w:after="0" w:afterAutospacing="0" w:line="400" w:lineRule="exact"/>
        <w:jc w:val="both"/>
        <w:rPr>
          <w:rFonts w:ascii="楷体" w:eastAsia="楷体" w:hAnsi="楷体" w:cs="楷体"/>
          <w:b/>
          <w:sz w:val="21"/>
          <w:szCs w:val="21"/>
        </w:rPr>
      </w:pPr>
      <w:r>
        <w:rPr>
          <w:rFonts w:ascii="楷体" w:eastAsia="楷体" w:hAnsi="楷体" w:cs="楷体" w:hint="eastAsia"/>
          <w:b/>
          <w:sz w:val="21"/>
          <w:szCs w:val="21"/>
        </w:rPr>
        <w:t>信用风险</w:t>
      </w:r>
    </w:p>
    <w:p w:rsidR="00C1769E" w:rsidRDefault="007B0020">
      <w:pPr>
        <w:overflowPunct w:val="0"/>
        <w:topLinePunct/>
        <w:autoSpaceDE w:val="0"/>
        <w:autoSpaceDN w:val="0"/>
        <w:spacing w:line="400" w:lineRule="exact"/>
        <w:ind w:firstLineChars="200" w:firstLine="422"/>
        <w:rPr>
          <w:rFonts w:ascii="楷体" w:eastAsia="楷体" w:hAnsi="楷体" w:cs="楷体"/>
          <w:b/>
          <w:szCs w:val="21"/>
        </w:rPr>
      </w:pPr>
      <w:r>
        <w:rPr>
          <w:rFonts w:ascii="楷体" w:eastAsia="楷体" w:hAnsi="楷体" w:cs="楷体" w:hint="eastAsia"/>
          <w:b/>
          <w:szCs w:val="21"/>
        </w:rPr>
        <w:t>债券的发行人和</w:t>
      </w:r>
      <w:r>
        <w:rPr>
          <w:rFonts w:ascii="楷体" w:eastAsia="楷体" w:hAnsi="楷体" w:cs="楷体"/>
          <w:b/>
          <w:szCs w:val="21"/>
        </w:rPr>
        <w:t>/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本金损失。资产支持证券项下的基础资产如发生原始权益人破产或基础资产项下现金流未能及时完整取得等情况，资产支持证券的收益将受到影响，可能导致理财产品收益下降甚至本金损失。</w:t>
      </w:r>
    </w:p>
    <w:p w:rsidR="00C1769E" w:rsidRDefault="007B0020" w:rsidP="007B0020">
      <w:pPr>
        <w:pStyle w:val="a8"/>
        <w:numPr>
          <w:ilvl w:val="0"/>
          <w:numId w:val="40"/>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资产管理产品投资风险（如有）</w:t>
      </w:r>
    </w:p>
    <w:p w:rsidR="00C1769E" w:rsidRDefault="007B0020">
      <w:pPr>
        <w:pStyle w:val="a8"/>
        <w:overflowPunct w:val="0"/>
        <w:topLinePunct/>
        <w:autoSpaceDE w:val="0"/>
        <w:autoSpaceDN w:val="0"/>
        <w:spacing w:before="0" w:beforeAutospacing="0" w:after="0" w:afterAutospacing="0" w:line="400" w:lineRule="exact"/>
        <w:ind w:firstLine="420"/>
        <w:rPr>
          <w:rFonts w:ascii="楷体" w:eastAsia="楷体" w:hAnsi="楷体" w:cs="楷体"/>
          <w:b/>
          <w:kern w:val="2"/>
          <w:sz w:val="21"/>
          <w:szCs w:val="21"/>
        </w:rPr>
      </w:pPr>
      <w:r>
        <w:rPr>
          <w:rFonts w:ascii="楷体" w:eastAsia="楷体" w:hAnsi="楷体" w:cs="楷体" w:hint="eastAsia"/>
          <w:b/>
          <w:kern w:val="2"/>
          <w:sz w:val="21"/>
          <w:szCs w:val="21"/>
        </w:rPr>
        <w:t>本理财产品通过其他资产管理产品投资时，可能因相关受托人、产品管理人违反法律法规和</w:t>
      </w:r>
      <w:r>
        <w:rPr>
          <w:rFonts w:ascii="楷体" w:eastAsia="楷体" w:hAnsi="楷体" w:cs="楷体"/>
          <w:b/>
          <w:kern w:val="2"/>
          <w:sz w:val="21"/>
          <w:szCs w:val="21"/>
        </w:rPr>
        <w:t>/或合同约定、未尽职或发生其他情形，造成本理财产品所投资的资产管理产品的财产损失，进而导致本理财产品收益下降甚至本金损失。</w:t>
      </w:r>
    </w:p>
    <w:p w:rsidR="00C1769E" w:rsidRDefault="007B0020" w:rsidP="007B0020">
      <w:pPr>
        <w:pStyle w:val="a8"/>
        <w:widowControl w:val="0"/>
        <w:numPr>
          <w:ilvl w:val="0"/>
          <w:numId w:val="36"/>
        </w:numPr>
        <w:overflowPunct w:val="0"/>
        <w:topLinePunct/>
        <w:autoSpaceDE w:val="0"/>
        <w:autoSpaceDN w:val="0"/>
        <w:spacing w:before="0" w:beforeAutospacing="0" w:after="0" w:afterAutospacing="0" w:line="360" w:lineRule="exact"/>
        <w:rPr>
          <w:rFonts w:ascii="楷体" w:eastAsia="楷体" w:hAnsi="楷体" w:cs="楷体"/>
          <w:sz w:val="21"/>
          <w:szCs w:val="21"/>
        </w:rPr>
      </w:pPr>
      <w:r>
        <w:rPr>
          <w:rFonts w:ascii="楷体" w:eastAsia="楷体" w:hAnsi="楷体" w:cs="楷体" w:hint="eastAsia"/>
          <w:b/>
          <w:sz w:val="21"/>
          <w:szCs w:val="21"/>
        </w:rPr>
        <w:t>其他风险：包括但不限于自然灾害、金融市场危机、战争等不可抗力因素造成的相关投资风险。理财产品管理人在代理本理财产品买卖投资标的物时，交易对手可能为理财产品管理人。理财产品管理人将秉承公允市价交易的原则进行交易，并且保留交易记录以备相关部门查询。</w:t>
      </w:r>
    </w:p>
    <w:p w:rsidR="00C1769E" w:rsidRDefault="007B0020">
      <w:pPr>
        <w:ind w:firstLineChars="200" w:firstLine="422"/>
        <w:rPr>
          <w:rFonts w:ascii="楷体" w:eastAsia="楷体" w:hAnsi="楷体" w:cs="楷体"/>
          <w:b/>
          <w:szCs w:val="21"/>
        </w:rPr>
      </w:pPr>
      <w:r>
        <w:rPr>
          <w:rFonts w:ascii="楷体" w:eastAsia="楷体" w:hAnsi="楷体" w:cs="楷体" w:hint="eastAsia"/>
          <w:b/>
          <w:szCs w:val="21"/>
        </w:rPr>
        <w:t>理财产品管理人将本着“恪守信用、勤勉尽责”的原则管理和运用理财产品财产，但并</w:t>
      </w:r>
      <w:r>
        <w:rPr>
          <w:rFonts w:ascii="楷体" w:eastAsia="楷体" w:hAnsi="楷体" w:cs="楷体" w:hint="eastAsia"/>
          <w:b/>
          <w:szCs w:val="21"/>
        </w:rPr>
        <w:lastRenderedPageBreak/>
        <w:t>不对本理财产品提供保证本金和收益的承诺。</w:t>
      </w:r>
    </w:p>
    <w:p w:rsidR="00C1769E" w:rsidRDefault="00C1769E">
      <w:pPr>
        <w:ind w:firstLineChars="200" w:firstLine="420"/>
        <w:rPr>
          <w:rFonts w:ascii="楷体" w:eastAsia="楷体" w:hAnsi="楷体" w:cs="楷体"/>
          <w:szCs w:val="21"/>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理财产品估值</w:t>
      </w:r>
    </w:p>
    <w:p w:rsidR="00C1769E" w:rsidRDefault="007B0020" w:rsidP="007B0020">
      <w:pPr>
        <w:pStyle w:val="a8"/>
        <w:widowControl w:val="0"/>
        <w:numPr>
          <w:ilvl w:val="0"/>
          <w:numId w:val="43"/>
        </w:numPr>
        <w:overflowPunct w:val="0"/>
        <w:topLinePunct/>
        <w:autoSpaceDE w:val="0"/>
        <w:autoSpaceDN w:val="0"/>
        <w:spacing w:before="0" w:beforeAutospacing="0" w:after="0" w:afterAutospacing="0"/>
        <w:rPr>
          <w:rFonts w:ascii="楷体" w:eastAsia="楷体" w:hAnsi="楷体" w:cs="楷体"/>
          <w:sz w:val="21"/>
          <w:szCs w:val="18"/>
        </w:rPr>
      </w:pPr>
      <w:r>
        <w:rPr>
          <w:rFonts w:ascii="楷体" w:eastAsia="楷体" w:hAnsi="楷体" w:cs="楷体" w:hint="eastAsia"/>
          <w:sz w:val="21"/>
          <w:szCs w:val="18"/>
        </w:rPr>
        <w:t>估值原则</w:t>
      </w:r>
    </w:p>
    <w:p w:rsidR="00C1769E" w:rsidRDefault="007B0020" w:rsidP="007B0020">
      <w:pPr>
        <w:pStyle w:val="a8"/>
        <w:widowControl w:val="0"/>
        <w:numPr>
          <w:ilvl w:val="0"/>
          <w:numId w:val="44"/>
        </w:numPr>
        <w:overflowPunct w:val="0"/>
        <w:topLinePunct/>
        <w:autoSpaceDE w:val="0"/>
        <w:autoSpaceDN w:val="0"/>
        <w:spacing w:before="0" w:beforeAutospacing="0" w:after="0" w:afterAutospacing="0"/>
        <w:ind w:firstLine="420"/>
        <w:rPr>
          <w:rFonts w:ascii="楷体" w:eastAsia="楷体" w:hAnsi="楷体" w:cs="楷体"/>
          <w:sz w:val="21"/>
          <w:szCs w:val="18"/>
        </w:rPr>
      </w:pPr>
      <w:r>
        <w:rPr>
          <w:rFonts w:ascii="楷体" w:eastAsia="楷体" w:hAnsi="楷体" w:cs="楷体" w:hint="eastAsia"/>
          <w:sz w:val="21"/>
          <w:szCs w:val="18"/>
        </w:rPr>
        <w:t>匹配性原则。金融工具的公允价值确定方法应与理财产品的类型相匹配。</w:t>
      </w:r>
    </w:p>
    <w:p w:rsidR="00C1769E" w:rsidRDefault="007B0020" w:rsidP="007B0020">
      <w:pPr>
        <w:pStyle w:val="a8"/>
        <w:widowControl w:val="0"/>
        <w:numPr>
          <w:ilvl w:val="0"/>
          <w:numId w:val="44"/>
        </w:numPr>
        <w:overflowPunct w:val="0"/>
        <w:topLinePunct/>
        <w:autoSpaceDE w:val="0"/>
        <w:autoSpaceDN w:val="0"/>
        <w:spacing w:before="0" w:beforeAutospacing="0" w:after="0" w:afterAutospacing="0"/>
        <w:ind w:firstLine="420"/>
        <w:rPr>
          <w:rFonts w:ascii="楷体" w:eastAsia="楷体" w:hAnsi="楷体" w:cs="楷体"/>
          <w:sz w:val="21"/>
          <w:szCs w:val="18"/>
        </w:rPr>
      </w:pPr>
      <w:r>
        <w:rPr>
          <w:rFonts w:ascii="楷体" w:eastAsia="楷体" w:hAnsi="楷体" w:cs="楷体" w:hint="eastAsia"/>
          <w:sz w:val="21"/>
          <w:szCs w:val="18"/>
        </w:rPr>
        <w:t>一致性原则。同类型产品中同一类别金融工具应采用一致的估值方法，不得随意变更。确需变更的，应经充分论证并予以披露。</w:t>
      </w:r>
    </w:p>
    <w:p w:rsidR="00C1769E" w:rsidRDefault="007B0020" w:rsidP="007B0020">
      <w:pPr>
        <w:pStyle w:val="a8"/>
        <w:widowControl w:val="0"/>
        <w:numPr>
          <w:ilvl w:val="0"/>
          <w:numId w:val="44"/>
        </w:numPr>
        <w:overflowPunct w:val="0"/>
        <w:topLinePunct/>
        <w:autoSpaceDE w:val="0"/>
        <w:autoSpaceDN w:val="0"/>
        <w:spacing w:before="0" w:beforeAutospacing="0" w:after="0" w:afterAutospacing="0"/>
        <w:ind w:firstLine="420"/>
        <w:rPr>
          <w:rFonts w:ascii="楷体" w:eastAsia="楷体" w:hAnsi="楷体" w:cs="楷体"/>
          <w:sz w:val="21"/>
          <w:szCs w:val="18"/>
        </w:rPr>
      </w:pPr>
      <w:r>
        <w:rPr>
          <w:rFonts w:ascii="楷体" w:eastAsia="楷体" w:hAnsi="楷体" w:cs="楷体" w:hint="eastAsia"/>
          <w:sz w:val="21"/>
          <w:szCs w:val="18"/>
        </w:rPr>
        <w:t>审慎性原则。审慎确认和计量公允价值时，不高估公允价值收益，不低估公允价值损失。</w:t>
      </w:r>
    </w:p>
    <w:p w:rsidR="00C1769E" w:rsidRDefault="007B0020" w:rsidP="007B0020">
      <w:pPr>
        <w:pStyle w:val="a8"/>
        <w:widowControl w:val="0"/>
        <w:numPr>
          <w:ilvl w:val="0"/>
          <w:numId w:val="44"/>
        </w:numPr>
        <w:overflowPunct w:val="0"/>
        <w:topLinePunct/>
        <w:autoSpaceDE w:val="0"/>
        <w:autoSpaceDN w:val="0"/>
        <w:spacing w:before="0" w:beforeAutospacing="0" w:after="0" w:afterAutospacing="0"/>
        <w:ind w:firstLine="420"/>
        <w:rPr>
          <w:rFonts w:ascii="楷体" w:eastAsia="楷体" w:hAnsi="楷体" w:cs="楷体"/>
          <w:sz w:val="21"/>
          <w:szCs w:val="18"/>
        </w:rPr>
      </w:pPr>
      <w:r>
        <w:rPr>
          <w:rFonts w:ascii="楷体" w:eastAsia="楷体" w:hAnsi="楷体" w:cs="楷体" w:hint="eastAsia"/>
          <w:sz w:val="21"/>
          <w:szCs w:val="18"/>
        </w:rPr>
        <w:t>充分披露原则。根据金融工具性质、重要性及复杂程度等因素，充分披露公允价值相关信息。</w:t>
      </w:r>
    </w:p>
    <w:p w:rsidR="00C1769E" w:rsidRDefault="007B0020" w:rsidP="007B0020">
      <w:pPr>
        <w:pStyle w:val="a8"/>
        <w:widowControl w:val="0"/>
        <w:numPr>
          <w:ilvl w:val="0"/>
          <w:numId w:val="43"/>
        </w:numPr>
        <w:overflowPunct w:val="0"/>
        <w:topLinePunct/>
        <w:autoSpaceDE w:val="0"/>
        <w:autoSpaceDN w:val="0"/>
        <w:spacing w:before="0" w:beforeAutospacing="0" w:after="0" w:afterAutospacing="0"/>
        <w:rPr>
          <w:rFonts w:ascii="楷体" w:eastAsia="楷体" w:hAnsi="楷体" w:cs="楷体"/>
          <w:sz w:val="21"/>
          <w:szCs w:val="18"/>
        </w:rPr>
      </w:pPr>
      <w:r>
        <w:rPr>
          <w:rFonts w:ascii="楷体" w:eastAsia="楷体" w:hAnsi="楷体" w:cs="楷体" w:hint="eastAsia"/>
          <w:sz w:val="21"/>
          <w:szCs w:val="18"/>
        </w:rPr>
        <w:t>估值日：本产品的估值日为每个工作日。</w:t>
      </w:r>
    </w:p>
    <w:p w:rsidR="00C1769E" w:rsidRDefault="007B0020">
      <w:pPr>
        <w:pStyle w:val="a8"/>
        <w:widowControl w:val="0"/>
        <w:overflowPunct w:val="0"/>
        <w:topLinePunct/>
        <w:autoSpaceDE w:val="0"/>
        <w:autoSpaceDN w:val="0"/>
        <w:spacing w:before="0" w:beforeAutospacing="0" w:after="0" w:afterAutospacing="0"/>
        <w:ind w:firstLineChars="200" w:firstLine="420"/>
        <w:rPr>
          <w:rFonts w:ascii="楷体" w:eastAsia="楷体" w:hAnsi="楷体" w:cs="楷体"/>
          <w:sz w:val="21"/>
          <w:szCs w:val="18"/>
        </w:rPr>
      </w:pPr>
      <w:r>
        <w:rPr>
          <w:rFonts w:ascii="楷体" w:eastAsia="楷体" w:hAnsi="楷体" w:cs="楷体" w:hint="eastAsia"/>
          <w:sz w:val="21"/>
          <w:szCs w:val="18"/>
        </w:rPr>
        <w:t>暂停估值的情形：</w:t>
      </w:r>
      <w:r>
        <w:rPr>
          <w:rFonts w:ascii="楷体" w:eastAsia="楷体" w:hAnsi="楷体" w:cs="楷体"/>
          <w:sz w:val="21"/>
          <w:szCs w:val="18"/>
        </w:rPr>
        <w:t>1.理财产品投资所涉及的证券交易所遇法定节假日或其他原因暂停营业时；2.因任何不可抗力致使无法准确评估资产价值时；3.前一估值日内，产品资产净值50%以上的资产不具备活跃交易市场或者在活跃市场中无报价，且不能采用估值技术可靠计量公允价值的。</w:t>
      </w:r>
    </w:p>
    <w:p w:rsidR="00C1769E" w:rsidRDefault="007B0020">
      <w:pPr>
        <w:widowControl/>
        <w:overflowPunct w:val="0"/>
        <w:topLinePunct/>
        <w:autoSpaceDE w:val="0"/>
        <w:autoSpaceDN w:val="0"/>
        <w:ind w:firstLineChars="200" w:firstLine="420"/>
        <w:rPr>
          <w:rFonts w:ascii="楷体" w:eastAsia="楷体" w:hAnsi="楷体" w:cs="楷体"/>
          <w:szCs w:val="18"/>
        </w:rPr>
      </w:pPr>
      <w:r>
        <w:rPr>
          <w:rFonts w:ascii="楷体" w:eastAsia="楷体" w:hAnsi="楷体" w:cs="楷体" w:hint="eastAsia"/>
          <w:szCs w:val="18"/>
          <w:lang w:bidi="ar"/>
        </w:rPr>
        <w:t>发生上述情形之一且理财产品管理人决定暂停估值时，理财产品管理人应当在</w:t>
      </w:r>
      <w:r>
        <w:rPr>
          <w:rFonts w:ascii="楷体" w:eastAsia="楷体" w:hAnsi="楷体" w:cs="楷体"/>
          <w:szCs w:val="18"/>
          <w:lang w:bidi="ar"/>
        </w:rPr>
        <w:t>3个工作日内通过相应信息披露渠道进行披露</w:t>
      </w:r>
      <w:r>
        <w:rPr>
          <w:rFonts w:ascii="楷体" w:eastAsia="楷体" w:hAnsi="楷体" w:cs="Arial Unicode MS"/>
          <w:kern w:val="0"/>
          <w:szCs w:val="18"/>
        </w:rPr>
        <w:t>，并说明运用相关措施的原因、拟采取的应对安排等</w:t>
      </w:r>
      <w:r>
        <w:rPr>
          <w:rFonts w:ascii="楷体" w:eastAsia="楷体" w:hAnsi="楷体" w:cs="楷体" w:hint="eastAsia"/>
          <w:szCs w:val="18"/>
          <w:lang w:bidi="ar"/>
        </w:rPr>
        <w:t>。估值条件恢复时，将按规定完成估值工作</w:t>
      </w:r>
    </w:p>
    <w:p w:rsidR="00C1769E" w:rsidRDefault="007B0020" w:rsidP="007B0020">
      <w:pPr>
        <w:pStyle w:val="a8"/>
        <w:widowControl w:val="0"/>
        <w:numPr>
          <w:ilvl w:val="0"/>
          <w:numId w:val="43"/>
        </w:numPr>
        <w:overflowPunct w:val="0"/>
        <w:topLinePunct/>
        <w:autoSpaceDE w:val="0"/>
        <w:autoSpaceDN w:val="0"/>
        <w:spacing w:before="0" w:beforeAutospacing="0" w:after="0" w:afterAutospacing="0"/>
        <w:rPr>
          <w:rFonts w:ascii="楷体" w:eastAsia="楷体" w:hAnsi="楷体" w:cs="楷体"/>
          <w:sz w:val="21"/>
          <w:szCs w:val="18"/>
        </w:rPr>
      </w:pPr>
      <w:r>
        <w:rPr>
          <w:rFonts w:ascii="楷体" w:eastAsia="楷体" w:hAnsi="楷体" w:cs="楷体" w:hint="eastAsia"/>
          <w:sz w:val="21"/>
          <w:szCs w:val="18"/>
        </w:rPr>
        <w:t>估值对象：本产品所拥有的各类证券和银行存款本息、应收款项、其它投资等资产及负债。</w:t>
      </w:r>
    </w:p>
    <w:p w:rsidR="00C1769E" w:rsidRDefault="007B0020" w:rsidP="007B0020">
      <w:pPr>
        <w:pStyle w:val="a8"/>
        <w:widowControl w:val="0"/>
        <w:numPr>
          <w:ilvl w:val="0"/>
          <w:numId w:val="43"/>
        </w:numPr>
        <w:overflowPunct w:val="0"/>
        <w:topLinePunct/>
        <w:autoSpaceDE w:val="0"/>
        <w:autoSpaceDN w:val="0"/>
        <w:spacing w:before="0" w:beforeAutospacing="0" w:after="0" w:afterAutospacing="0"/>
        <w:rPr>
          <w:rFonts w:ascii="楷体" w:eastAsia="楷体" w:hAnsi="楷体" w:cs="楷体"/>
          <w:sz w:val="21"/>
          <w:szCs w:val="18"/>
        </w:rPr>
      </w:pPr>
      <w:r>
        <w:rPr>
          <w:rFonts w:ascii="楷体" w:eastAsia="楷体" w:hAnsi="楷体" w:cs="楷体" w:hint="eastAsia"/>
          <w:sz w:val="21"/>
          <w:szCs w:val="18"/>
        </w:rPr>
        <w:t>估值方法</w:t>
      </w:r>
    </w:p>
    <w:p w:rsidR="00C1769E" w:rsidRDefault="007B0020">
      <w:pPr>
        <w:overflowPunct w:val="0"/>
        <w:topLinePunct/>
        <w:autoSpaceDE w:val="0"/>
        <w:autoSpaceDN w:val="0"/>
        <w:ind w:right="22" w:firstLineChars="200" w:firstLine="420"/>
        <w:rPr>
          <w:rFonts w:ascii="楷体" w:eastAsia="楷体" w:hAnsi="楷体" w:cs="楷体"/>
          <w:color w:val="000000" w:themeColor="text1"/>
          <w:kern w:val="0"/>
          <w:szCs w:val="18"/>
        </w:rPr>
      </w:pPr>
      <w:r>
        <w:rPr>
          <w:rFonts w:ascii="楷体" w:eastAsia="楷体" w:hAnsi="楷体" w:cs="楷体" w:hint="eastAsia"/>
          <w:color w:val="000000" w:themeColor="text1"/>
          <w:kern w:val="0"/>
          <w:szCs w:val="18"/>
        </w:rPr>
        <w:t>本理财产品成立后</w:t>
      </w:r>
      <w:r>
        <w:rPr>
          <w:rFonts w:ascii="楷体" w:eastAsia="楷体" w:hAnsi="楷体" w:cs="楷体" w:hint="eastAsia"/>
          <w:kern w:val="0"/>
          <w:szCs w:val="18"/>
        </w:rPr>
        <w:t>（含成立日当天）</w:t>
      </w:r>
      <w:r>
        <w:rPr>
          <w:rFonts w:ascii="楷体" w:eastAsia="楷体" w:hAnsi="楷体" w:cs="楷体" w:hint="eastAsia"/>
          <w:color w:val="000000" w:themeColor="text1"/>
          <w:kern w:val="0"/>
          <w:szCs w:val="18"/>
        </w:rPr>
        <w:t>，按照监管规定在确保产品资产净值能够公允地反映投资组合价值的前提下，采用摊余成本法对持有的投资组合进行会计核算，并采用影子定价的风险控制手段，对摊余成本法计算的资产净值的公允性进行评估及偏离度监测。</w:t>
      </w:r>
    </w:p>
    <w:p w:rsidR="00C1769E" w:rsidRDefault="007B0020">
      <w:p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color w:val="000000" w:themeColor="text1"/>
          <w:kern w:val="0"/>
          <w:szCs w:val="18"/>
        </w:rPr>
        <w:t>当影子定价确定的产品资产净值与摊余成本法计算的资产净值正偏离度绝对值达到</w:t>
      </w:r>
      <w:r>
        <w:rPr>
          <w:rFonts w:ascii="楷体" w:eastAsia="楷体" w:hAnsi="楷体" w:cs="楷体"/>
          <w:color w:val="000000" w:themeColor="text1"/>
          <w:kern w:val="0"/>
          <w:szCs w:val="18"/>
        </w:rPr>
        <w:t>0.5%时，</w:t>
      </w:r>
      <w:r>
        <w:rPr>
          <w:rFonts w:ascii="楷体" w:eastAsia="楷体" w:hAnsi="楷体" w:cs="楷体" w:hint="eastAsia"/>
          <w:color w:val="000000" w:themeColor="text1"/>
          <w:kern w:val="0"/>
          <w:szCs w:val="18"/>
        </w:rPr>
        <w:t>管理人应当暂停接受认（申）购并在</w:t>
      </w:r>
      <w:r>
        <w:rPr>
          <w:rFonts w:ascii="楷体" w:eastAsia="楷体" w:hAnsi="楷体" w:cs="楷体"/>
          <w:color w:val="000000" w:themeColor="text1"/>
          <w:kern w:val="0"/>
          <w:szCs w:val="18"/>
        </w:rPr>
        <w:t>5个交易日内将正偏离度绝对值调整到0.5%以内。当负偏离度绝对值达到0.25%时，</w:t>
      </w:r>
      <w:r>
        <w:rPr>
          <w:rFonts w:ascii="楷体" w:eastAsia="楷体" w:hAnsi="楷体" w:cs="楷体" w:hint="eastAsia"/>
          <w:color w:val="000000" w:themeColor="text1"/>
          <w:kern w:val="0"/>
          <w:szCs w:val="18"/>
        </w:rPr>
        <w:t>管理人应当在</w:t>
      </w:r>
      <w:r>
        <w:rPr>
          <w:rFonts w:ascii="楷体" w:eastAsia="楷体" w:hAnsi="楷体" w:cs="楷体"/>
          <w:color w:val="000000" w:themeColor="text1"/>
          <w:kern w:val="0"/>
          <w:szCs w:val="18"/>
        </w:rPr>
        <w:t>5个交易日内将负偏离度绝对值调整到0.25%以内。当负偏</w:t>
      </w:r>
      <w:r>
        <w:rPr>
          <w:rFonts w:ascii="楷体" w:eastAsia="楷体" w:hAnsi="楷体" w:cs="楷体"/>
          <w:kern w:val="0"/>
          <w:szCs w:val="18"/>
        </w:rPr>
        <w:t>离度绝对值达到0.5%时，</w:t>
      </w:r>
      <w:r>
        <w:rPr>
          <w:rFonts w:ascii="楷体" w:eastAsia="楷体" w:hAnsi="楷体" w:cs="楷体" w:hint="eastAsia"/>
          <w:kern w:val="0"/>
          <w:szCs w:val="18"/>
        </w:rPr>
        <w:t>管理人应当采取相应措施，将负偏离度绝对值控制在</w:t>
      </w:r>
      <w:r>
        <w:rPr>
          <w:rFonts w:ascii="楷体" w:eastAsia="楷体" w:hAnsi="楷体" w:cs="楷体"/>
          <w:kern w:val="0"/>
          <w:szCs w:val="18"/>
        </w:rPr>
        <w:t>0.5%以内。当负偏离度绝对值连续两个交易日超过0.5%时，</w:t>
      </w:r>
      <w:r>
        <w:rPr>
          <w:rFonts w:ascii="楷体" w:eastAsia="楷体" w:hAnsi="楷体" w:cs="楷体" w:hint="eastAsia"/>
          <w:kern w:val="0"/>
          <w:szCs w:val="18"/>
        </w:rPr>
        <w:t>管理人应当采用公允价值估值方法对持有投资组合的账面价值进行调整，或者采取暂停接受所有赎回申请并终止产品合同进行财产清算等措施，产品资产净值可能产生相应的波动。</w:t>
      </w:r>
      <w:r>
        <w:rPr>
          <w:rFonts w:ascii="楷体" w:eastAsia="楷体" w:hAnsi="楷体" w:cs="楷体"/>
          <w:kern w:val="0"/>
          <w:szCs w:val="18"/>
        </w:rPr>
        <w:t>影子定价与摊余成本法确定的现金管理类产品资产净值的偏离度＝</w:t>
      </w:r>
      <w:r>
        <w:rPr>
          <w:rFonts w:ascii="楷体" w:eastAsia="楷体" w:hAnsi="楷体" w:cs="楷体"/>
          <w:noProof/>
          <w:kern w:val="0"/>
          <w:szCs w:val="18"/>
        </w:rPr>
        <w:drawing>
          <wp:inline distT="0" distB="0" distL="114300" distR="114300">
            <wp:extent cx="914400" cy="442595"/>
            <wp:effectExtent l="0" t="0" r="0" b="15240"/>
            <wp:docPr id="1" name="图片 1" descr="http://www.gov.cn/zhengce/zhengceku/2021-06/12/5617327/images/77142c43418e484796caa2b08446d9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gov.cn/zhengce/zhengceku/2021-06/12/5617327/images/77142c43418e484796caa2b08446d9fe.png"/>
                    <pic:cNvPicPr>
                      <a:picLocks noChangeAspect="1"/>
                    </pic:cNvPicPr>
                  </pic:nvPicPr>
                  <pic:blipFill>
                    <a:blip r:embed="rId8"/>
                    <a:stretch>
                      <a:fillRect/>
                    </a:stretch>
                  </pic:blipFill>
                  <pic:spPr>
                    <a:xfrm>
                      <a:off x="0" y="0"/>
                      <a:ext cx="914400" cy="442595"/>
                    </a:xfrm>
                    <a:prstGeom prst="rect">
                      <a:avLst/>
                    </a:prstGeom>
                    <a:noFill/>
                    <a:ln>
                      <a:noFill/>
                    </a:ln>
                  </pic:spPr>
                </pic:pic>
              </a:graphicData>
            </a:graphic>
          </wp:inline>
        </w:drawing>
      </w:r>
      <w:r>
        <w:rPr>
          <w:rFonts w:ascii="楷体" w:eastAsia="楷体" w:hAnsi="楷体" w:cs="楷体"/>
          <w:kern w:val="0"/>
          <w:szCs w:val="18"/>
        </w:rPr>
        <w:t>。其中，NAVs为影子定价确定的现金管理类产品资产净值，NAVa为摊余成本法确定的现金管理类产品资产净值。</w:t>
      </w:r>
    </w:p>
    <w:p w:rsidR="00C1769E" w:rsidRDefault="007B0020">
      <w:p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color w:val="000000" w:themeColor="text1"/>
          <w:kern w:val="0"/>
          <w:szCs w:val="18"/>
        </w:rPr>
        <w:t>影子定价按以下方式进行估值：</w:t>
      </w:r>
    </w:p>
    <w:p w:rsidR="00C1769E" w:rsidRDefault="007B0020" w:rsidP="007B0020">
      <w:pPr>
        <w:numPr>
          <w:ilvl w:val="0"/>
          <w:numId w:val="45"/>
        </w:num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kern w:val="0"/>
          <w:szCs w:val="18"/>
        </w:rPr>
        <w:t>债券</w:t>
      </w:r>
    </w:p>
    <w:p w:rsidR="00C1769E" w:rsidRDefault="007B0020" w:rsidP="007B0020">
      <w:pPr>
        <w:pStyle w:val="a8"/>
        <w:numPr>
          <w:ilvl w:val="0"/>
          <w:numId w:val="46"/>
        </w:numPr>
        <w:overflowPunct w:val="0"/>
        <w:topLinePunct/>
        <w:autoSpaceDE w:val="0"/>
        <w:autoSpaceDN w:val="0"/>
        <w:spacing w:before="0" w:beforeAutospacing="0" w:after="0" w:afterAutospacing="0" w:line="400" w:lineRule="exact"/>
        <w:ind w:left="0" w:firstLine="840"/>
        <w:jc w:val="both"/>
        <w:rPr>
          <w:rFonts w:ascii="楷体" w:eastAsia="楷体" w:hAnsi="楷体" w:cs="楷体"/>
          <w:sz w:val="21"/>
          <w:szCs w:val="21"/>
        </w:rPr>
      </w:pPr>
      <w:r>
        <w:rPr>
          <w:rFonts w:ascii="楷体" w:eastAsia="楷体" w:hAnsi="楷体" w:cs="楷体" w:hint="eastAsia"/>
          <w:sz w:val="21"/>
          <w:szCs w:val="21"/>
        </w:rPr>
        <w:t>在证券交易所交易的债券，存在活跃市场报价的，可按估值日收盘价估值，估值日没有交易的，按最近交易日的收盘价估值；或按第三方估值机构提供的估值结果数据进行估值，具体第三方估值机构由管理人和托管行具体协商确定；</w:t>
      </w:r>
    </w:p>
    <w:p w:rsidR="00C1769E" w:rsidRDefault="007B0020" w:rsidP="007B0020">
      <w:pPr>
        <w:pStyle w:val="a8"/>
        <w:numPr>
          <w:ilvl w:val="0"/>
          <w:numId w:val="46"/>
        </w:numPr>
        <w:overflowPunct w:val="0"/>
        <w:topLinePunct/>
        <w:autoSpaceDE w:val="0"/>
        <w:autoSpaceDN w:val="0"/>
        <w:spacing w:before="0" w:beforeAutospacing="0" w:after="0" w:afterAutospacing="0" w:line="400" w:lineRule="exact"/>
        <w:ind w:left="0" w:firstLine="840"/>
        <w:jc w:val="both"/>
        <w:rPr>
          <w:rFonts w:ascii="楷体" w:eastAsia="楷体" w:hAnsi="楷体" w:cs="楷体"/>
          <w:sz w:val="21"/>
          <w:szCs w:val="21"/>
        </w:rPr>
      </w:pPr>
      <w:r>
        <w:rPr>
          <w:rFonts w:ascii="楷体" w:eastAsia="楷体" w:hAnsi="楷体" w:cs="楷体" w:hint="eastAsia"/>
          <w:sz w:val="21"/>
          <w:szCs w:val="21"/>
        </w:rPr>
        <w:lastRenderedPageBreak/>
        <w:t>在全国银行间市场交易的债券，按第三方估值机构提供的估值结果数据进行估值，具体第三方估值机构由管理人和托管行具体协商确定。</w:t>
      </w:r>
    </w:p>
    <w:p w:rsidR="00C1769E" w:rsidRDefault="007B0020" w:rsidP="007B0020">
      <w:pPr>
        <w:numPr>
          <w:ilvl w:val="0"/>
          <w:numId w:val="45"/>
        </w:num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kern w:val="0"/>
          <w:szCs w:val="18"/>
        </w:rPr>
        <w:t>存款、债券逆回购及同业拆借等货币市场工具，采用合理的估值技术确定公允价值。</w:t>
      </w:r>
    </w:p>
    <w:p w:rsidR="00C1769E" w:rsidRDefault="007B0020" w:rsidP="007B0020">
      <w:pPr>
        <w:numPr>
          <w:ilvl w:val="0"/>
          <w:numId w:val="45"/>
        </w:num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kern w:val="0"/>
          <w:szCs w:val="18"/>
        </w:rPr>
        <w:t>资产管理计划按资产管理产品管理人所公布</w:t>
      </w:r>
      <w:r>
        <w:rPr>
          <w:rFonts w:ascii="楷体" w:eastAsia="楷体" w:hAnsi="楷体" w:cs="楷体"/>
          <w:kern w:val="0"/>
          <w:szCs w:val="18"/>
        </w:rPr>
        <w:t>/披露的资产管理产品财产净值进行估值。</w:t>
      </w:r>
    </w:p>
    <w:p w:rsidR="00C1769E" w:rsidRDefault="007B0020" w:rsidP="007B0020">
      <w:pPr>
        <w:numPr>
          <w:ilvl w:val="0"/>
          <w:numId w:val="45"/>
        </w:num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kern w:val="0"/>
          <w:szCs w:val="18"/>
        </w:rPr>
        <w:t>若理财产品存续期间持有其他投资品种，以理财产品管理人和理财产品托管人共同认可的方式估值。</w:t>
      </w:r>
    </w:p>
    <w:p w:rsidR="00C1769E" w:rsidRDefault="007B0020" w:rsidP="007B0020">
      <w:pPr>
        <w:numPr>
          <w:ilvl w:val="0"/>
          <w:numId w:val="45"/>
        </w:num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kern w:val="0"/>
          <w:szCs w:val="18"/>
        </w:rPr>
        <w:t>如有确凿证据表明按上述方法进行估值不能客观反映资产公允价值的，可根据具体情况，在综合考虑市场成交、市场报价、流动性、收益率曲线等因素基础上，按最能反映公允价值的价格估值。</w:t>
      </w:r>
    </w:p>
    <w:p w:rsidR="00C1769E" w:rsidRDefault="007B0020" w:rsidP="007B0020">
      <w:pPr>
        <w:numPr>
          <w:ilvl w:val="0"/>
          <w:numId w:val="45"/>
        </w:numPr>
        <w:overflowPunct w:val="0"/>
        <w:topLinePunct/>
        <w:autoSpaceDE w:val="0"/>
        <w:autoSpaceDN w:val="0"/>
        <w:ind w:right="22" w:firstLineChars="200" w:firstLine="420"/>
        <w:rPr>
          <w:rFonts w:ascii="楷体" w:eastAsia="楷体" w:hAnsi="楷体" w:cs="楷体"/>
          <w:kern w:val="0"/>
          <w:szCs w:val="18"/>
        </w:rPr>
      </w:pPr>
      <w:r>
        <w:rPr>
          <w:rFonts w:ascii="楷体" w:eastAsia="楷体" w:hAnsi="楷体" w:cs="楷体" w:hint="eastAsia"/>
          <w:kern w:val="0"/>
          <w:szCs w:val="18"/>
        </w:rPr>
        <w:t>如有新增事项或变更事项，按国家最新规定或理财产品管理人公布的最新约定进行估值。</w:t>
      </w:r>
    </w:p>
    <w:p w:rsidR="00C1769E" w:rsidRDefault="007B0020" w:rsidP="007B0020">
      <w:pPr>
        <w:pStyle w:val="a8"/>
        <w:widowControl w:val="0"/>
        <w:numPr>
          <w:ilvl w:val="0"/>
          <w:numId w:val="43"/>
        </w:numPr>
        <w:overflowPunct w:val="0"/>
        <w:topLinePunct/>
        <w:autoSpaceDE w:val="0"/>
        <w:autoSpaceDN w:val="0"/>
        <w:spacing w:before="0" w:beforeAutospacing="0" w:after="0" w:afterAutospacing="0" w:line="400" w:lineRule="exact"/>
        <w:rPr>
          <w:rFonts w:ascii="楷体" w:eastAsia="楷体" w:hAnsi="楷体" w:cs="楷体"/>
          <w:sz w:val="21"/>
          <w:szCs w:val="18"/>
        </w:rPr>
      </w:pPr>
      <w:r>
        <w:rPr>
          <w:rFonts w:ascii="楷体" w:eastAsia="楷体" w:hAnsi="楷体" w:cs="楷体" w:hint="eastAsia"/>
          <w:sz w:val="21"/>
          <w:szCs w:val="18"/>
        </w:rPr>
        <w:t>万份收益和</w:t>
      </w:r>
      <w:r>
        <w:rPr>
          <w:rFonts w:ascii="楷体" w:eastAsia="楷体" w:hAnsi="楷体" w:cs="楷体"/>
          <w:sz w:val="21"/>
          <w:szCs w:val="18"/>
        </w:rPr>
        <w:t>7日年化收益率的计算</w:t>
      </w:r>
    </w:p>
    <w:p w:rsidR="00C1769E" w:rsidRDefault="007B0020" w:rsidP="007B0020">
      <w:pPr>
        <w:pStyle w:val="a8"/>
        <w:widowControl w:val="0"/>
        <w:numPr>
          <w:ilvl w:val="0"/>
          <w:numId w:val="47"/>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hint="eastAsia"/>
          <w:sz w:val="21"/>
          <w:szCs w:val="21"/>
        </w:rPr>
        <w:t>万份收益是按照相关法规计算的每万份产品份额的单日已实现收益，精确到小数点后第</w:t>
      </w:r>
      <w:r>
        <w:rPr>
          <w:rFonts w:ascii="楷体" w:eastAsia="楷体" w:hAnsi="楷体" w:cs="楷体"/>
          <w:sz w:val="21"/>
          <w:szCs w:val="21"/>
        </w:rPr>
        <w:t>4位，小数点后第5位四舍五入。</w:t>
      </w:r>
    </w:p>
    <w:p w:rsidR="00C1769E" w:rsidRDefault="007B0020">
      <w:pPr>
        <w:pStyle w:val="a8"/>
        <w:widowControl w:val="0"/>
        <w:overflowPunct w:val="0"/>
        <w:topLinePunct/>
        <w:autoSpaceDE w:val="0"/>
        <w:autoSpaceDN w:val="0"/>
        <w:spacing w:before="0" w:beforeAutospacing="0" w:after="0" w:afterAutospacing="0" w:line="400" w:lineRule="exact"/>
        <w:ind w:left="400" w:firstLine="420"/>
        <w:jc w:val="center"/>
        <w:rPr>
          <w:rFonts w:ascii="楷体" w:eastAsia="楷体" w:hAnsi="楷体" w:cs="楷体"/>
          <w:sz w:val="21"/>
          <w:szCs w:val="21"/>
        </w:rPr>
      </w:pPr>
      <w:r>
        <w:rPr>
          <w:rFonts w:ascii="楷体" w:eastAsia="楷体" w:hAnsi="楷体" w:cs="楷体" w:hint="eastAsia"/>
          <w:sz w:val="21"/>
          <w:szCs w:val="21"/>
        </w:rPr>
        <w:t>当日万份收益</w:t>
      </w:r>
      <w:r>
        <w:rPr>
          <w:rFonts w:ascii="楷体" w:eastAsia="楷体" w:hAnsi="楷体" w:cs="楷体"/>
          <w:sz w:val="21"/>
          <w:szCs w:val="21"/>
        </w:rPr>
        <w:t>=当日产品的已实现收益/当日产品总份额×10000</w:t>
      </w:r>
    </w:p>
    <w:p w:rsidR="00C1769E" w:rsidRDefault="007B0020" w:rsidP="007B0020">
      <w:pPr>
        <w:pStyle w:val="a8"/>
        <w:widowControl w:val="0"/>
        <w:numPr>
          <w:ilvl w:val="0"/>
          <w:numId w:val="47"/>
        </w:numPr>
        <w:overflowPunct w:val="0"/>
        <w:topLinePunct/>
        <w:autoSpaceDE w:val="0"/>
        <w:autoSpaceDN w:val="0"/>
        <w:spacing w:before="0" w:beforeAutospacing="0" w:after="0" w:afterAutospacing="0" w:line="400" w:lineRule="exact"/>
        <w:ind w:firstLine="420"/>
        <w:rPr>
          <w:rFonts w:ascii="楷体" w:eastAsia="楷体" w:hAnsi="楷体" w:cs="楷体"/>
          <w:sz w:val="21"/>
          <w:szCs w:val="21"/>
        </w:rPr>
      </w:pPr>
      <w:r>
        <w:rPr>
          <w:rFonts w:ascii="楷体" w:eastAsia="楷体" w:hAnsi="楷体" w:cs="楷体"/>
          <w:sz w:val="21"/>
          <w:szCs w:val="21"/>
        </w:rPr>
        <w:t>7日年化收益率是以最近7个自然日(含节假日)每万份产品已实现收益所折算的年资产收益率，精确到百分号内小数点后4位，百分号内小数点后第5位四舍五入。</w:t>
      </w:r>
    </w:p>
    <w:p w:rsidR="00C1769E" w:rsidRDefault="007B0020">
      <w:pPr>
        <w:pStyle w:val="a8"/>
        <w:overflowPunct w:val="0"/>
        <w:topLinePunct/>
        <w:autoSpaceDE w:val="0"/>
        <w:autoSpaceDN w:val="0"/>
        <w:spacing w:before="0" w:beforeAutospacing="0" w:after="0" w:afterAutospacing="0"/>
        <w:ind w:firstLine="420"/>
        <w:jc w:val="center"/>
        <w:rPr>
          <w:rFonts w:ascii="楷体" w:eastAsia="楷体" w:hAnsi="楷体" w:cs="楷体"/>
          <w:sz w:val="21"/>
          <w:szCs w:val="21"/>
        </w:rPr>
      </w:pPr>
      <w:r>
        <w:rPr>
          <w:rFonts w:ascii="楷体" w:eastAsia="楷体" w:hAnsi="楷体" w:cs="楷体"/>
          <w:sz w:val="21"/>
          <w:szCs w:val="21"/>
        </w:rPr>
        <w:t>7日年化收益率（%）=</w:t>
      </w:r>
      <m:oMath>
        <m:d>
          <m:dPr>
            <m:begChr m:val="{"/>
            <m:endChr m:val="}"/>
            <m:ctrlPr>
              <w:rPr>
                <w:rFonts w:ascii="Cambria Math" w:eastAsia="楷体" w:hAnsi="Cambria Math" w:cs="楷体"/>
                <w:sz w:val="21"/>
                <w:szCs w:val="21"/>
              </w:rPr>
            </m:ctrlPr>
          </m:dPr>
          <m:e>
            <m:sSup>
              <m:sSupPr>
                <m:ctrlPr>
                  <w:rPr>
                    <w:rFonts w:ascii="Cambria Math" w:eastAsia="楷体" w:hAnsi="Cambria Math" w:cs="楷体"/>
                    <w:sz w:val="21"/>
                    <w:szCs w:val="21"/>
                  </w:rPr>
                </m:ctrlPr>
              </m:sSupPr>
              <m:e>
                <m:d>
                  <m:dPr>
                    <m:begChr m:val="["/>
                    <m:endChr m:val="]"/>
                    <m:ctrlPr>
                      <w:rPr>
                        <w:rFonts w:ascii="Cambria Math" w:eastAsia="楷体" w:hAnsi="Cambria Math" w:cs="楷体"/>
                        <w:sz w:val="21"/>
                        <w:szCs w:val="21"/>
                      </w:rPr>
                    </m:ctrlPr>
                  </m:dPr>
                  <m:e>
                    <m:nary>
                      <m:naryPr>
                        <m:chr m:val="∏"/>
                        <m:limLoc m:val="undOvr"/>
                        <m:ctrlPr>
                          <w:rPr>
                            <w:rFonts w:ascii="Cambria Math" w:eastAsia="楷体" w:hAnsi="Cambria Math" w:cs="楷体"/>
                            <w:sz w:val="21"/>
                            <w:szCs w:val="21"/>
                          </w:rPr>
                        </m:ctrlPr>
                      </m:naryPr>
                      <m:sub>
                        <m:r>
                          <w:rPr>
                            <w:rFonts w:ascii="Cambria Math" w:eastAsia="楷体" w:hAnsi="Cambria Math" w:cs="楷体" w:hint="eastAsia"/>
                            <w:sz w:val="21"/>
                            <w:szCs w:val="21"/>
                          </w:rPr>
                          <m:t>i</m:t>
                        </m:r>
                        <m:r>
                          <m:rPr>
                            <m:sty m:val="p"/>
                          </m:rPr>
                          <w:rPr>
                            <w:rFonts w:ascii="Cambria Math" w:eastAsia="楷体" w:hAnsi="Cambria Math" w:cs="楷体" w:hint="eastAsia"/>
                            <w:sz w:val="21"/>
                            <w:szCs w:val="21"/>
                          </w:rPr>
                          <m:t>=1</m:t>
                        </m:r>
                      </m:sub>
                      <m:sup>
                        <m:r>
                          <m:rPr>
                            <m:sty m:val="p"/>
                          </m:rPr>
                          <w:rPr>
                            <w:rFonts w:ascii="Cambria Math" w:eastAsia="楷体" w:hAnsi="Cambria Math" w:cs="楷体" w:hint="eastAsia"/>
                            <w:sz w:val="21"/>
                            <w:szCs w:val="21"/>
                          </w:rPr>
                          <m:t>7</m:t>
                        </m:r>
                      </m:sup>
                      <m:e>
                        <m:d>
                          <m:dPr>
                            <m:ctrlPr>
                              <w:rPr>
                                <w:rFonts w:ascii="Cambria Math" w:eastAsia="楷体" w:hAnsi="Cambria Math" w:cs="楷体"/>
                                <w:sz w:val="21"/>
                                <w:szCs w:val="21"/>
                              </w:rPr>
                            </m:ctrlPr>
                          </m:dPr>
                          <m:e>
                            <m:r>
                              <m:rPr>
                                <m:sty m:val="p"/>
                              </m:rPr>
                              <w:rPr>
                                <w:rFonts w:ascii="Cambria Math" w:eastAsia="楷体" w:hAnsi="Cambria Math" w:cs="楷体" w:hint="eastAsia"/>
                                <w:sz w:val="21"/>
                                <w:szCs w:val="21"/>
                              </w:rPr>
                              <m:t>1+</m:t>
                            </m:r>
                            <m:f>
                              <m:fPr>
                                <m:ctrlPr>
                                  <w:rPr>
                                    <w:rFonts w:ascii="Cambria Math" w:eastAsia="楷体" w:hAnsi="Cambria Math" w:cs="楷体"/>
                                    <w:sz w:val="21"/>
                                    <w:szCs w:val="21"/>
                                  </w:rPr>
                                </m:ctrlPr>
                              </m:fPr>
                              <m:num>
                                <m:sSub>
                                  <m:sSubPr>
                                    <m:ctrlPr>
                                      <w:rPr>
                                        <w:rFonts w:ascii="Cambria Math" w:eastAsia="楷体" w:hAnsi="Cambria Math" w:cs="楷体"/>
                                        <w:i/>
                                        <w:sz w:val="21"/>
                                        <w:szCs w:val="21"/>
                                      </w:rPr>
                                    </m:ctrlPr>
                                  </m:sSubPr>
                                  <m:e>
                                    <m:r>
                                      <w:rPr>
                                        <w:rFonts w:ascii="Cambria Math" w:eastAsia="楷体" w:hAnsi="Cambria Math" w:cs="楷体" w:hint="eastAsia"/>
                                        <w:sz w:val="21"/>
                                        <w:szCs w:val="21"/>
                                      </w:rPr>
                                      <m:t>R</m:t>
                                    </m:r>
                                  </m:e>
                                  <m:sub>
                                    <m:r>
                                      <w:rPr>
                                        <w:rFonts w:ascii="Cambria Math" w:eastAsia="楷体" w:hAnsi="Cambria Math" w:cs="楷体" w:hint="eastAsia"/>
                                        <w:sz w:val="21"/>
                                        <w:szCs w:val="21"/>
                                      </w:rPr>
                                      <m:t>i</m:t>
                                    </m:r>
                                  </m:sub>
                                </m:sSub>
                              </m:num>
                              <m:den>
                                <m:r>
                                  <m:rPr>
                                    <m:sty m:val="p"/>
                                  </m:rPr>
                                  <w:rPr>
                                    <w:rFonts w:ascii="Cambria Math" w:eastAsia="楷体" w:hAnsi="Cambria Math" w:cs="楷体" w:hint="eastAsia"/>
                                    <w:sz w:val="21"/>
                                    <w:szCs w:val="21"/>
                                  </w:rPr>
                                  <m:t>10000</m:t>
                                </m:r>
                              </m:den>
                            </m:f>
                          </m:e>
                        </m:d>
                      </m:e>
                    </m:nary>
                  </m:e>
                </m:d>
              </m:e>
              <m:sup>
                <m:f>
                  <m:fPr>
                    <m:type m:val="lin"/>
                    <m:ctrlPr>
                      <w:rPr>
                        <w:rFonts w:ascii="Cambria Math" w:eastAsia="楷体" w:hAnsi="Cambria Math" w:cs="楷体"/>
                        <w:i/>
                        <w:sz w:val="21"/>
                        <w:szCs w:val="21"/>
                      </w:rPr>
                    </m:ctrlPr>
                  </m:fPr>
                  <m:num>
                    <m:r>
                      <w:rPr>
                        <w:rFonts w:ascii="Cambria Math" w:eastAsia="楷体" w:hAnsi="Cambria Math" w:cs="楷体" w:hint="eastAsia"/>
                        <w:sz w:val="21"/>
                        <w:szCs w:val="21"/>
                      </w:rPr>
                      <m:t>365</m:t>
                    </m:r>
                  </m:num>
                  <m:den>
                    <m:r>
                      <w:rPr>
                        <w:rFonts w:ascii="Cambria Math" w:eastAsia="楷体" w:hAnsi="Cambria Math" w:cs="楷体" w:hint="eastAsia"/>
                        <w:sz w:val="21"/>
                        <w:szCs w:val="21"/>
                      </w:rPr>
                      <m:t>7</m:t>
                    </m:r>
                  </m:den>
                </m:f>
              </m:sup>
            </m:sSup>
            <m:r>
              <w:rPr>
                <w:rFonts w:ascii="Cambria Math" w:eastAsia="楷体" w:hAnsi="Cambria Math" w:cs="楷体"/>
                <w:sz w:val="21"/>
                <w:szCs w:val="21"/>
              </w:rPr>
              <m:t>-1</m:t>
            </m:r>
          </m:e>
        </m:d>
        <m:r>
          <w:rPr>
            <w:rFonts w:ascii="Cambria Math" w:eastAsia="楷体" w:hAnsi="Cambria Math" w:cs="楷体" w:hint="eastAsia"/>
            <w:sz w:val="21"/>
            <w:szCs w:val="21"/>
          </w:rPr>
          <m:t>×</m:t>
        </m:r>
        <m:r>
          <w:rPr>
            <w:rFonts w:ascii="Cambria Math" w:eastAsia="楷体" w:hAnsi="Cambria Math" w:cs="楷体" w:hint="eastAsia"/>
            <w:sz w:val="21"/>
            <w:szCs w:val="21"/>
          </w:rPr>
          <m:t>100%</m:t>
        </m:r>
      </m:oMath>
    </w:p>
    <w:p w:rsidR="00C1769E" w:rsidRDefault="007B0020">
      <w:pPr>
        <w:pStyle w:val="a8"/>
        <w:overflowPunct w:val="0"/>
        <w:topLinePunct/>
        <w:autoSpaceDE w:val="0"/>
        <w:autoSpaceDN w:val="0"/>
        <w:spacing w:before="0" w:beforeAutospacing="0" w:after="0" w:afterAutospacing="0"/>
        <w:ind w:right="630" w:firstLine="420"/>
        <w:jc w:val="center"/>
        <w:rPr>
          <w:rFonts w:ascii="楷体" w:eastAsia="楷体" w:hAnsi="楷体" w:cs="楷体"/>
          <w:sz w:val="21"/>
          <w:szCs w:val="21"/>
        </w:rPr>
      </w:pPr>
      <w:r>
        <w:rPr>
          <w:rFonts w:ascii="楷体" w:eastAsia="楷体" w:hAnsi="楷体" w:cs="楷体" w:hint="eastAsia"/>
          <w:sz w:val="21"/>
          <w:szCs w:val="21"/>
        </w:rPr>
        <w:t>其中，</w:t>
      </w:r>
      <m:oMath>
        <m:sSub>
          <m:sSubPr>
            <m:ctrlPr>
              <w:rPr>
                <w:rFonts w:ascii="Cambria Math" w:eastAsia="楷体" w:hAnsi="Cambria Math" w:cs="楷体"/>
                <w:i/>
                <w:sz w:val="21"/>
                <w:szCs w:val="21"/>
              </w:rPr>
            </m:ctrlPr>
          </m:sSubPr>
          <m:e>
            <m:r>
              <w:rPr>
                <w:rFonts w:ascii="Cambria Math" w:eastAsia="楷体" w:hAnsi="Cambria Math" w:cs="楷体" w:hint="eastAsia"/>
                <w:sz w:val="21"/>
                <w:szCs w:val="21"/>
              </w:rPr>
              <m:t>R</m:t>
            </m:r>
          </m:e>
          <m:sub>
            <m:r>
              <w:rPr>
                <w:rFonts w:ascii="Cambria Math" w:eastAsia="楷体" w:hAnsi="Cambria Math" w:cs="楷体" w:hint="eastAsia"/>
                <w:sz w:val="21"/>
                <w:szCs w:val="21"/>
              </w:rPr>
              <m:t>i</m:t>
            </m:r>
          </m:sub>
        </m:sSub>
      </m:oMath>
      <w:r>
        <w:rPr>
          <w:rFonts w:ascii="楷体" w:eastAsia="楷体" w:hAnsi="楷体" w:cs="楷体" w:hint="eastAsia"/>
          <w:sz w:val="21"/>
          <w:szCs w:val="21"/>
        </w:rPr>
        <w:t>为最近第</w:t>
      </w:r>
      <w:r>
        <w:rPr>
          <w:rFonts w:ascii="楷体" w:eastAsia="楷体" w:hAnsi="楷体" w:cs="楷体"/>
          <w:sz w:val="21"/>
          <w:szCs w:val="21"/>
        </w:rPr>
        <w:t>i个自然日(包括计算当日)的万份收益。</w:t>
      </w:r>
    </w:p>
    <w:p w:rsidR="00C1769E" w:rsidRDefault="007B0020" w:rsidP="007B0020">
      <w:pPr>
        <w:pStyle w:val="a8"/>
        <w:widowControl w:val="0"/>
        <w:numPr>
          <w:ilvl w:val="0"/>
          <w:numId w:val="43"/>
        </w:numPr>
        <w:overflowPunct w:val="0"/>
        <w:topLinePunct/>
        <w:autoSpaceDE w:val="0"/>
        <w:autoSpaceDN w:val="0"/>
        <w:spacing w:before="0" w:beforeAutospacing="0" w:after="0" w:afterAutospacing="0" w:line="400" w:lineRule="exact"/>
        <w:rPr>
          <w:rFonts w:ascii="楷体" w:eastAsia="楷体" w:hAnsi="楷体" w:cs="楷体"/>
          <w:sz w:val="21"/>
          <w:szCs w:val="21"/>
        </w:rPr>
      </w:pPr>
      <w:r>
        <w:rPr>
          <w:rFonts w:ascii="楷体" w:eastAsia="楷体" w:hAnsi="楷体" w:cs="楷体" w:hint="eastAsia"/>
          <w:sz w:val="21"/>
          <w:szCs w:val="21"/>
        </w:rPr>
        <w:t>估值错误的处理：产品管理人和托管人将采取必要、适当合理的措施确保产品资产估值的准确性、及时性。当份额净值和</w:t>
      </w:r>
      <w:r>
        <w:rPr>
          <w:rFonts w:ascii="楷体" w:eastAsia="楷体" w:hAnsi="楷体" w:cs="楷体"/>
          <w:sz w:val="21"/>
          <w:szCs w:val="21"/>
        </w:rPr>
        <w:t>/或万份收益出现错误时，产品管理人应当立即予以纠正，并采取合理的措施防止损失进一步扩大。由于本理财产品估值所用的价格来源中出现错误，或由于其它不可抗力原因，理财产品管理人和托管人虽然已经采取必要、适当、合理的措施进行检查，但是未能发现该错误的，由此造成的产品资产估值错误，产品管理人和托管人可以免除赔偿责任。但产品管理人和托管人应当积极采取必要的措施消除由此造成的影响。</w:t>
      </w:r>
    </w:p>
    <w:p w:rsidR="00C1769E" w:rsidRDefault="00C1769E">
      <w:pPr>
        <w:spacing w:line="312" w:lineRule="auto"/>
        <w:ind w:firstLine="420"/>
        <w:rPr>
          <w:rFonts w:ascii="楷体" w:eastAsia="楷体" w:hAnsi="楷体" w:cs="楷体"/>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信息披露</w:t>
      </w:r>
    </w:p>
    <w:p w:rsidR="00C1769E" w:rsidRDefault="007B0020" w:rsidP="007B0020">
      <w:pPr>
        <w:pStyle w:val="a8"/>
        <w:widowControl w:val="0"/>
        <w:numPr>
          <w:ilvl w:val="0"/>
          <w:numId w:val="48"/>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信息披露的内容：</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Chars="200" w:firstLine="422"/>
        <w:rPr>
          <w:rFonts w:ascii="楷体" w:eastAsia="楷体" w:hAnsi="楷体" w:cs="楷体"/>
          <w:b/>
          <w:sz w:val="21"/>
          <w:szCs w:val="21"/>
        </w:rPr>
      </w:pPr>
      <w:r>
        <w:rPr>
          <w:rFonts w:ascii="楷体" w:eastAsia="楷体" w:hAnsi="楷体" w:cs="楷体" w:hint="eastAsia"/>
          <w:b/>
          <w:sz w:val="21"/>
          <w:szCs w:val="21"/>
        </w:rPr>
        <w:t>发行公告：在理财产品成立后</w:t>
      </w:r>
      <w:r>
        <w:rPr>
          <w:rFonts w:ascii="楷体" w:eastAsia="楷体" w:hAnsi="楷体" w:cs="楷体"/>
          <w:b/>
          <w:sz w:val="21"/>
          <w:szCs w:val="21"/>
        </w:rPr>
        <w:t>5个工作日内披露产品发行公告。</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Chars="200" w:firstLine="422"/>
        <w:rPr>
          <w:rFonts w:ascii="楷体" w:eastAsia="楷体" w:hAnsi="楷体" w:cs="楷体"/>
          <w:b/>
          <w:color w:val="000000"/>
          <w:sz w:val="21"/>
          <w:szCs w:val="21"/>
        </w:rPr>
      </w:pPr>
      <w:r>
        <w:rPr>
          <w:rFonts w:ascii="楷体" w:eastAsia="楷体" w:hAnsi="楷体" w:cs="楷体" w:hint="eastAsia"/>
          <w:b/>
          <w:sz w:val="21"/>
          <w:szCs w:val="21"/>
        </w:rPr>
        <w:t>定期报告：在每个季度结束之日起</w:t>
      </w:r>
      <w:r>
        <w:rPr>
          <w:rFonts w:ascii="楷体" w:eastAsia="楷体" w:hAnsi="楷体" w:cs="楷体"/>
          <w:b/>
          <w:sz w:val="21"/>
          <w:szCs w:val="21"/>
        </w:rPr>
        <w:t>15个工作日内、上半年结束之日起60个工作日内、每年结束之日起90个工作日内，披露理财产品的季度、半年和年度报告等定期报告。</w:t>
      </w:r>
      <w:r>
        <w:rPr>
          <w:rFonts w:ascii="楷体" w:eastAsia="楷体" w:hAnsi="楷体" w:cs="楷体" w:hint="eastAsia"/>
          <w:b/>
          <w:color w:val="000000"/>
          <w:sz w:val="21"/>
          <w:szCs w:val="21"/>
        </w:rPr>
        <w:t>理财产品成立不足</w:t>
      </w:r>
      <w:r>
        <w:rPr>
          <w:rFonts w:ascii="楷体" w:eastAsia="楷体" w:hAnsi="楷体" w:cs="楷体"/>
          <w:b/>
          <w:color w:val="000000"/>
          <w:sz w:val="21"/>
          <w:szCs w:val="21"/>
        </w:rPr>
        <w:t>90个工作日或者剩余存续期不超过90个工作日的，产品管理人可以不编制理财产品当期的季度、半年和年度报告。</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Chars="200" w:firstLine="422"/>
        <w:rPr>
          <w:rFonts w:ascii="楷体" w:eastAsia="楷体" w:hAnsi="楷体" w:cs="楷体"/>
          <w:b/>
          <w:color w:val="000000"/>
          <w:sz w:val="21"/>
          <w:szCs w:val="21"/>
        </w:rPr>
      </w:pPr>
      <w:r>
        <w:rPr>
          <w:rFonts w:ascii="楷体" w:eastAsia="楷体" w:hAnsi="楷体" w:cs="楷体"/>
          <w:b/>
          <w:color w:val="000000"/>
          <w:sz w:val="21"/>
          <w:szCs w:val="21"/>
        </w:rPr>
        <w:t>管理人将在本产品的半年和年度报告中，披露本产品前10名投资者的类别、持有</w:t>
      </w:r>
      <w:r>
        <w:rPr>
          <w:rFonts w:ascii="楷体" w:eastAsia="楷体" w:hAnsi="楷体" w:cs="楷体"/>
          <w:b/>
          <w:color w:val="000000"/>
          <w:sz w:val="21"/>
          <w:szCs w:val="21"/>
        </w:rPr>
        <w:lastRenderedPageBreak/>
        <w:t>份额及占总份额的比例等信息。</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Chars="200" w:firstLine="422"/>
        <w:rPr>
          <w:rFonts w:ascii="楷体" w:eastAsia="楷体" w:hAnsi="楷体" w:cs="楷体"/>
          <w:b/>
          <w:color w:val="000000"/>
          <w:sz w:val="21"/>
          <w:szCs w:val="21"/>
        </w:rPr>
      </w:pPr>
      <w:r>
        <w:rPr>
          <w:rFonts w:ascii="楷体" w:eastAsia="楷体" w:hAnsi="楷体" w:cs="楷体"/>
          <w:b/>
          <w:color w:val="000000"/>
          <w:sz w:val="21"/>
          <w:szCs w:val="21"/>
        </w:rPr>
        <w:t>本产品存续期间，如出现单一投资者持有产品份额达到或者超过本产品总份额20%的情形，为保障其他投资者的权益，管理人将在定期报告中披露该投资者的类别、持有份额及占比、持有份额变化情况及产品风险等信息，国家金融监督管理机构认定的特殊情形除外。</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到期公告：在产品终止后</w:t>
      </w:r>
      <w:r>
        <w:rPr>
          <w:rFonts w:ascii="楷体" w:eastAsia="楷体" w:hAnsi="楷体" w:cs="楷体"/>
          <w:b/>
          <w:sz w:val="21"/>
          <w:szCs w:val="21"/>
        </w:rPr>
        <w:t>5个工作日内披露产品到期公告。</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重大事项公告：在产品重大事项发生后的</w:t>
      </w:r>
      <w:r>
        <w:rPr>
          <w:rFonts w:ascii="楷体" w:eastAsia="楷体" w:hAnsi="楷体" w:cs="楷体"/>
          <w:b/>
          <w:sz w:val="21"/>
          <w:szCs w:val="21"/>
        </w:rPr>
        <w:t>2个工作日内披露重大事项公告。产品重大事项包括但不限于如下事件：</w:t>
      </w:r>
    </w:p>
    <w:p w:rsidR="00C1769E" w:rsidRDefault="007B0020" w:rsidP="007B0020">
      <w:pPr>
        <w:pStyle w:val="a8"/>
        <w:widowControl w:val="0"/>
        <w:numPr>
          <w:ilvl w:val="0"/>
          <w:numId w:val="50"/>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理财产品</w:t>
      </w:r>
      <w:r>
        <w:rPr>
          <w:rFonts w:ascii="楷体" w:eastAsia="楷体" w:hAnsi="楷体" w:cs="楷体" w:hint="eastAsia"/>
          <w:b/>
          <w:kern w:val="2"/>
          <w:sz w:val="21"/>
          <w:szCs w:val="18"/>
        </w:rPr>
        <w:t>所投资资产对投资者权益或投资收益等产生重大影响的突发事件</w:t>
      </w:r>
      <w:r>
        <w:rPr>
          <w:rFonts w:ascii="楷体" w:eastAsia="楷体" w:hAnsi="楷体" w:cs="楷体" w:hint="eastAsia"/>
          <w:b/>
          <w:sz w:val="21"/>
          <w:szCs w:val="21"/>
        </w:rPr>
        <w:t>；</w:t>
      </w:r>
    </w:p>
    <w:p w:rsidR="00C1769E" w:rsidRDefault="007B0020" w:rsidP="007B0020">
      <w:pPr>
        <w:pStyle w:val="a8"/>
        <w:widowControl w:val="0"/>
        <w:numPr>
          <w:ilvl w:val="0"/>
          <w:numId w:val="50"/>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金融市场发生重大变化导致理财产品投资比例暂时超出浮动区间且可能对理财产品收益产生重大影响的事件；</w:t>
      </w:r>
    </w:p>
    <w:p w:rsidR="00C1769E" w:rsidRDefault="007B0020" w:rsidP="007B0020">
      <w:pPr>
        <w:pStyle w:val="a8"/>
        <w:widowControl w:val="0"/>
        <w:numPr>
          <w:ilvl w:val="0"/>
          <w:numId w:val="50"/>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其他可能对理财产品投资者或者理财产品收益产生重大影响的事件。</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净值披露</w:t>
      </w:r>
    </w:p>
    <w:p w:rsidR="00C1769E" w:rsidRDefault="007B0020" w:rsidP="007B0020">
      <w:pPr>
        <w:pStyle w:val="a8"/>
        <w:widowControl w:val="0"/>
        <w:numPr>
          <w:ilvl w:val="0"/>
          <w:numId w:val="51"/>
        </w:numPr>
        <w:overflowPunct w:val="0"/>
        <w:topLinePunct/>
        <w:autoSpaceDE w:val="0"/>
        <w:autoSpaceDN w:val="0"/>
        <w:spacing w:before="0" w:beforeAutospacing="0" w:after="0" w:afterAutospacing="0" w:line="400" w:lineRule="exact"/>
        <w:ind w:left="0" w:firstLine="420"/>
        <w:rPr>
          <w:rFonts w:ascii="楷体" w:eastAsia="楷体" w:hAnsi="楷体" w:cs="楷体"/>
          <w:b/>
          <w:color w:val="000000"/>
          <w:sz w:val="21"/>
          <w:szCs w:val="21"/>
        </w:rPr>
      </w:pPr>
      <w:r>
        <w:rPr>
          <w:rFonts w:ascii="楷体" w:eastAsia="楷体" w:hAnsi="楷体" w:cs="楷体" w:hint="eastAsia"/>
          <w:b/>
          <w:sz w:val="21"/>
          <w:szCs w:val="21"/>
        </w:rPr>
        <w:t>产品管理人将于每个开放日后</w:t>
      </w:r>
      <w:r>
        <w:rPr>
          <w:rFonts w:ascii="楷体" w:eastAsia="楷体" w:hAnsi="楷体" w:cs="楷体"/>
          <w:b/>
          <w:sz w:val="21"/>
          <w:szCs w:val="21"/>
        </w:rPr>
        <w:t>2个工作日内</w:t>
      </w:r>
      <w:r>
        <w:rPr>
          <w:rFonts w:ascii="楷体" w:eastAsia="楷体" w:hAnsi="楷体" w:cs="楷体" w:hint="eastAsia"/>
          <w:b/>
          <w:color w:val="000000"/>
          <w:sz w:val="21"/>
          <w:szCs w:val="21"/>
        </w:rPr>
        <w:t>公告</w:t>
      </w:r>
      <w:r>
        <w:rPr>
          <w:rFonts w:ascii="楷体" w:eastAsia="楷体" w:hAnsi="楷体" w:cs="楷体" w:hint="eastAsia"/>
          <w:b/>
          <w:sz w:val="21"/>
          <w:szCs w:val="21"/>
        </w:rPr>
        <w:t>开放日的每万份产品已实现收益（万份收益）和</w:t>
      </w:r>
      <w:r>
        <w:rPr>
          <w:rFonts w:ascii="楷体" w:eastAsia="楷体" w:hAnsi="楷体" w:cs="楷体"/>
          <w:b/>
          <w:sz w:val="21"/>
          <w:szCs w:val="21"/>
        </w:rPr>
        <w:t>7日年化收益率。</w:t>
      </w:r>
    </w:p>
    <w:p w:rsidR="00C1769E" w:rsidRDefault="007B0020" w:rsidP="007B0020">
      <w:pPr>
        <w:pStyle w:val="a8"/>
        <w:widowControl w:val="0"/>
        <w:numPr>
          <w:ilvl w:val="0"/>
          <w:numId w:val="51"/>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color w:val="000000"/>
          <w:sz w:val="21"/>
          <w:szCs w:val="21"/>
        </w:rPr>
        <w:t>在定期报告中披露产品在季度、半年和年度最后</w:t>
      </w:r>
      <w:r>
        <w:rPr>
          <w:rFonts w:ascii="楷体" w:eastAsia="楷体" w:hAnsi="楷体" w:cs="楷体"/>
          <w:b/>
          <w:color w:val="000000"/>
          <w:sz w:val="21"/>
          <w:szCs w:val="21"/>
        </w:rPr>
        <w:t>1个市场交易日的份额净值、份额累计净值和资产净值。</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420"/>
        <w:rPr>
          <w:rFonts w:ascii="楷体" w:eastAsia="楷体" w:hAnsi="楷体" w:cs="楷体"/>
          <w:b/>
          <w:sz w:val="21"/>
          <w:szCs w:val="21"/>
        </w:rPr>
      </w:pPr>
      <w:r>
        <w:rPr>
          <w:rFonts w:ascii="楷体" w:eastAsia="楷体" w:hAnsi="楷体" w:cs="楷体" w:hint="eastAsia"/>
          <w:b/>
          <w:sz w:val="21"/>
          <w:szCs w:val="21"/>
        </w:rPr>
        <w:t>临时报告：以下事项，理财产品管理人应当进行临时报告：</w:t>
      </w:r>
    </w:p>
    <w:p w:rsidR="00C1769E" w:rsidRDefault="007B0020" w:rsidP="007B0020">
      <w:pPr>
        <w:pStyle w:val="a8"/>
        <w:widowControl w:val="0"/>
        <w:numPr>
          <w:ilvl w:val="0"/>
          <w:numId w:val="52"/>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如理财产品管理人转换产品运作方式；产品认购期延长；变更投资收益分配事项；管理费、托管费等费用的具体收费项目、条件、计提标准、计提方式和费率发生变更。</w:t>
      </w:r>
    </w:p>
    <w:p w:rsidR="00C1769E" w:rsidRDefault="007B0020" w:rsidP="007B0020">
      <w:pPr>
        <w:pStyle w:val="a8"/>
        <w:widowControl w:val="0"/>
        <w:numPr>
          <w:ilvl w:val="0"/>
          <w:numId w:val="52"/>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如本理财产品变更投资比例范围，理财产品管理人应在变更生效前进行公告；除高风险类型的理财产品超出比例范围投资较低风险资产外，理财产品管理人还应事先取得投资者书面同意，并履行登记备案等法律法规以及国家金融监督管理部门规定的程序。</w:t>
      </w:r>
    </w:p>
    <w:p w:rsidR="00C1769E" w:rsidRDefault="007B0020" w:rsidP="007B0020">
      <w:pPr>
        <w:pStyle w:val="a8"/>
        <w:widowControl w:val="0"/>
        <w:numPr>
          <w:ilvl w:val="0"/>
          <w:numId w:val="52"/>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如理财产品提前成立，理财产品管理人将于提前成立日的第</w:t>
      </w:r>
      <w:r>
        <w:rPr>
          <w:rFonts w:ascii="楷体" w:eastAsia="楷体" w:hAnsi="楷体" w:cs="楷体"/>
          <w:b/>
          <w:sz w:val="21"/>
          <w:szCs w:val="21"/>
        </w:rPr>
        <w:t>2个工作日发布相关信息公告。</w:t>
      </w:r>
    </w:p>
    <w:p w:rsidR="00C1769E" w:rsidRDefault="007B0020" w:rsidP="007B0020">
      <w:pPr>
        <w:pStyle w:val="a8"/>
        <w:widowControl w:val="0"/>
        <w:numPr>
          <w:ilvl w:val="0"/>
          <w:numId w:val="52"/>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如理财产品赎回款项支付延迟可能超过</w:t>
      </w:r>
      <w:r>
        <w:rPr>
          <w:rFonts w:ascii="楷体" w:eastAsia="楷体" w:hAnsi="楷体" w:cs="楷体"/>
          <w:b/>
          <w:sz w:val="21"/>
          <w:szCs w:val="21"/>
        </w:rPr>
        <w:t>1个工作日，理财产品管理人将在赎回确认日后1个工作日内公告。</w:t>
      </w:r>
    </w:p>
    <w:p w:rsidR="00C1769E" w:rsidRDefault="007B0020" w:rsidP="007B0020">
      <w:pPr>
        <w:pStyle w:val="a8"/>
        <w:widowControl w:val="0"/>
        <w:numPr>
          <w:ilvl w:val="0"/>
          <w:numId w:val="52"/>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如理财产品提前终止，理财产品管理人将至少提前</w:t>
      </w:r>
      <w:r>
        <w:rPr>
          <w:rFonts w:ascii="楷体" w:eastAsia="楷体" w:hAnsi="楷体" w:cs="楷体"/>
          <w:b/>
          <w:sz w:val="21"/>
          <w:szCs w:val="21"/>
        </w:rPr>
        <w:t>3个工作日（含）发布相关信息公告。</w:t>
      </w:r>
    </w:p>
    <w:p w:rsidR="00C1769E" w:rsidRDefault="007B0020" w:rsidP="007B0020">
      <w:pPr>
        <w:pStyle w:val="a8"/>
        <w:widowControl w:val="0"/>
        <w:numPr>
          <w:ilvl w:val="0"/>
          <w:numId w:val="52"/>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如理财产品变更托管人、注册登记机构；理财产品所投资的资金信托变更受托人或投资顾问。</w:t>
      </w:r>
    </w:p>
    <w:p w:rsidR="00C1769E" w:rsidRDefault="007B0020" w:rsidP="007B0020">
      <w:pPr>
        <w:pStyle w:val="a8"/>
        <w:widowControl w:val="0"/>
        <w:numPr>
          <w:ilvl w:val="0"/>
          <w:numId w:val="52"/>
        </w:numPr>
        <w:overflowPunct w:val="0"/>
        <w:topLinePunct/>
        <w:autoSpaceDE w:val="0"/>
        <w:autoSpaceDN w:val="0"/>
        <w:spacing w:before="0" w:beforeAutospacing="0" w:after="0" w:afterAutospacing="0" w:line="400" w:lineRule="exact"/>
        <w:ind w:left="0" w:firstLine="420"/>
        <w:rPr>
          <w:rFonts w:ascii="楷体" w:eastAsia="楷体" w:hAnsi="楷体" w:cs="楷体"/>
          <w:b/>
          <w:sz w:val="21"/>
          <w:szCs w:val="21"/>
        </w:rPr>
      </w:pPr>
      <w:r>
        <w:rPr>
          <w:rFonts w:ascii="楷体" w:eastAsia="楷体" w:hAnsi="楷体" w:cs="楷体" w:hint="eastAsia"/>
          <w:b/>
          <w:sz w:val="21"/>
          <w:szCs w:val="21"/>
        </w:rPr>
        <w:t>如产品成立后调整相关要素，将事先公告。</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rPr>
          <w:rFonts w:ascii="楷体" w:eastAsia="楷体" w:hAnsi="楷体" w:cs="楷体"/>
          <w:b/>
          <w:sz w:val="21"/>
          <w:szCs w:val="18"/>
        </w:rPr>
      </w:pPr>
      <w:r>
        <w:rPr>
          <w:rFonts w:ascii="楷体" w:eastAsia="楷体" w:hAnsi="楷体" w:cs="楷体" w:hint="eastAsia"/>
          <w:b/>
          <w:sz w:val="21"/>
          <w:szCs w:val="18"/>
        </w:rPr>
        <w:t>如本理财产品终止后的清算期超过</w:t>
      </w:r>
      <w:r>
        <w:rPr>
          <w:rFonts w:ascii="楷体" w:eastAsia="楷体" w:hAnsi="楷体" w:cs="楷体"/>
          <w:b/>
          <w:sz w:val="21"/>
          <w:szCs w:val="18"/>
        </w:rPr>
        <w:t>5个工作日的，理财产品管理人应当在本理财产</w:t>
      </w:r>
      <w:r>
        <w:rPr>
          <w:rFonts w:ascii="楷体" w:eastAsia="楷体" w:hAnsi="楷体" w:cs="楷体"/>
          <w:b/>
          <w:sz w:val="21"/>
          <w:szCs w:val="18"/>
        </w:rPr>
        <w:lastRenderedPageBreak/>
        <w:t>品终止前向投资者进行披露。</w:t>
      </w:r>
    </w:p>
    <w:p w:rsidR="00C1769E" w:rsidRDefault="007B0020" w:rsidP="007B0020">
      <w:pPr>
        <w:pStyle w:val="a8"/>
        <w:widowControl w:val="0"/>
        <w:numPr>
          <w:ilvl w:val="0"/>
          <w:numId w:val="49"/>
        </w:numPr>
        <w:overflowPunct w:val="0"/>
        <w:topLinePunct/>
        <w:autoSpaceDE w:val="0"/>
        <w:autoSpaceDN w:val="0"/>
        <w:spacing w:before="0" w:beforeAutospacing="0" w:after="0" w:afterAutospacing="0" w:line="400" w:lineRule="exact"/>
        <w:ind w:firstLine="420"/>
        <w:rPr>
          <w:rFonts w:ascii="楷体" w:eastAsia="楷体" w:hAnsi="楷体" w:cs="楷体"/>
          <w:b/>
          <w:color w:val="000000"/>
          <w:sz w:val="21"/>
          <w:szCs w:val="21"/>
        </w:rPr>
      </w:pPr>
      <w:r>
        <w:rPr>
          <w:rFonts w:ascii="楷体" w:eastAsia="楷体" w:hAnsi="楷体" w:cs="楷体" w:hint="eastAsia"/>
          <w:b/>
          <w:sz w:val="21"/>
          <w:szCs w:val="21"/>
        </w:rPr>
        <w:t>其他信息披露：产品管理人根据适用法律法规、监管规定或本理财产品说明书约定进行的信息披露。</w:t>
      </w:r>
    </w:p>
    <w:p w:rsidR="00C1769E" w:rsidRDefault="007B0020" w:rsidP="007B0020">
      <w:pPr>
        <w:pStyle w:val="a8"/>
        <w:widowControl w:val="0"/>
        <w:numPr>
          <w:ilvl w:val="0"/>
          <w:numId w:val="48"/>
        </w:numPr>
        <w:overflowPunct w:val="0"/>
        <w:topLinePunct/>
        <w:autoSpaceDE w:val="0"/>
        <w:autoSpaceDN w:val="0"/>
        <w:spacing w:before="0" w:beforeAutospacing="0" w:after="0" w:afterAutospacing="0" w:line="400" w:lineRule="exact"/>
        <w:rPr>
          <w:rFonts w:ascii="楷体" w:eastAsia="楷体" w:hAnsi="楷体" w:cs="楷体"/>
          <w:b/>
          <w:bCs/>
          <w:sz w:val="21"/>
          <w:szCs w:val="21"/>
        </w:rPr>
      </w:pPr>
      <w:r>
        <w:rPr>
          <w:rFonts w:ascii="楷体" w:eastAsia="楷体" w:hAnsi="楷体" w:cs="楷体" w:hint="eastAsia"/>
          <w:b/>
          <w:bCs/>
          <w:sz w:val="21"/>
          <w:szCs w:val="21"/>
        </w:rPr>
        <w:t>投资者关于信息披露方式的确认：</w:t>
      </w:r>
    </w:p>
    <w:p w:rsidR="00C1769E" w:rsidRDefault="007B0020">
      <w:pPr>
        <w:pStyle w:val="a8"/>
        <w:widowControl w:val="0"/>
        <w:overflowPunct w:val="0"/>
        <w:topLinePunct/>
        <w:autoSpaceDE w:val="0"/>
        <w:autoSpaceDN w:val="0"/>
        <w:spacing w:before="0" w:beforeAutospacing="0" w:after="0" w:afterAutospacing="0"/>
        <w:ind w:right="-108" w:firstLine="420"/>
        <w:rPr>
          <w:rFonts w:ascii="楷体" w:eastAsia="楷体" w:hAnsi="楷体" w:cs="楷体"/>
          <w:b/>
          <w:sz w:val="21"/>
          <w:szCs w:val="21"/>
        </w:rPr>
      </w:pPr>
      <w:r>
        <w:rPr>
          <w:rFonts w:ascii="楷体" w:eastAsia="楷体" w:hAnsi="楷体" w:cs="楷体" w:hint="eastAsia"/>
          <w:b/>
          <w:sz w:val="21"/>
          <w:szCs w:val="21"/>
        </w:rPr>
        <w:t>投资者购买本理财产品，即表明其确认并同意理财产品管理人可以通过下列方式披露信息：</w:t>
      </w:r>
    </w:p>
    <w:p w:rsidR="00C1769E" w:rsidRDefault="007B0020" w:rsidP="007B0020">
      <w:pPr>
        <w:pStyle w:val="a8"/>
        <w:widowControl w:val="0"/>
        <w:numPr>
          <w:ilvl w:val="0"/>
          <w:numId w:val="53"/>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在【中国银行网站（</w:t>
      </w:r>
      <w:hyperlink r:id="rId9" w:history="1">
        <w:r>
          <w:rPr>
            <w:rStyle w:val="ac"/>
            <w:rFonts w:ascii="楷体" w:eastAsia="楷体" w:hAnsi="楷体" w:cs="楷体"/>
            <w:b/>
            <w:color w:val="auto"/>
            <w:sz w:val="21"/>
            <w:szCs w:val="21"/>
            <w:u w:val="none"/>
          </w:rPr>
          <w:t>http://www.boc.cn</w:t>
        </w:r>
      </w:hyperlink>
      <w:r>
        <w:rPr>
          <w:rFonts w:ascii="楷体" w:eastAsia="楷体" w:hAnsi="楷体" w:cs="楷体" w:hint="eastAsia"/>
          <w:b/>
          <w:sz w:val="21"/>
          <w:szCs w:val="21"/>
        </w:rPr>
        <w:t>）或手机银行、网上银行等电子渠道】公告上述信息；</w:t>
      </w:r>
    </w:p>
    <w:p w:rsidR="00A12C4E" w:rsidRDefault="00A12C4E" w:rsidP="00A12C4E">
      <w:pPr>
        <w:pStyle w:val="a8"/>
        <w:widowControl w:val="0"/>
        <w:numPr>
          <w:ilvl w:val="0"/>
          <w:numId w:val="53"/>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理财产品销售机构的营业网点将根据投资者的要求，现场打印对账信息供投资者核对；</w:t>
      </w:r>
    </w:p>
    <w:p w:rsidR="00C1769E" w:rsidRDefault="007B0020">
      <w:pPr>
        <w:pStyle w:val="a8"/>
        <w:widowControl w:val="0"/>
        <w:overflowPunct w:val="0"/>
        <w:topLinePunct/>
        <w:autoSpaceDE w:val="0"/>
        <w:autoSpaceDN w:val="0"/>
        <w:spacing w:before="0" w:beforeAutospacing="0" w:after="0" w:afterAutospacing="0" w:line="400" w:lineRule="exact"/>
        <w:ind w:firstLineChars="200" w:firstLine="422"/>
        <w:rPr>
          <w:rFonts w:ascii="楷体" w:eastAsia="楷体" w:hAnsi="楷体" w:cs="楷体"/>
          <w:b/>
          <w:bCs/>
          <w:sz w:val="21"/>
          <w:szCs w:val="21"/>
        </w:rPr>
      </w:pPr>
      <w:r>
        <w:rPr>
          <w:rFonts w:ascii="楷体" w:eastAsia="楷体" w:hAnsi="楷体" w:cs="楷体" w:hint="eastAsia"/>
          <w:b/>
          <w:sz w:val="21"/>
          <w:szCs w:val="21"/>
        </w:rPr>
        <w:t>投资者应及时、主动通过上述信息披露渠道浏览和阅读上述信息。</w:t>
      </w:r>
      <w:r>
        <w:rPr>
          <w:rFonts w:ascii="楷体" w:eastAsia="楷体" w:hAnsi="楷体" w:cs="楷体" w:hint="eastAsia"/>
          <w:b/>
          <w:bCs/>
          <w:sz w:val="21"/>
          <w:szCs w:val="21"/>
        </w:rPr>
        <w:t>如因投资者未及时、主动查询或由于通讯故障、系统故障以及其他不可抗力等因素的影响而产生的（包括但不限于因未及时获知信息而错过资金使用和再投资机会等）全部责任和风险由投资者自行承担。</w:t>
      </w:r>
    </w:p>
    <w:p w:rsidR="00C1769E" w:rsidRDefault="007B0020" w:rsidP="007B0020">
      <w:pPr>
        <w:pStyle w:val="a8"/>
        <w:widowControl w:val="0"/>
        <w:numPr>
          <w:ilvl w:val="0"/>
          <w:numId w:val="48"/>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其他需要投资者知晓的事项：</w:t>
      </w:r>
    </w:p>
    <w:p w:rsidR="00C1769E" w:rsidRDefault="007B0020" w:rsidP="007B0020">
      <w:pPr>
        <w:pStyle w:val="a8"/>
        <w:widowControl w:val="0"/>
        <w:numPr>
          <w:ilvl w:val="0"/>
          <w:numId w:val="54"/>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理财产品管理人根据适用的法律法规和监管机构要求，向监管机构和</w:t>
      </w:r>
      <w:r>
        <w:rPr>
          <w:rFonts w:ascii="楷体" w:eastAsia="楷体" w:hAnsi="楷体" w:cs="楷体"/>
          <w:b/>
          <w:sz w:val="21"/>
          <w:szCs w:val="21"/>
        </w:rPr>
        <w:t>/或其他有权机关报送投资者身份信息及投资者持有本产品份额及其变动情况等相关信息。</w:t>
      </w:r>
    </w:p>
    <w:p w:rsidR="00C1769E" w:rsidRDefault="007B0020" w:rsidP="007B0020">
      <w:pPr>
        <w:pStyle w:val="a8"/>
        <w:widowControl w:val="0"/>
        <w:numPr>
          <w:ilvl w:val="0"/>
          <w:numId w:val="54"/>
        </w:numPr>
        <w:overflowPunct w:val="0"/>
        <w:topLinePunct/>
        <w:autoSpaceDE w:val="0"/>
        <w:autoSpaceDN w:val="0"/>
        <w:spacing w:before="0" w:beforeAutospacing="0" w:after="0" w:afterAutospacing="0" w:line="400" w:lineRule="exact"/>
        <w:rPr>
          <w:rFonts w:ascii="楷体" w:eastAsia="楷体" w:hAnsi="楷体" w:cs="楷体"/>
          <w:b/>
          <w:sz w:val="21"/>
          <w:szCs w:val="21"/>
        </w:rPr>
      </w:pPr>
      <w:r>
        <w:rPr>
          <w:rFonts w:ascii="楷体" w:eastAsia="楷体" w:hAnsi="楷体" w:cs="楷体" w:hint="eastAsia"/>
          <w:b/>
          <w:sz w:val="21"/>
          <w:szCs w:val="21"/>
        </w:rPr>
        <w:t>理财产品管理人对向监管机构和</w:t>
      </w:r>
      <w:r>
        <w:rPr>
          <w:rFonts w:ascii="楷体" w:eastAsia="楷体" w:hAnsi="楷体" w:cs="楷体"/>
          <w:b/>
          <w:sz w:val="21"/>
          <w:szCs w:val="21"/>
        </w:rPr>
        <w:t>/或监管机构指定机构报送的相关信息负有保密义务,并在报送信息过程中,采取有效措施确保信息安全与保密。</w:t>
      </w:r>
    </w:p>
    <w:p w:rsidR="00C1769E" w:rsidRDefault="00C1769E">
      <w:pPr>
        <w:pStyle w:val="a8"/>
        <w:widowControl w:val="0"/>
        <w:overflowPunct w:val="0"/>
        <w:topLinePunct/>
        <w:autoSpaceDE w:val="0"/>
        <w:autoSpaceDN w:val="0"/>
        <w:spacing w:before="0" w:beforeAutospacing="0" w:after="0" w:afterAutospacing="0" w:line="400" w:lineRule="exact"/>
        <w:ind w:left="400"/>
        <w:rPr>
          <w:rFonts w:ascii="楷体" w:eastAsia="楷体" w:hAnsi="楷体" w:cs="楷体"/>
          <w:sz w:val="21"/>
          <w:szCs w:val="21"/>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托管人</w:t>
      </w:r>
    </w:p>
    <w:p w:rsidR="00C1769E" w:rsidRDefault="007B0020" w:rsidP="007B0020">
      <w:pPr>
        <w:pStyle w:val="a8"/>
        <w:widowControl w:val="0"/>
        <w:numPr>
          <w:ilvl w:val="0"/>
          <w:numId w:val="55"/>
        </w:numPr>
        <w:overflowPunct w:val="0"/>
        <w:topLinePunct/>
        <w:autoSpaceDE w:val="0"/>
        <w:autoSpaceDN w:val="0"/>
        <w:spacing w:before="0" w:beforeAutospacing="0" w:after="0" w:afterAutospacing="0"/>
        <w:rPr>
          <w:rFonts w:ascii="楷体" w:eastAsia="楷体" w:hAnsi="楷体" w:cs="楷体"/>
          <w:sz w:val="21"/>
          <w:szCs w:val="18"/>
        </w:rPr>
      </w:pPr>
      <w:r>
        <w:rPr>
          <w:rFonts w:ascii="楷体" w:eastAsia="楷体" w:hAnsi="楷体" w:cs="楷体" w:hint="eastAsia"/>
          <w:sz w:val="21"/>
          <w:szCs w:val="18"/>
        </w:rPr>
        <w:t>托管人基本信息：</w:t>
      </w:r>
    </w:p>
    <w:p w:rsidR="00C1769E" w:rsidRDefault="007B0020">
      <w:pPr>
        <w:ind w:firstLineChars="200" w:firstLine="420"/>
        <w:rPr>
          <w:rFonts w:ascii="楷体" w:eastAsia="楷体" w:hAnsi="楷体" w:cs="Arial Unicode MS"/>
          <w:kern w:val="0"/>
          <w:szCs w:val="18"/>
        </w:rPr>
      </w:pPr>
      <w:r>
        <w:rPr>
          <w:rFonts w:ascii="楷体" w:eastAsia="楷体" w:hAnsi="楷体" w:cs="Arial Unicode MS" w:hint="eastAsia"/>
          <w:kern w:val="0"/>
          <w:szCs w:val="18"/>
        </w:rPr>
        <w:t>托管人：中国银行股份有限公司</w:t>
      </w:r>
    </w:p>
    <w:p w:rsidR="00C1769E" w:rsidRDefault="007B0020">
      <w:pPr>
        <w:ind w:firstLineChars="200" w:firstLine="420"/>
        <w:rPr>
          <w:rFonts w:ascii="楷体" w:eastAsia="楷体" w:hAnsi="楷体" w:cs="Arial Unicode MS"/>
          <w:kern w:val="0"/>
          <w:szCs w:val="18"/>
        </w:rPr>
      </w:pPr>
      <w:r>
        <w:rPr>
          <w:rFonts w:ascii="楷体" w:eastAsia="楷体" w:hAnsi="楷体" w:cs="Arial Unicode MS"/>
          <w:kern w:val="0"/>
          <w:szCs w:val="18"/>
        </w:rPr>
        <w:t>注册地址：</w:t>
      </w:r>
      <w:r>
        <w:rPr>
          <w:rFonts w:ascii="楷体" w:eastAsia="楷体" w:hAnsi="楷体" w:cs="Arial Unicode MS" w:hint="eastAsia"/>
          <w:kern w:val="0"/>
          <w:szCs w:val="18"/>
        </w:rPr>
        <w:t>北京市西城区复兴门内大街</w:t>
      </w:r>
      <w:r>
        <w:rPr>
          <w:rFonts w:ascii="楷体" w:eastAsia="楷体" w:hAnsi="楷体" w:cs="Arial Unicode MS"/>
          <w:kern w:val="0"/>
          <w:szCs w:val="18"/>
        </w:rPr>
        <w:t>1号</w:t>
      </w:r>
    </w:p>
    <w:p w:rsidR="00C1769E" w:rsidRDefault="007B0020" w:rsidP="007B0020">
      <w:pPr>
        <w:pStyle w:val="a8"/>
        <w:widowControl w:val="0"/>
        <w:numPr>
          <w:ilvl w:val="0"/>
          <w:numId w:val="55"/>
        </w:numPr>
        <w:overflowPunct w:val="0"/>
        <w:topLinePunct/>
        <w:autoSpaceDE w:val="0"/>
        <w:autoSpaceDN w:val="0"/>
        <w:spacing w:before="0" w:beforeAutospacing="0" w:after="0" w:afterAutospacing="0"/>
        <w:ind w:firstLineChars="200"/>
        <w:rPr>
          <w:rFonts w:ascii="楷体" w:eastAsia="楷体" w:hAnsi="楷体" w:cs="楷体"/>
          <w:sz w:val="21"/>
          <w:szCs w:val="18"/>
        </w:rPr>
      </w:pPr>
      <w:r>
        <w:rPr>
          <w:rFonts w:ascii="楷体" w:eastAsia="楷体" w:hAnsi="楷体" w:cs="楷体" w:hint="eastAsia"/>
          <w:sz w:val="21"/>
          <w:szCs w:val="18"/>
        </w:rPr>
        <w:t>托管人职责：</w:t>
      </w:r>
    </w:p>
    <w:p w:rsidR="00C1769E" w:rsidRDefault="007B0020">
      <w:pPr>
        <w:pStyle w:val="a8"/>
        <w:widowControl w:val="0"/>
        <w:numPr>
          <w:ilvl w:val="255"/>
          <w:numId w:val="0"/>
        </w:numPr>
        <w:tabs>
          <w:tab w:val="left" w:pos="1080"/>
        </w:tabs>
        <w:overflowPunct w:val="0"/>
        <w:topLinePunct/>
        <w:autoSpaceDE w:val="0"/>
        <w:autoSpaceDN w:val="0"/>
        <w:spacing w:before="0" w:beforeAutospacing="0" w:after="0" w:afterAutospacing="0"/>
        <w:ind w:left="400" w:right="-108"/>
        <w:rPr>
          <w:rFonts w:ascii="楷体" w:eastAsia="楷体" w:hAnsi="楷体" w:cs="楷体"/>
          <w:sz w:val="21"/>
          <w:szCs w:val="18"/>
        </w:rPr>
      </w:pPr>
      <w:r>
        <w:rPr>
          <w:rFonts w:ascii="楷体" w:eastAsia="楷体" w:hAnsi="楷体" w:cs="楷体" w:hint="eastAsia"/>
          <w:sz w:val="21"/>
          <w:szCs w:val="18"/>
        </w:rPr>
        <w:t>本理财产品托管人应当履行下列职责，确保实现实质性独立托管：</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安全保管理财产品财产；</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为每只理财产品开设独立的托管账户，不同托管账户中的资产应当相互独立；</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按照托管协议约定和理财产品管理人的投资指令，及时办理清算、交割事宜；</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建立与理财产品管理人的对账机制，复核、审查理财产品资金头寸、资产账目、资产净值、认购和赎回价格等数据，及时核查认购、赎回以及投资资金的支付和到账情况；</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监督理财产品投资运作，发现理财产品违反法律、行政法规、规章规定或合同约定进行投资的，应当拒绝执行，及时通知理财产品管理人并报告银行业监督管理机构；</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理财托管业务活动的记录、账册、报表和其他相关资料保存</w:t>
      </w:r>
      <w:r>
        <w:rPr>
          <w:rFonts w:ascii="楷体" w:eastAsia="楷体" w:hAnsi="楷体" w:cs="楷体"/>
          <w:sz w:val="21"/>
          <w:szCs w:val="18"/>
        </w:rPr>
        <w:t>15年以上；</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对理财产品投资信息和相关资料承担保密责任，除法律、行政法规、规章规定、审计</w:t>
      </w:r>
      <w:r>
        <w:rPr>
          <w:rFonts w:ascii="楷体" w:eastAsia="楷体" w:hAnsi="楷体" w:cs="楷体" w:hint="eastAsia"/>
          <w:sz w:val="21"/>
          <w:szCs w:val="18"/>
        </w:rPr>
        <w:lastRenderedPageBreak/>
        <w:t>要求或者合同约定外，不得向任何机构或者个人提供相关信息和资料；</w:t>
      </w:r>
    </w:p>
    <w:p w:rsidR="00C1769E" w:rsidRDefault="007B0020" w:rsidP="007B0020">
      <w:pPr>
        <w:pStyle w:val="a8"/>
        <w:widowControl w:val="0"/>
        <w:numPr>
          <w:ilvl w:val="0"/>
          <w:numId w:val="56"/>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国务院银行业监督管理机构规定的其他职责。</w:t>
      </w:r>
    </w:p>
    <w:p w:rsidR="00C1769E" w:rsidRDefault="00C1769E">
      <w:pPr>
        <w:pStyle w:val="a8"/>
        <w:widowControl w:val="0"/>
        <w:numPr>
          <w:ilvl w:val="255"/>
          <w:numId w:val="0"/>
        </w:numPr>
        <w:tabs>
          <w:tab w:val="left" w:pos="1080"/>
        </w:tabs>
        <w:overflowPunct w:val="0"/>
        <w:topLinePunct/>
        <w:autoSpaceDE w:val="0"/>
        <w:autoSpaceDN w:val="0"/>
        <w:spacing w:before="0" w:beforeAutospacing="0" w:after="0" w:afterAutospacing="0"/>
        <w:ind w:left="400" w:right="-108"/>
        <w:rPr>
          <w:rFonts w:ascii="楷体" w:eastAsia="楷体" w:hAnsi="楷体" w:cs="楷体"/>
          <w:sz w:val="21"/>
          <w:szCs w:val="18"/>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销售机构</w:t>
      </w:r>
    </w:p>
    <w:p w:rsidR="00C1769E" w:rsidRDefault="007B0020" w:rsidP="007B0020">
      <w:pPr>
        <w:pStyle w:val="a8"/>
        <w:widowControl w:val="0"/>
        <w:numPr>
          <w:ilvl w:val="0"/>
          <w:numId w:val="57"/>
        </w:numPr>
        <w:overflowPunct w:val="0"/>
        <w:topLinePunct/>
        <w:autoSpaceDE w:val="0"/>
        <w:autoSpaceDN w:val="0"/>
        <w:spacing w:before="0" w:beforeAutospacing="0" w:after="0" w:afterAutospacing="0"/>
        <w:rPr>
          <w:rFonts w:ascii="楷体" w:eastAsia="楷体" w:hAnsi="楷体" w:cs="楷体"/>
          <w:sz w:val="21"/>
          <w:szCs w:val="18"/>
        </w:rPr>
      </w:pPr>
      <w:r>
        <w:rPr>
          <w:rFonts w:ascii="楷体" w:eastAsia="楷体" w:hAnsi="楷体" w:cs="楷体" w:hint="eastAsia"/>
          <w:sz w:val="21"/>
          <w:szCs w:val="18"/>
        </w:rPr>
        <w:t>销售机构基本信息</w:t>
      </w:r>
    </w:p>
    <w:p w:rsidR="00A12C4E" w:rsidRDefault="00A12C4E" w:rsidP="00A12C4E">
      <w:pPr>
        <w:ind w:firstLineChars="200" w:firstLine="420"/>
        <w:rPr>
          <w:rFonts w:ascii="楷体" w:eastAsia="楷体" w:hAnsi="楷体" w:cs="楷体"/>
          <w:kern w:val="0"/>
          <w:szCs w:val="18"/>
        </w:rPr>
      </w:pPr>
      <w:r>
        <w:rPr>
          <w:rFonts w:ascii="楷体" w:eastAsia="楷体" w:hAnsi="楷体" w:cs="楷体" w:hint="eastAsia"/>
          <w:kern w:val="0"/>
          <w:szCs w:val="18"/>
        </w:rPr>
        <w:t>销售机构</w:t>
      </w:r>
      <w:r w:rsidR="00076767">
        <w:rPr>
          <w:rFonts w:ascii="楷体" w:eastAsia="楷体" w:hAnsi="楷体" w:cs="楷体" w:hint="eastAsia"/>
          <w:kern w:val="0"/>
          <w:szCs w:val="18"/>
        </w:rPr>
        <w:t>1</w:t>
      </w:r>
      <w:r>
        <w:rPr>
          <w:rFonts w:ascii="楷体" w:eastAsia="楷体" w:hAnsi="楷体" w:cs="楷体" w:hint="eastAsia"/>
          <w:kern w:val="0"/>
          <w:szCs w:val="18"/>
        </w:rPr>
        <w:t>：</w:t>
      </w:r>
      <w:r>
        <w:rPr>
          <w:rFonts w:ascii="楷体" w:eastAsia="楷体" w:hAnsi="楷体" w:hint="eastAsia"/>
          <w:kern w:val="0"/>
        </w:rPr>
        <w:t>中信银行股份有限公司</w:t>
      </w:r>
    </w:p>
    <w:p w:rsidR="00A12C4E" w:rsidRDefault="00A12C4E" w:rsidP="00A12C4E">
      <w:pPr>
        <w:ind w:firstLineChars="200" w:firstLine="420"/>
        <w:rPr>
          <w:rFonts w:ascii="楷体" w:eastAsia="楷体" w:hAnsi="楷体"/>
          <w:kern w:val="0"/>
        </w:rPr>
      </w:pPr>
      <w:r>
        <w:rPr>
          <w:rFonts w:ascii="楷体" w:eastAsia="楷体" w:hAnsi="楷体" w:cs="楷体" w:hint="eastAsia"/>
          <w:kern w:val="0"/>
          <w:szCs w:val="18"/>
        </w:rPr>
        <w:t>注册地址：</w:t>
      </w:r>
      <w:r>
        <w:rPr>
          <w:rFonts w:ascii="楷体" w:eastAsia="楷体" w:hAnsi="楷体" w:hint="eastAsia"/>
          <w:kern w:val="0"/>
        </w:rPr>
        <w:t>北京市朝阳区光华路10号院1号楼6-30层、32-42层</w:t>
      </w:r>
    </w:p>
    <w:p w:rsidR="00076767" w:rsidRDefault="00076767" w:rsidP="00076767">
      <w:pPr>
        <w:ind w:firstLineChars="200" w:firstLine="420"/>
        <w:rPr>
          <w:rFonts w:ascii="楷体" w:eastAsia="楷体" w:hAnsi="楷体" w:cs="楷体"/>
          <w:kern w:val="0"/>
          <w:szCs w:val="18"/>
        </w:rPr>
      </w:pPr>
      <w:r>
        <w:rPr>
          <w:rFonts w:ascii="楷体" w:eastAsia="楷体" w:hAnsi="楷体" w:cs="楷体" w:hint="eastAsia"/>
          <w:kern w:val="0"/>
          <w:szCs w:val="18"/>
        </w:rPr>
        <w:t>销售机构2：</w:t>
      </w:r>
      <w:r>
        <w:rPr>
          <w:rFonts w:ascii="楷体" w:eastAsia="楷体" w:hAnsi="楷体" w:hint="eastAsia"/>
          <w:kern w:val="0"/>
        </w:rPr>
        <w:t>华夏银行股份有限公司</w:t>
      </w:r>
    </w:p>
    <w:p w:rsidR="00076767" w:rsidRDefault="00076767" w:rsidP="00076767">
      <w:pPr>
        <w:ind w:firstLineChars="200" w:firstLine="420"/>
        <w:rPr>
          <w:rFonts w:ascii="楷体" w:eastAsia="楷体" w:hAnsi="楷体" w:cs="楷体"/>
          <w:kern w:val="0"/>
          <w:szCs w:val="18"/>
        </w:rPr>
      </w:pPr>
      <w:r>
        <w:rPr>
          <w:rFonts w:ascii="楷体" w:eastAsia="楷体" w:hAnsi="楷体" w:cs="楷体" w:hint="eastAsia"/>
          <w:kern w:val="0"/>
          <w:szCs w:val="18"/>
        </w:rPr>
        <w:t>注册地址：</w:t>
      </w:r>
      <w:r>
        <w:rPr>
          <w:rFonts w:ascii="楷体" w:eastAsia="楷体" w:hAnsi="楷体" w:hint="eastAsia"/>
          <w:kern w:val="0"/>
        </w:rPr>
        <w:t>北京市东城区建国门内大街22号</w:t>
      </w:r>
    </w:p>
    <w:p w:rsidR="00002562" w:rsidRDefault="00002562" w:rsidP="00002562">
      <w:pPr>
        <w:ind w:firstLineChars="200" w:firstLine="420"/>
        <w:rPr>
          <w:rFonts w:ascii="楷体" w:eastAsia="楷体" w:hAnsi="楷体"/>
          <w:kern w:val="0"/>
        </w:rPr>
      </w:pPr>
      <w:r>
        <w:rPr>
          <w:rFonts w:ascii="楷体" w:eastAsia="楷体" w:hAnsi="楷体" w:hint="eastAsia"/>
          <w:kern w:val="0"/>
        </w:rPr>
        <w:t>销售机构</w:t>
      </w:r>
      <w:r>
        <w:rPr>
          <w:rFonts w:ascii="楷体" w:eastAsia="楷体" w:hAnsi="楷体"/>
          <w:kern w:val="0"/>
        </w:rPr>
        <w:t>3</w:t>
      </w:r>
      <w:r>
        <w:rPr>
          <w:rFonts w:ascii="楷体" w:eastAsia="楷体" w:hAnsi="楷体" w:hint="eastAsia"/>
          <w:kern w:val="0"/>
        </w:rPr>
        <w:t>：宁波银行股份有限公司</w:t>
      </w:r>
    </w:p>
    <w:p w:rsidR="00076767" w:rsidRPr="00076767" w:rsidRDefault="00002562" w:rsidP="00002562">
      <w:pPr>
        <w:ind w:firstLineChars="200" w:firstLine="420"/>
        <w:rPr>
          <w:rFonts w:ascii="楷体" w:eastAsia="楷体" w:hAnsi="楷体" w:cs="楷体"/>
          <w:kern w:val="0"/>
          <w:szCs w:val="18"/>
        </w:rPr>
      </w:pPr>
      <w:r>
        <w:rPr>
          <w:rFonts w:ascii="楷体" w:eastAsia="楷体" w:hAnsi="楷体" w:hint="eastAsia"/>
          <w:kern w:val="0"/>
        </w:rPr>
        <w:t>注册地址：浙江省宁波市鄞州区宁东路</w:t>
      </w:r>
      <w:r>
        <w:rPr>
          <w:rFonts w:ascii="楷体" w:eastAsia="楷体" w:hAnsi="楷体"/>
          <w:kern w:val="0"/>
        </w:rPr>
        <w:t>345</w:t>
      </w:r>
      <w:r>
        <w:rPr>
          <w:rFonts w:ascii="楷体" w:eastAsia="楷体" w:hAnsi="楷体" w:hint="eastAsia"/>
          <w:kern w:val="0"/>
        </w:rPr>
        <w:t>号</w:t>
      </w:r>
    </w:p>
    <w:p w:rsidR="00C1769E" w:rsidRDefault="007B0020" w:rsidP="007B0020">
      <w:pPr>
        <w:pStyle w:val="a8"/>
        <w:widowControl w:val="0"/>
        <w:numPr>
          <w:ilvl w:val="0"/>
          <w:numId w:val="57"/>
        </w:numPr>
        <w:overflowPunct w:val="0"/>
        <w:topLinePunct/>
        <w:autoSpaceDE w:val="0"/>
        <w:autoSpaceDN w:val="0"/>
        <w:spacing w:before="0" w:beforeAutospacing="0" w:after="0" w:afterAutospacing="0"/>
        <w:rPr>
          <w:rFonts w:ascii="楷体" w:eastAsia="楷体" w:hAnsi="楷体" w:cs="楷体"/>
          <w:sz w:val="21"/>
          <w:szCs w:val="18"/>
        </w:rPr>
      </w:pPr>
      <w:r>
        <w:rPr>
          <w:rFonts w:ascii="楷体" w:eastAsia="楷体" w:hAnsi="楷体" w:cs="楷体" w:hint="eastAsia"/>
          <w:sz w:val="21"/>
          <w:szCs w:val="18"/>
        </w:rPr>
        <w:t>销售机构职责：</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在销售产品过程中，对投资者身份信息的真实性进行验证。对非机构投资者严谨客观实施风险承受能力评估，制定投资者风险承受能力评估书，确定投资者风险承受能力等级，建立将投资者和理财产品进行匹配的方法，审慎使用评估结果。根据投资者的风险承受能力销售不同风险等级的产品，把合适的理财产品销售给合适的投资者。</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做好投资者持续信息服务，包括但不限于以下方面</w:t>
      </w:r>
      <w:r>
        <w:rPr>
          <w:rFonts w:ascii="楷体" w:eastAsia="楷体" w:hAnsi="楷体" w:cs="楷体"/>
          <w:sz w:val="21"/>
          <w:szCs w:val="18"/>
        </w:rPr>
        <w:t>:及时向投资者告知认（申）购、赎回理财产品的确认日期、确认份额和金额等信息；定期向投资者提供其所持有的理财产品基本信息，及时向投资者告知对其决策有重大影响的信息。</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充分了解面向特定对象销售的理财产品的投资者信息，收集、核验投资者金融资产证明、收入证明或纳税凭证等材料，对非机构投资者风险识别能力和风险承受能力进行持续评估。完善合格投资者尽职调查流程并履行投资者签字确认程序。</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根据反洗钱、反恐怖融资及非居民金融账户涉税信息尽职调查等相关法律法规要求识别客户身份。</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按照法律法规规定、理财产品销售协议约定办理理财产品的认（申）购、赎回，归集、划转理财产品销售结算资金，确保理财产品销售结算资金安全、及时划付。通过投资者指定的银行账户办理理财产品认（申）购和赎回的款项收付，并将赎回、分红及认（申）购不成功的相应款项划入投资者认（申）购时使用的银行账户，制作、留存款项收付的有效凭证。</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完整记录和保存销售业务活动信息，确保记录信息全面、准确和不可篡改。</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建立健全档案管理制度，妥善保管投资者理财产品销售相关资料，保管年限不得低于</w:t>
      </w:r>
      <w:r>
        <w:rPr>
          <w:rFonts w:ascii="楷体" w:eastAsia="楷体" w:hAnsi="楷体" w:cs="楷体"/>
          <w:sz w:val="21"/>
          <w:szCs w:val="18"/>
        </w:rPr>
        <w:t>20年。</w:t>
      </w:r>
    </w:p>
    <w:p w:rsidR="00C1769E" w:rsidRDefault="007B0020" w:rsidP="007B0020">
      <w:pPr>
        <w:pStyle w:val="a8"/>
        <w:widowControl w:val="0"/>
        <w:numPr>
          <w:ilvl w:val="0"/>
          <w:numId w:val="58"/>
        </w:numPr>
        <w:tabs>
          <w:tab w:val="left" w:pos="1080"/>
        </w:tabs>
        <w:overflowPunct w:val="0"/>
        <w:topLinePunct/>
        <w:autoSpaceDE w:val="0"/>
        <w:autoSpaceDN w:val="0"/>
        <w:spacing w:before="0" w:beforeAutospacing="0" w:after="0" w:afterAutospacing="0"/>
        <w:ind w:left="0" w:right="-108" w:firstLineChars="200" w:firstLine="420"/>
        <w:rPr>
          <w:rFonts w:ascii="楷体" w:eastAsia="楷体" w:hAnsi="楷体" w:cs="楷体"/>
          <w:sz w:val="21"/>
          <w:szCs w:val="18"/>
        </w:rPr>
      </w:pPr>
      <w:r>
        <w:rPr>
          <w:rFonts w:ascii="楷体" w:eastAsia="楷体" w:hAnsi="楷体" w:cs="楷体" w:hint="eastAsia"/>
          <w:sz w:val="21"/>
          <w:szCs w:val="18"/>
        </w:rPr>
        <w:t>国务院银行业监督管理机构规定、理财产品代理销售协议约定的其他职责。</w:t>
      </w:r>
    </w:p>
    <w:p w:rsidR="00C1769E" w:rsidRDefault="00C1769E">
      <w:pPr>
        <w:pStyle w:val="a8"/>
        <w:widowControl w:val="0"/>
        <w:overflowPunct w:val="0"/>
        <w:topLinePunct/>
        <w:autoSpaceDE w:val="0"/>
        <w:autoSpaceDN w:val="0"/>
        <w:spacing w:before="0" w:beforeAutospacing="0" w:after="0" w:afterAutospacing="0" w:line="400" w:lineRule="exact"/>
        <w:ind w:left="420"/>
        <w:rPr>
          <w:rFonts w:ascii="楷体" w:eastAsia="楷体" w:hAnsi="楷体" w:cs="楷体"/>
          <w:sz w:val="21"/>
          <w:szCs w:val="21"/>
        </w:rPr>
      </w:pPr>
    </w:p>
    <w:p w:rsidR="00C1769E" w:rsidRDefault="007B0020" w:rsidP="007B0020">
      <w:pPr>
        <w:pStyle w:val="1"/>
        <w:numPr>
          <w:ilvl w:val="0"/>
          <w:numId w:val="11"/>
        </w:numPr>
        <w:ind w:firstLineChars="0"/>
        <w:rPr>
          <w:rFonts w:ascii="楷体" w:eastAsia="楷体" w:hAnsi="楷体" w:cs="楷体"/>
        </w:rPr>
      </w:pPr>
      <w:r>
        <w:rPr>
          <w:rFonts w:ascii="楷体" w:eastAsia="楷体" w:hAnsi="楷体" w:cs="楷体" w:hint="eastAsia"/>
        </w:rPr>
        <w:t>特别提示</w:t>
      </w:r>
    </w:p>
    <w:p w:rsidR="00C1769E" w:rsidRDefault="007B0020" w:rsidP="007B0020">
      <w:pPr>
        <w:pStyle w:val="a8"/>
        <w:numPr>
          <w:ilvl w:val="0"/>
          <w:numId w:val="59"/>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根据《商业银行理财业务监督管理办法》相关规定，理财产品按照投资性质不同，“分为固定收益类理财产品、权益类理财产品、商品及金融衍生品类理财产品和混合类理财产品。固定收益类理财产品投资于存款、债券等债权类资产的比例不低于</w:t>
      </w:r>
      <w:r>
        <w:rPr>
          <w:rFonts w:ascii="楷体" w:eastAsia="楷体" w:hAnsi="楷体" w:cs="楷体"/>
          <w:sz w:val="21"/>
          <w:szCs w:val="18"/>
        </w:rPr>
        <w:t>80%；权益类理财产品投资于权益类资产的比例不低于80%；商品及金融衍生品类理财产品投资于商品金融衍生品的比例不低于80%；混合类理财产品投资于债权类资产、权益类资产、商品及金融衍生品类资产且任一资产的投资比例未达到前三类理财产品标准”。</w:t>
      </w:r>
    </w:p>
    <w:p w:rsidR="00C1769E" w:rsidRDefault="007B0020">
      <w:pPr>
        <w:pStyle w:val="a8"/>
        <w:tabs>
          <w:tab w:val="left" w:pos="1080"/>
        </w:tabs>
        <w:overflowPunct w:val="0"/>
        <w:topLinePunct/>
        <w:autoSpaceDE w:val="0"/>
        <w:autoSpaceDN w:val="0"/>
        <w:spacing w:before="0" w:beforeAutospacing="0" w:after="0" w:afterAutospacing="0"/>
        <w:ind w:firstLineChars="200" w:firstLine="420"/>
        <w:rPr>
          <w:rFonts w:ascii="楷体" w:eastAsia="楷体" w:hAnsi="楷体" w:cs="楷体"/>
          <w:sz w:val="21"/>
          <w:szCs w:val="18"/>
        </w:rPr>
      </w:pPr>
      <w:r>
        <w:rPr>
          <w:rFonts w:ascii="楷体" w:eastAsia="楷体" w:hAnsi="楷体" w:cs="楷体" w:hint="eastAsia"/>
          <w:sz w:val="21"/>
          <w:szCs w:val="18"/>
        </w:rPr>
        <w:lastRenderedPageBreak/>
        <w:t>中银理财有限责任公司推出的理财产品，依据上述分类标准分为固定收益类、权益类、商品及金融衍生品类、混合类产品。</w:t>
      </w:r>
    </w:p>
    <w:p w:rsidR="00C1769E" w:rsidRDefault="007B0020" w:rsidP="007B0020">
      <w:pPr>
        <w:pStyle w:val="a8"/>
        <w:numPr>
          <w:ilvl w:val="0"/>
          <w:numId w:val="59"/>
        </w:numPr>
        <w:tabs>
          <w:tab w:val="left" w:pos="1080"/>
        </w:tabs>
        <w:overflowPunct w:val="0"/>
        <w:topLinePunct/>
        <w:autoSpaceDE w:val="0"/>
        <w:autoSpaceDN w:val="0"/>
        <w:spacing w:before="0" w:beforeAutospacing="0" w:after="0" w:afterAutospacing="0"/>
        <w:ind w:right="-108"/>
        <w:rPr>
          <w:rFonts w:ascii="楷体" w:eastAsia="楷体" w:hAnsi="楷体" w:cs="楷体"/>
          <w:sz w:val="21"/>
          <w:szCs w:val="18"/>
        </w:rPr>
      </w:pPr>
      <w:r>
        <w:rPr>
          <w:rFonts w:ascii="楷体" w:eastAsia="楷体" w:hAnsi="楷体" w:cs="楷体" w:hint="eastAsia"/>
          <w:sz w:val="21"/>
          <w:szCs w:val="18"/>
        </w:rPr>
        <w:t>本《产品说明书》是投资者与中银理财有限责任公司所签订的理财产品相关法律文件的组成部分，请认真阅读。</w:t>
      </w:r>
    </w:p>
    <w:p w:rsidR="00C1769E" w:rsidRDefault="007B0020" w:rsidP="007B0020">
      <w:pPr>
        <w:pStyle w:val="a8"/>
        <w:numPr>
          <w:ilvl w:val="0"/>
          <w:numId w:val="59"/>
        </w:numPr>
        <w:tabs>
          <w:tab w:val="left" w:pos="1080"/>
        </w:tabs>
        <w:overflowPunct w:val="0"/>
        <w:topLinePunct/>
        <w:autoSpaceDE w:val="0"/>
        <w:autoSpaceDN w:val="0"/>
        <w:ind w:right="-108"/>
        <w:rPr>
          <w:rFonts w:ascii="楷体" w:eastAsia="楷体" w:hAnsi="楷体" w:cs="楷体"/>
          <w:sz w:val="21"/>
          <w:szCs w:val="18"/>
        </w:rPr>
      </w:pPr>
      <w:r>
        <w:rPr>
          <w:rFonts w:ascii="楷体" w:eastAsia="楷体" w:hAnsi="楷体" w:cs="楷体" w:hint="eastAsia"/>
          <w:sz w:val="21"/>
          <w:szCs w:val="18"/>
        </w:rPr>
        <w:t>投资者通过销售渠道提交认（申）购申请，即视为投资者授权及同意中银理财</w:t>
      </w:r>
      <w:r>
        <w:rPr>
          <w:rFonts w:ascii="楷体" w:eastAsia="楷体" w:hAnsi="楷体" w:cs="楷体" w:hint="eastAsia"/>
          <w:sz w:val="21"/>
          <w:szCs w:val="21"/>
        </w:rPr>
        <w:t>有限责任公司</w:t>
      </w:r>
      <w:r>
        <w:rPr>
          <w:rFonts w:ascii="楷体" w:eastAsia="楷体" w:hAnsi="楷体" w:cs="楷体" w:hint="eastAsia"/>
          <w:sz w:val="21"/>
          <w:szCs w:val="18"/>
        </w:rPr>
        <w:t>作为本理财产品的产品管理人，代表理财产品的投资者将募集资金进行投资和执行相关操作，并且有权代表投资者行使基础资产交易项下与其他交易各方进行交易所享有的全部权利。</w:t>
      </w:r>
    </w:p>
    <w:p w:rsidR="00C1769E" w:rsidRDefault="007B0020" w:rsidP="007B0020">
      <w:pPr>
        <w:pStyle w:val="a8"/>
        <w:numPr>
          <w:ilvl w:val="0"/>
          <w:numId w:val="59"/>
        </w:numPr>
        <w:tabs>
          <w:tab w:val="left" w:pos="1080"/>
        </w:tabs>
        <w:overflowPunct w:val="0"/>
        <w:topLinePunct/>
        <w:autoSpaceDE w:val="0"/>
        <w:autoSpaceDN w:val="0"/>
        <w:ind w:right="-108"/>
        <w:rPr>
          <w:rFonts w:ascii="楷体" w:eastAsia="楷体" w:hAnsi="楷体" w:cs="楷体"/>
          <w:sz w:val="21"/>
          <w:szCs w:val="18"/>
        </w:rPr>
      </w:pPr>
      <w:r>
        <w:rPr>
          <w:rFonts w:ascii="楷体" w:eastAsia="楷体" w:hAnsi="楷体" w:cs="楷体" w:hint="eastAsia"/>
          <w:sz w:val="21"/>
          <w:szCs w:val="18"/>
        </w:rPr>
        <w:t>如果发生理财产品的交易对手未按时足额付款等情形，投资者同意，中银理财有权向上述各方进行追索，追索期间所发生的费用（包括但不限于诉讼费、仲裁费、律师费、执行费等全部费用）将从追索回的款项中优先扣除。</w:t>
      </w:r>
    </w:p>
    <w:p w:rsidR="00C1769E" w:rsidRDefault="007B0020" w:rsidP="007B0020">
      <w:pPr>
        <w:pStyle w:val="a8"/>
        <w:numPr>
          <w:ilvl w:val="0"/>
          <w:numId w:val="59"/>
        </w:numPr>
        <w:tabs>
          <w:tab w:val="left" w:pos="1080"/>
        </w:tabs>
        <w:overflowPunct w:val="0"/>
        <w:topLinePunct/>
        <w:autoSpaceDE w:val="0"/>
        <w:autoSpaceDN w:val="0"/>
        <w:ind w:right="-108"/>
        <w:rPr>
          <w:rFonts w:ascii="楷体" w:eastAsia="楷体" w:hAnsi="楷体" w:cs="楷体"/>
          <w:b/>
          <w:sz w:val="21"/>
          <w:szCs w:val="18"/>
        </w:rPr>
      </w:pPr>
      <w:r>
        <w:rPr>
          <w:rFonts w:ascii="楷体" w:eastAsia="楷体" w:hAnsi="楷体" w:cs="楷体" w:hint="eastAsia"/>
          <w:b/>
          <w:sz w:val="21"/>
          <w:szCs w:val="18"/>
        </w:rPr>
        <w:t>如出于维持产品正常运营的需要且在不实质损害投资者利益的前提下，或因国家法律法规、监管规定发生变化，产品管理人有权在法律法规、监管规定允许的范围内单方对《产品说明书》进行修订。产品管理人决定对《产品说明书》进行修订的，将按照理财产品文件有关约定或法律规定进行信息披露。对具体收费项目（包括但不限于增加费用名目）、条件、方式和标准（包括但不限于提高收费标准）进行调整时，投资者如不同意修改后的《产品说明书》，可在产品管理人公告的修改后的相关业务调整生效前全部赎回本理财产品。若投资者在相关调整生效后继续持有本理财产品或办理《产品说明书》项下相关业务的，视同接受相关调整。</w:t>
      </w:r>
    </w:p>
    <w:p w:rsidR="00C1769E" w:rsidRDefault="007B0020" w:rsidP="007B0020">
      <w:pPr>
        <w:pStyle w:val="a8"/>
        <w:numPr>
          <w:ilvl w:val="0"/>
          <w:numId w:val="59"/>
        </w:numPr>
        <w:tabs>
          <w:tab w:val="left" w:pos="1080"/>
        </w:tabs>
        <w:overflowPunct w:val="0"/>
        <w:topLinePunct/>
        <w:autoSpaceDE w:val="0"/>
        <w:autoSpaceDN w:val="0"/>
        <w:ind w:right="-108"/>
        <w:rPr>
          <w:rFonts w:ascii="楷体" w:eastAsia="楷体" w:hAnsi="楷体" w:cs="楷体"/>
          <w:sz w:val="21"/>
          <w:szCs w:val="18"/>
        </w:rPr>
      </w:pPr>
      <w:r>
        <w:rPr>
          <w:rFonts w:ascii="楷体" w:eastAsia="楷体" w:hAnsi="楷体" w:cs="楷体" w:hint="eastAsia"/>
          <w:sz w:val="21"/>
          <w:szCs w:val="18"/>
        </w:rPr>
        <w:t>本《产品说明书》与《风险揭示书》、《中银理财有限责任公司理财产品投资协议书》共同规范投资者与理财产品管理人之间的权利义务关系。</w:t>
      </w:r>
    </w:p>
    <w:p w:rsidR="00A12C4E" w:rsidRPr="00A12C4E" w:rsidRDefault="00A12C4E" w:rsidP="00A27963">
      <w:pPr>
        <w:pStyle w:val="a8"/>
        <w:numPr>
          <w:ilvl w:val="0"/>
          <w:numId w:val="59"/>
        </w:numPr>
        <w:tabs>
          <w:tab w:val="left" w:pos="1080"/>
        </w:tabs>
        <w:overflowPunct w:val="0"/>
        <w:topLinePunct/>
        <w:autoSpaceDE w:val="0"/>
        <w:autoSpaceDN w:val="0"/>
        <w:ind w:right="-108"/>
        <w:rPr>
          <w:rFonts w:ascii="楷体" w:eastAsia="楷体" w:hAnsi="楷体" w:cs="楷体"/>
          <w:sz w:val="21"/>
          <w:szCs w:val="18"/>
        </w:rPr>
      </w:pPr>
      <w:r w:rsidRPr="00A12C4E">
        <w:rPr>
          <w:rFonts w:ascii="楷体" w:eastAsia="楷体" w:hAnsi="楷体" w:cs="楷体" w:hint="eastAsia"/>
          <w:sz w:val="21"/>
          <w:szCs w:val="18"/>
        </w:rPr>
        <w:t>咨询或投诉请致电服务热线：中银理财服务热线（</w:t>
      </w:r>
      <w:r w:rsidRPr="00A12C4E">
        <w:rPr>
          <w:rFonts w:ascii="楷体" w:eastAsia="楷体" w:hAnsi="楷体" w:cs="楷体"/>
          <w:sz w:val="21"/>
          <w:szCs w:val="18"/>
        </w:rPr>
        <w:t>95566-8）</w:t>
      </w:r>
      <w:r w:rsidRPr="00A12C4E">
        <w:rPr>
          <w:rFonts w:ascii="楷体" w:eastAsia="楷体" w:hAnsi="楷体" w:cs="楷体" w:hint="eastAsia"/>
          <w:sz w:val="21"/>
          <w:szCs w:val="18"/>
        </w:rPr>
        <w:t>，</w:t>
      </w:r>
      <w:r>
        <w:rPr>
          <w:rFonts w:ascii="楷体" w:eastAsia="楷体" w:hAnsi="楷体" w:cs="楷体" w:hint="eastAsia"/>
          <w:sz w:val="21"/>
          <w:szCs w:val="18"/>
        </w:rPr>
        <w:t>中信银行客户服务热线（9</w:t>
      </w:r>
      <w:r>
        <w:rPr>
          <w:rFonts w:ascii="楷体" w:eastAsia="楷体" w:hAnsi="楷体" w:cs="楷体"/>
          <w:sz w:val="21"/>
          <w:szCs w:val="18"/>
        </w:rPr>
        <w:t>5558</w:t>
      </w:r>
      <w:r>
        <w:rPr>
          <w:rFonts w:ascii="楷体" w:eastAsia="楷体" w:hAnsi="楷体" w:cs="楷体" w:hint="eastAsia"/>
          <w:sz w:val="21"/>
          <w:szCs w:val="18"/>
        </w:rPr>
        <w:t>）</w:t>
      </w:r>
      <w:r w:rsidR="00A27963" w:rsidRPr="00A27963">
        <w:rPr>
          <w:rFonts w:ascii="楷体" w:eastAsia="楷体" w:hAnsi="楷体" w:cs="楷体" w:hint="eastAsia"/>
          <w:sz w:val="21"/>
          <w:szCs w:val="18"/>
        </w:rPr>
        <w:t>，华夏银行客户服务热线（95577），宁波银行客户服务热线（95574）</w:t>
      </w:r>
      <w:r w:rsidRPr="00A12C4E">
        <w:rPr>
          <w:rFonts w:ascii="楷体" w:eastAsia="楷体" w:hAnsi="楷体" w:cs="楷体" w:hint="eastAsia"/>
          <w:sz w:val="21"/>
          <w:szCs w:val="18"/>
        </w:rPr>
        <w:t>。如服务热线发生调整，将在相应信息披露渠道予以披露。</w:t>
      </w:r>
    </w:p>
    <w:p w:rsidR="00C1769E" w:rsidRDefault="00C1769E" w:rsidP="00A12C4E">
      <w:pPr>
        <w:wordWrap w:val="0"/>
        <w:overflowPunct w:val="0"/>
        <w:topLinePunct/>
        <w:autoSpaceDE w:val="0"/>
        <w:autoSpaceDN w:val="0"/>
        <w:ind w:right="23"/>
        <w:outlineLvl w:val="1"/>
        <w:rPr>
          <w:rFonts w:ascii="楷体" w:eastAsia="楷体" w:hAnsi="楷体"/>
          <w:szCs w:val="21"/>
        </w:rPr>
      </w:pPr>
    </w:p>
    <w:sectPr w:rsidR="00C176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0B8" w:rsidRDefault="000B10B8">
      <w:r>
        <w:separator/>
      </w:r>
    </w:p>
  </w:endnote>
  <w:endnote w:type="continuationSeparator" w:id="0">
    <w:p w:rsidR="000B10B8" w:rsidRDefault="000B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0B8" w:rsidRDefault="000B10B8">
      <w:r>
        <w:separator/>
      </w:r>
    </w:p>
  </w:footnote>
  <w:footnote w:type="continuationSeparator" w:id="0">
    <w:p w:rsidR="000B10B8" w:rsidRDefault="000B10B8">
      <w:r>
        <w:continuationSeparator/>
      </w:r>
    </w:p>
  </w:footnote>
  <w:footnote w:id="1">
    <w:p w:rsidR="00C1769E" w:rsidRDefault="007B0020">
      <w:pPr>
        <w:pStyle w:val="a7"/>
        <w:widowControl/>
        <w:rPr>
          <w:rFonts w:ascii="楷体" w:eastAsia="楷体" w:hAnsi="楷体" w:cs="楷体"/>
          <w:sz w:val="21"/>
          <w:szCs w:val="21"/>
        </w:rPr>
      </w:pPr>
      <w:r>
        <w:rPr>
          <w:rStyle w:val="ae"/>
          <w:rFonts w:ascii="楷体" w:eastAsia="楷体" w:hAnsi="楷体" w:cs="楷体"/>
          <w:sz w:val="21"/>
          <w:szCs w:val="21"/>
        </w:rPr>
        <w:footnoteRef/>
      </w:r>
      <w:r>
        <w:rPr>
          <w:rFonts w:ascii="楷体" w:eastAsia="楷体" w:hAnsi="楷体" w:cs="楷体"/>
          <w:sz w:val="21"/>
          <w:szCs w:val="21"/>
        </w:rPr>
        <w:t>含金融债券</w:t>
      </w:r>
      <w:r>
        <w:rPr>
          <w:rFonts w:ascii="楷体" w:eastAsia="楷体" w:hAnsi="楷体" w:cs="楷体" w:hint="eastAsia"/>
          <w:sz w:val="21"/>
          <w:szCs w:val="21"/>
        </w:rPr>
        <w:t>、</w:t>
      </w:r>
      <w:r>
        <w:rPr>
          <w:rFonts w:ascii="楷体" w:eastAsia="楷体" w:hAnsi="楷体" w:cs="楷体"/>
          <w:sz w:val="21"/>
          <w:szCs w:val="21"/>
        </w:rPr>
        <w:t>非金融企业债务融资工具</w:t>
      </w:r>
      <w:r>
        <w:rPr>
          <w:rFonts w:ascii="楷体" w:eastAsia="楷体" w:hAnsi="楷体" w:cs="楷体" w:hint="eastAsia"/>
          <w:sz w:val="21"/>
          <w:szCs w:val="21"/>
        </w:rPr>
        <w:t>、</w:t>
      </w:r>
      <w:r>
        <w:rPr>
          <w:rFonts w:ascii="楷体" w:eastAsia="楷体" w:hAnsi="楷体" w:cs="楷体"/>
          <w:sz w:val="21"/>
          <w:szCs w:val="21"/>
        </w:rPr>
        <w:t>公司债券</w:t>
      </w:r>
      <w:r>
        <w:rPr>
          <w:rFonts w:ascii="楷体" w:eastAsia="楷体" w:hAnsi="楷体" w:cs="楷体" w:hint="eastAsia"/>
          <w:sz w:val="21"/>
          <w:szCs w:val="21"/>
        </w:rPr>
        <w:t>、</w:t>
      </w:r>
      <w:r>
        <w:rPr>
          <w:rFonts w:ascii="楷体" w:eastAsia="楷体" w:hAnsi="楷体" w:cs="楷体"/>
          <w:sz w:val="21"/>
          <w:szCs w:val="21"/>
        </w:rPr>
        <w:t>企业债券等</w:t>
      </w:r>
      <w:r>
        <w:rPr>
          <w:rFonts w:ascii="楷体" w:eastAsia="楷体" w:hAnsi="楷体" w:cs="楷体" w:hint="eastAsia"/>
          <w:sz w:val="21"/>
          <w:szCs w:val="21"/>
        </w:rPr>
        <w:t>。</w:t>
      </w:r>
    </w:p>
  </w:footnote>
  <w:footnote w:id="2">
    <w:p w:rsidR="00C1769E" w:rsidRDefault="007B0020">
      <w:pPr>
        <w:pStyle w:val="a7"/>
        <w:widowControl/>
        <w:rPr>
          <w:rFonts w:ascii="楷体" w:eastAsia="楷体" w:hAnsi="楷体" w:cs="楷体"/>
          <w:sz w:val="21"/>
          <w:szCs w:val="21"/>
        </w:rPr>
      </w:pPr>
      <w:r>
        <w:rPr>
          <w:rStyle w:val="ae"/>
          <w:rFonts w:ascii="楷体" w:eastAsia="楷体" w:hAnsi="楷体" w:cs="楷体"/>
          <w:sz w:val="21"/>
          <w:szCs w:val="21"/>
        </w:rPr>
        <w:footnoteRef/>
      </w:r>
      <w:r>
        <w:rPr>
          <w:rFonts w:ascii="楷体" w:eastAsia="楷体" w:hAnsi="楷体" w:cs="楷体"/>
          <w:sz w:val="21"/>
          <w:szCs w:val="21"/>
        </w:rPr>
        <w:t xml:space="preserve"> </w:t>
      </w:r>
      <w:r>
        <w:rPr>
          <w:rFonts w:ascii="楷体" w:eastAsia="楷体" w:hAnsi="楷体" w:cs="楷体" w:hint="eastAsia"/>
          <w:color w:val="000000"/>
          <w:sz w:val="21"/>
          <w:szCs w:val="21"/>
        </w:rPr>
        <w:t>流动性受限资产指由于法律法规、监管、合同或操作障碍等原因无法以合理价格予以变现资产</w:t>
      </w:r>
      <w:r>
        <w:rPr>
          <w:rFonts w:ascii="楷体" w:eastAsia="楷体" w:hAnsi="楷体" w:hint="eastAsia"/>
          <w:color w:val="000000" w:themeColor="text1"/>
          <w:sz w:val="21"/>
        </w:rPr>
        <w:t>，包括到期日在10个交易日以上的逆回购与银行定期存款（含协议约定有条件提前支取的银行存款）、距可赎回日在10个交易日以上的资产管理产品、资产支持证券（票据），因发行人债务违约无法进行转让或交易的债券和非金融企业债务融资工具，以及其他流动性受限资产</w:t>
      </w:r>
      <w:r>
        <w:rPr>
          <w:rFonts w:ascii="楷体" w:eastAsia="楷体" w:hAnsi="楷体" w:cs="楷体" w:hint="eastAsia"/>
          <w:color w:val="000000"/>
          <w:sz w:val="21"/>
          <w:szCs w:val="21"/>
        </w:rPr>
        <w:t>。</w:t>
      </w:r>
    </w:p>
  </w:footnote>
  <w:footnote w:id="3">
    <w:p w:rsidR="00C1769E" w:rsidRDefault="007B0020">
      <w:pPr>
        <w:pStyle w:val="a7"/>
      </w:pPr>
      <w:r>
        <w:rPr>
          <w:rStyle w:val="ae"/>
        </w:rPr>
        <w:footnoteRef/>
      </w:r>
      <w:r>
        <w:t xml:space="preserve"> </w:t>
      </w:r>
      <w:r>
        <w:rPr>
          <w:rFonts w:ascii="楷体" w:eastAsia="楷体" w:hAnsi="楷体" w:cs="楷体" w:hint="eastAsia"/>
          <w:sz w:val="21"/>
        </w:rPr>
        <w:t>7个工作日可变现资产包括可在交易所、银行间市场正常交易的债券、非金融企业债务融资工具、期货及期权合约以及同业存单，7个工作日内到期或可支取的买入返售、银行存款，7个工作日内能够确认收到的各类应收款项等。</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2DBD3E5"/>
    <w:multiLevelType w:val="singleLevel"/>
    <w:tmpl w:val="B2DBD3E5"/>
    <w:lvl w:ilvl="0">
      <w:start w:val="1"/>
      <w:numFmt w:val="decimalEnclosedCircleChinese"/>
      <w:suff w:val="nothing"/>
      <w:lvlText w:val="%1　"/>
      <w:lvlJc w:val="left"/>
      <w:pPr>
        <w:ind w:left="0" w:firstLine="400"/>
      </w:pPr>
      <w:rPr>
        <w:rFonts w:hint="eastAsia"/>
      </w:rPr>
    </w:lvl>
  </w:abstractNum>
  <w:abstractNum w:abstractNumId="1">
    <w:nsid w:val="FBD967AE"/>
    <w:multiLevelType w:val="singleLevel"/>
    <w:tmpl w:val="FBD967AE"/>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2">
    <w:nsid w:val="01780991"/>
    <w:multiLevelType w:val="multilevel"/>
    <w:tmpl w:val="01780991"/>
    <w:lvl w:ilvl="0">
      <w:start w:val="1"/>
      <w:numFmt w:val="chineseCount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45263C1"/>
    <w:multiLevelType w:val="multilevel"/>
    <w:tmpl w:val="045263C1"/>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55C52BB"/>
    <w:multiLevelType w:val="multilevel"/>
    <w:tmpl w:val="055C52BB"/>
    <w:lvl w:ilvl="0">
      <w:start w:val="1"/>
      <w:numFmt w:val="chineseCounting"/>
      <w:suff w:val="nothing"/>
      <w:lvlText w:val="（%1）"/>
      <w:lvlJc w:val="left"/>
      <w:pPr>
        <w:ind w:left="0" w:firstLine="420"/>
      </w:pPr>
      <w:rPr>
        <w:rFonts w:hint="eastAsia"/>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
    <w:nsid w:val="066F106D"/>
    <w:multiLevelType w:val="multilevel"/>
    <w:tmpl w:val="066F106D"/>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suff w:val="nothing"/>
      <w:lvlText w:val="%4."/>
      <w:lvlJc w:val="left"/>
      <w:pPr>
        <w:ind w:left="2100" w:hanging="420"/>
      </w:pPr>
      <w:rPr>
        <w:rFonts w:hint="eastAsia"/>
      </w:r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09455121"/>
    <w:multiLevelType w:val="multilevel"/>
    <w:tmpl w:val="09455121"/>
    <w:lvl w:ilvl="0">
      <w:start w:val="1"/>
      <w:numFmt w:val="decimal"/>
      <w:suff w:val="nothing"/>
      <w:lvlText w:val="  （%1）"/>
      <w:lvlJc w:val="right"/>
      <w:pPr>
        <w:ind w:left="78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0CF255EA"/>
    <w:multiLevelType w:val="multilevel"/>
    <w:tmpl w:val="0CF255EA"/>
    <w:lvl w:ilvl="0">
      <w:start w:val="1"/>
      <w:numFmt w:val="decimal"/>
      <w:lvlText w:val="  （%1）"/>
      <w:lvlJc w:val="right"/>
      <w:pPr>
        <w:ind w:left="840" w:hanging="420"/>
      </w:pPr>
      <w:rPr>
        <w:rFonts w:hint="eastAsia"/>
      </w:rPr>
    </w:lvl>
    <w:lvl w:ilvl="1">
      <w:start w:val="1"/>
      <w:numFmt w:val="decimal"/>
      <w:suff w:val="nothing"/>
      <w:lvlText w:val="  （%2）"/>
      <w:lvlJc w:val="right"/>
      <w:pPr>
        <w:ind w:left="1260" w:hanging="420"/>
      </w:pPr>
      <w:rPr>
        <w:rFonts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3502A4B"/>
    <w:multiLevelType w:val="multilevel"/>
    <w:tmpl w:val="13502A4B"/>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144C6A10"/>
    <w:multiLevelType w:val="multilevel"/>
    <w:tmpl w:val="144C6A10"/>
    <w:lvl w:ilvl="0">
      <w:start w:val="1"/>
      <w:numFmt w:val="decimal"/>
      <w:suff w:val="nothing"/>
      <w:lvlText w:val="%1．"/>
      <w:lvlJc w:val="left"/>
      <w:pPr>
        <w:ind w:left="0" w:firstLine="400"/>
      </w:pPr>
      <w:rPr>
        <w:rFonts w:ascii="楷体" w:eastAsia="楷体" w:hAnsi="楷体" w:cs="楷体" w:hint="default"/>
        <w:color w:val="auto"/>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14C20416"/>
    <w:multiLevelType w:val="multilevel"/>
    <w:tmpl w:val="14C20416"/>
    <w:lvl w:ilvl="0">
      <w:start w:val="1"/>
      <w:numFmt w:val="decimal"/>
      <w:suff w:val="nothing"/>
      <w:lvlText w:val="%1."/>
      <w:lvlJc w:val="left"/>
      <w:pPr>
        <w:ind w:left="2100" w:hanging="420"/>
      </w:pPr>
      <w:rPr>
        <w:rFonts w:hint="eastAsia"/>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9481E7E"/>
    <w:multiLevelType w:val="multilevel"/>
    <w:tmpl w:val="19481E7E"/>
    <w:lvl w:ilvl="0">
      <w:start w:val="1"/>
      <w:numFmt w:val="chineseCountingThousand"/>
      <w:suff w:val="nothing"/>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2">
    <w:nsid w:val="1F072E7F"/>
    <w:multiLevelType w:val="singleLevel"/>
    <w:tmpl w:val="1F072E7F"/>
    <w:lvl w:ilvl="0">
      <w:start w:val="1"/>
      <w:numFmt w:val="decimal"/>
      <w:suff w:val="nothing"/>
      <w:lvlText w:val="%1．"/>
      <w:lvlJc w:val="left"/>
      <w:pPr>
        <w:ind w:left="26" w:firstLine="400"/>
      </w:pPr>
      <w:rPr>
        <w:rFonts w:hint="default"/>
      </w:rPr>
    </w:lvl>
  </w:abstractNum>
  <w:abstractNum w:abstractNumId="13">
    <w:nsid w:val="24FFF104"/>
    <w:multiLevelType w:val="singleLevel"/>
    <w:tmpl w:val="24FFF104"/>
    <w:lvl w:ilvl="0">
      <w:start w:val="1"/>
      <w:numFmt w:val="upperLetter"/>
      <w:lvlText w:val="%1"/>
      <w:lvlJc w:val="left"/>
      <w:pPr>
        <w:tabs>
          <w:tab w:val="left" w:pos="420"/>
        </w:tabs>
        <w:ind w:left="425" w:hanging="425"/>
      </w:pPr>
      <w:rPr>
        <w:rFonts w:hint="default"/>
      </w:rPr>
    </w:lvl>
  </w:abstractNum>
  <w:abstractNum w:abstractNumId="14">
    <w:nsid w:val="2D153623"/>
    <w:multiLevelType w:val="multilevel"/>
    <w:tmpl w:val="2D153623"/>
    <w:lvl w:ilvl="0">
      <w:start w:val="1"/>
      <w:numFmt w:val="decimal"/>
      <w:suff w:val="nothing"/>
      <w:lvlText w:val="%1."/>
      <w:lvlJc w:val="left"/>
      <w:pPr>
        <w:ind w:left="6090" w:hanging="420"/>
      </w:pPr>
      <w:rPr>
        <w:rFonts w:hint="eastAsia"/>
      </w:rPr>
    </w:lvl>
    <w:lvl w:ilvl="1">
      <w:start w:val="1"/>
      <w:numFmt w:val="lowerLetter"/>
      <w:lvlText w:val="%2)"/>
      <w:lvlJc w:val="left"/>
      <w:pPr>
        <w:ind w:left="6510" w:hanging="420"/>
      </w:pPr>
    </w:lvl>
    <w:lvl w:ilvl="2">
      <w:start w:val="1"/>
      <w:numFmt w:val="lowerRoman"/>
      <w:lvlText w:val="%3."/>
      <w:lvlJc w:val="right"/>
      <w:pPr>
        <w:ind w:left="6930" w:hanging="420"/>
      </w:pPr>
    </w:lvl>
    <w:lvl w:ilvl="3">
      <w:start w:val="1"/>
      <w:numFmt w:val="decimal"/>
      <w:lvlText w:val="%4."/>
      <w:lvlJc w:val="left"/>
      <w:pPr>
        <w:ind w:left="7350" w:hanging="420"/>
      </w:pPr>
    </w:lvl>
    <w:lvl w:ilvl="4">
      <w:start w:val="1"/>
      <w:numFmt w:val="lowerLetter"/>
      <w:lvlText w:val="%5)"/>
      <w:lvlJc w:val="left"/>
      <w:pPr>
        <w:ind w:left="7770" w:hanging="420"/>
      </w:pPr>
    </w:lvl>
    <w:lvl w:ilvl="5">
      <w:start w:val="1"/>
      <w:numFmt w:val="lowerRoman"/>
      <w:lvlText w:val="%6."/>
      <w:lvlJc w:val="right"/>
      <w:pPr>
        <w:ind w:left="8190" w:hanging="420"/>
      </w:pPr>
    </w:lvl>
    <w:lvl w:ilvl="6">
      <w:start w:val="1"/>
      <w:numFmt w:val="decimal"/>
      <w:lvlText w:val="%7."/>
      <w:lvlJc w:val="left"/>
      <w:pPr>
        <w:ind w:left="8610" w:hanging="420"/>
      </w:pPr>
    </w:lvl>
    <w:lvl w:ilvl="7">
      <w:start w:val="1"/>
      <w:numFmt w:val="lowerLetter"/>
      <w:lvlText w:val="%8)"/>
      <w:lvlJc w:val="left"/>
      <w:pPr>
        <w:ind w:left="9030" w:hanging="420"/>
      </w:pPr>
    </w:lvl>
    <w:lvl w:ilvl="8">
      <w:start w:val="1"/>
      <w:numFmt w:val="lowerRoman"/>
      <w:lvlText w:val="%9."/>
      <w:lvlJc w:val="right"/>
      <w:pPr>
        <w:ind w:left="9450" w:hanging="420"/>
      </w:pPr>
    </w:lvl>
  </w:abstractNum>
  <w:abstractNum w:abstractNumId="15">
    <w:nsid w:val="2D25145A"/>
    <w:multiLevelType w:val="multilevel"/>
    <w:tmpl w:val="2D25145A"/>
    <w:lvl w:ilvl="0">
      <w:start w:val="1"/>
      <w:numFmt w:val="chineseCounting"/>
      <w:suff w:val="nothing"/>
      <w:lvlText w:val="（%1）"/>
      <w:lvlJc w:val="left"/>
      <w:pPr>
        <w:ind w:left="0" w:firstLine="420"/>
      </w:pPr>
      <w:rPr>
        <w:rFonts w:ascii="楷体" w:eastAsia="楷体" w:hAnsi="楷体" w:cs="楷体" w:hint="eastAsia"/>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nsid w:val="2E0543ED"/>
    <w:multiLevelType w:val="multilevel"/>
    <w:tmpl w:val="2E0543ED"/>
    <w:lvl w:ilvl="0">
      <w:start w:val="1"/>
      <w:numFmt w:val="chineseCounting"/>
      <w:suff w:val="nothing"/>
      <w:lvlText w:val="（%1）"/>
      <w:lvlJc w:val="left"/>
      <w:pPr>
        <w:ind w:left="0" w:firstLine="420"/>
      </w:pPr>
      <w:rPr>
        <w:rFonts w:ascii="楷体" w:eastAsia="楷体" w:hAnsi="楷体" w:hint="eastAsia"/>
      </w:rPr>
    </w:lvl>
    <w:lvl w:ilvl="1">
      <w:start w:val="1"/>
      <w:numFmt w:val="lowerLetter"/>
      <w:lvlText w:val="%2)"/>
      <w:lvlJc w:val="left"/>
      <w:pPr>
        <w:tabs>
          <w:tab w:val="left" w:pos="840"/>
        </w:tabs>
        <w:ind w:left="840" w:hanging="420"/>
      </w:pPr>
      <w:rPr>
        <w:rFonts w:ascii="Times New Roman" w:hAnsi="Times New Roman" w:cs="Times New Roman" w:hint="default"/>
      </w:rPr>
    </w:lvl>
    <w:lvl w:ilvl="2">
      <w:start w:val="1"/>
      <w:numFmt w:val="lowerRoman"/>
      <w:lvlText w:val="%3."/>
      <w:lvlJc w:val="left"/>
      <w:pPr>
        <w:tabs>
          <w:tab w:val="left" w:pos="1260"/>
        </w:tabs>
        <w:ind w:left="1260" w:hanging="420"/>
      </w:pPr>
      <w:rPr>
        <w:rFonts w:ascii="Times New Roman" w:hAnsi="Times New Roman" w:cs="Times New Roman" w:hint="default"/>
      </w:rPr>
    </w:lvl>
    <w:lvl w:ilvl="3">
      <w:start w:val="1"/>
      <w:numFmt w:val="decimal"/>
      <w:lvlText w:val="%4."/>
      <w:lvlJc w:val="left"/>
      <w:pPr>
        <w:tabs>
          <w:tab w:val="left" w:pos="1680"/>
        </w:tabs>
        <w:ind w:left="1680" w:hanging="420"/>
      </w:pPr>
      <w:rPr>
        <w:rFonts w:ascii="Times New Roman" w:hAnsi="Times New Roman" w:cs="Times New Roman" w:hint="default"/>
      </w:rPr>
    </w:lvl>
    <w:lvl w:ilvl="4">
      <w:start w:val="1"/>
      <w:numFmt w:val="lowerLetter"/>
      <w:lvlText w:val="%5)"/>
      <w:lvlJc w:val="left"/>
      <w:pPr>
        <w:tabs>
          <w:tab w:val="left" w:pos="2100"/>
        </w:tabs>
        <w:ind w:left="2100" w:hanging="420"/>
      </w:pPr>
      <w:rPr>
        <w:rFonts w:ascii="Times New Roman" w:hAnsi="Times New Roman" w:cs="Times New Roman" w:hint="default"/>
      </w:rPr>
    </w:lvl>
    <w:lvl w:ilvl="5">
      <w:start w:val="1"/>
      <w:numFmt w:val="lowerRoman"/>
      <w:lvlText w:val="%6."/>
      <w:lvlJc w:val="left"/>
      <w:pPr>
        <w:tabs>
          <w:tab w:val="left" w:pos="2520"/>
        </w:tabs>
        <w:ind w:left="2520" w:hanging="420"/>
      </w:pPr>
      <w:rPr>
        <w:rFonts w:ascii="Times New Roman" w:hAnsi="Times New Roman" w:cs="Times New Roman" w:hint="default"/>
      </w:rPr>
    </w:lvl>
    <w:lvl w:ilvl="6">
      <w:start w:val="1"/>
      <w:numFmt w:val="decimal"/>
      <w:lvlText w:val="%7."/>
      <w:lvlJc w:val="left"/>
      <w:pPr>
        <w:tabs>
          <w:tab w:val="left" w:pos="2940"/>
        </w:tabs>
        <w:ind w:left="2940" w:hanging="420"/>
      </w:pPr>
      <w:rPr>
        <w:rFonts w:ascii="Times New Roman" w:hAnsi="Times New Roman" w:cs="Times New Roman" w:hint="default"/>
      </w:rPr>
    </w:lvl>
    <w:lvl w:ilvl="7">
      <w:start w:val="1"/>
      <w:numFmt w:val="lowerLetter"/>
      <w:lvlText w:val="%8)"/>
      <w:lvlJc w:val="left"/>
      <w:pPr>
        <w:tabs>
          <w:tab w:val="left" w:pos="3360"/>
        </w:tabs>
        <w:ind w:left="3360" w:hanging="420"/>
      </w:pPr>
      <w:rPr>
        <w:rFonts w:ascii="Times New Roman" w:hAnsi="Times New Roman" w:cs="Times New Roman" w:hint="default"/>
      </w:rPr>
    </w:lvl>
    <w:lvl w:ilvl="8">
      <w:start w:val="1"/>
      <w:numFmt w:val="lowerRoman"/>
      <w:lvlText w:val="%9."/>
      <w:lvlJc w:val="left"/>
      <w:pPr>
        <w:tabs>
          <w:tab w:val="left" w:pos="3780"/>
        </w:tabs>
        <w:ind w:left="3780" w:hanging="420"/>
      </w:pPr>
      <w:rPr>
        <w:rFonts w:ascii="Times New Roman" w:hAnsi="Times New Roman" w:cs="Times New Roman" w:hint="default"/>
      </w:rPr>
    </w:lvl>
  </w:abstractNum>
  <w:abstractNum w:abstractNumId="17">
    <w:nsid w:val="348169FF"/>
    <w:multiLevelType w:val="singleLevel"/>
    <w:tmpl w:val="348169FF"/>
    <w:lvl w:ilvl="0">
      <w:start w:val="1"/>
      <w:numFmt w:val="decimal"/>
      <w:suff w:val="nothing"/>
      <w:lvlText w:val="%1．"/>
      <w:lvlJc w:val="left"/>
      <w:pPr>
        <w:ind w:left="0" w:firstLine="400"/>
      </w:pPr>
      <w:rPr>
        <w:rFonts w:hint="default"/>
      </w:rPr>
    </w:lvl>
  </w:abstractNum>
  <w:abstractNum w:abstractNumId="18">
    <w:nsid w:val="363A1A86"/>
    <w:multiLevelType w:val="singleLevel"/>
    <w:tmpl w:val="363A1A86"/>
    <w:lvl w:ilvl="0">
      <w:start w:val="1"/>
      <w:numFmt w:val="decimal"/>
      <w:suff w:val="nothing"/>
      <w:lvlText w:val="%1．"/>
      <w:lvlJc w:val="left"/>
      <w:pPr>
        <w:ind w:left="0" w:firstLine="400"/>
      </w:pPr>
      <w:rPr>
        <w:rFonts w:hint="default"/>
      </w:rPr>
    </w:lvl>
  </w:abstractNum>
  <w:abstractNum w:abstractNumId="19">
    <w:nsid w:val="38E747BE"/>
    <w:multiLevelType w:val="singleLevel"/>
    <w:tmpl w:val="38E747BE"/>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20">
    <w:nsid w:val="3A3B2D07"/>
    <w:multiLevelType w:val="singleLevel"/>
    <w:tmpl w:val="3A3B2D07"/>
    <w:lvl w:ilvl="0">
      <w:start w:val="1"/>
      <w:numFmt w:val="decimal"/>
      <w:suff w:val="nothing"/>
      <w:lvlText w:val="%1．"/>
      <w:lvlJc w:val="left"/>
      <w:pPr>
        <w:ind w:left="26" w:firstLine="400"/>
      </w:pPr>
      <w:rPr>
        <w:rFonts w:hint="default"/>
      </w:rPr>
    </w:lvl>
  </w:abstractNum>
  <w:abstractNum w:abstractNumId="21">
    <w:nsid w:val="3A422DBF"/>
    <w:multiLevelType w:val="multilevel"/>
    <w:tmpl w:val="3A422DBF"/>
    <w:lvl w:ilvl="0">
      <w:start w:val="1"/>
      <w:numFmt w:val="decimal"/>
      <w:suff w:val="nothing"/>
      <w:lvlText w:val="%1．"/>
      <w:lvlJc w:val="left"/>
      <w:pPr>
        <w:ind w:left="0" w:firstLine="40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2">
    <w:nsid w:val="3ABD13D0"/>
    <w:multiLevelType w:val="singleLevel"/>
    <w:tmpl w:val="3ABD13D0"/>
    <w:lvl w:ilvl="0">
      <w:start w:val="1"/>
      <w:numFmt w:val="decimal"/>
      <w:suff w:val="nothing"/>
      <w:lvlText w:val="%1．"/>
      <w:lvlJc w:val="left"/>
      <w:pPr>
        <w:ind w:left="0" w:firstLine="400"/>
      </w:pPr>
      <w:rPr>
        <w:rFonts w:hint="default"/>
        <w:sz w:val="21"/>
        <w:szCs w:val="21"/>
      </w:rPr>
    </w:lvl>
  </w:abstractNum>
  <w:abstractNum w:abstractNumId="23">
    <w:nsid w:val="3C5C66A7"/>
    <w:multiLevelType w:val="singleLevel"/>
    <w:tmpl w:val="3C5C66A7"/>
    <w:lvl w:ilvl="0">
      <w:start w:val="1"/>
      <w:numFmt w:val="decimal"/>
      <w:suff w:val="nothing"/>
      <w:lvlText w:val="%1．"/>
      <w:lvlJc w:val="left"/>
      <w:pPr>
        <w:ind w:left="0" w:firstLine="400"/>
      </w:pPr>
      <w:rPr>
        <w:rFonts w:hint="default"/>
      </w:rPr>
    </w:lvl>
  </w:abstractNum>
  <w:abstractNum w:abstractNumId="24">
    <w:nsid w:val="3FF27571"/>
    <w:multiLevelType w:val="multilevel"/>
    <w:tmpl w:val="3FF27571"/>
    <w:lvl w:ilvl="0">
      <w:start w:val="1"/>
      <w:numFmt w:val="chineseCountingThousand"/>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5">
    <w:nsid w:val="40831362"/>
    <w:multiLevelType w:val="multilevel"/>
    <w:tmpl w:val="40831362"/>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26">
    <w:nsid w:val="42AFE30F"/>
    <w:multiLevelType w:val="singleLevel"/>
    <w:tmpl w:val="42AFE30F"/>
    <w:lvl w:ilvl="0">
      <w:start w:val="1"/>
      <w:numFmt w:val="decimal"/>
      <w:suff w:val="nothing"/>
      <w:lvlText w:val="%1．"/>
      <w:lvlJc w:val="left"/>
      <w:pPr>
        <w:ind w:left="0" w:firstLine="400"/>
      </w:pPr>
      <w:rPr>
        <w:rFonts w:hint="default"/>
      </w:rPr>
    </w:lvl>
  </w:abstractNum>
  <w:abstractNum w:abstractNumId="27">
    <w:nsid w:val="451A3C40"/>
    <w:multiLevelType w:val="multilevel"/>
    <w:tmpl w:val="451A3C40"/>
    <w:lvl w:ilvl="0">
      <w:start w:val="1"/>
      <w:numFmt w:val="decimal"/>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4822010B"/>
    <w:multiLevelType w:val="multilevel"/>
    <w:tmpl w:val="4822010B"/>
    <w:lvl w:ilvl="0">
      <w:start w:val="1"/>
      <w:numFmt w:val="decimal"/>
      <w:suff w:val="nothing"/>
      <w:lvlText w:val="%1．"/>
      <w:lvlJc w:val="left"/>
      <w:pPr>
        <w:ind w:left="0" w:firstLine="400"/>
      </w:pPr>
      <w:rPr>
        <w:rFonts w:ascii="楷体" w:eastAsia="楷体" w:hAnsi="楷体" w:cs="楷体" w:hint="default"/>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4AA006AA"/>
    <w:multiLevelType w:val="singleLevel"/>
    <w:tmpl w:val="4AA006AA"/>
    <w:lvl w:ilvl="0">
      <w:start w:val="1"/>
      <w:numFmt w:val="decimal"/>
      <w:suff w:val="nothing"/>
      <w:lvlText w:val="%1．"/>
      <w:lvlJc w:val="left"/>
      <w:pPr>
        <w:ind w:left="26" w:firstLine="400"/>
      </w:pPr>
      <w:rPr>
        <w:rFonts w:hint="default"/>
      </w:rPr>
    </w:lvl>
  </w:abstractNum>
  <w:abstractNum w:abstractNumId="30">
    <w:nsid w:val="4EB54A78"/>
    <w:multiLevelType w:val="multilevel"/>
    <w:tmpl w:val="4EB54A78"/>
    <w:lvl w:ilvl="0">
      <w:start w:val="1"/>
      <w:numFmt w:val="decimal"/>
      <w:suff w:val="nothing"/>
      <w:lvlText w:val="  （%1）"/>
      <w:lvlJc w:val="right"/>
      <w:pPr>
        <w:ind w:left="78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4F787D0C"/>
    <w:multiLevelType w:val="multilevel"/>
    <w:tmpl w:val="4F787D0C"/>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nsid w:val="504B0E84"/>
    <w:multiLevelType w:val="multilevel"/>
    <w:tmpl w:val="504B0E84"/>
    <w:lvl w:ilvl="0">
      <w:start w:val="1"/>
      <w:numFmt w:val="chineseCounting"/>
      <w:suff w:val="nothing"/>
      <w:lvlText w:val="（%1）"/>
      <w:lvlJc w:val="left"/>
      <w:pPr>
        <w:ind w:left="0" w:firstLine="420"/>
      </w:pPr>
      <w:rPr>
        <w:rFonts w:ascii="楷体" w:eastAsia="楷体" w:hAnsi="楷体" w:cs="楷体" w:hint="eastAsia"/>
        <w:sz w:val="21"/>
        <w:szCs w:val="21"/>
        <w:lang w:val="en-US"/>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3">
    <w:nsid w:val="52E84F29"/>
    <w:multiLevelType w:val="singleLevel"/>
    <w:tmpl w:val="52E84F29"/>
    <w:lvl w:ilvl="0">
      <w:start w:val="1"/>
      <w:numFmt w:val="decimal"/>
      <w:suff w:val="nothing"/>
      <w:lvlText w:val="%1．"/>
      <w:lvlJc w:val="left"/>
      <w:pPr>
        <w:ind w:left="0" w:firstLine="400"/>
      </w:pPr>
      <w:rPr>
        <w:rFonts w:hint="default"/>
      </w:rPr>
    </w:lvl>
  </w:abstractNum>
  <w:abstractNum w:abstractNumId="34">
    <w:nsid w:val="549B7BF6"/>
    <w:multiLevelType w:val="multilevel"/>
    <w:tmpl w:val="549B7BF6"/>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555679AD"/>
    <w:multiLevelType w:val="multilevel"/>
    <w:tmpl w:val="555679AD"/>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577318D3"/>
    <w:multiLevelType w:val="singleLevel"/>
    <w:tmpl w:val="577318D3"/>
    <w:lvl w:ilvl="0">
      <w:start w:val="1"/>
      <w:numFmt w:val="decimal"/>
      <w:suff w:val="nothing"/>
      <w:lvlText w:val="%1．"/>
      <w:lvlJc w:val="left"/>
      <w:pPr>
        <w:ind w:left="26" w:firstLine="400"/>
      </w:pPr>
      <w:rPr>
        <w:rFonts w:hint="default"/>
      </w:rPr>
    </w:lvl>
  </w:abstractNum>
  <w:abstractNum w:abstractNumId="37">
    <w:nsid w:val="5B6A47DE"/>
    <w:multiLevelType w:val="singleLevel"/>
    <w:tmpl w:val="5B6A47DE"/>
    <w:lvl w:ilvl="0">
      <w:start w:val="1"/>
      <w:numFmt w:val="chineseCounting"/>
      <w:suff w:val="nothing"/>
      <w:lvlText w:val="（%1）"/>
      <w:lvlJc w:val="left"/>
      <w:pPr>
        <w:ind w:left="0" w:firstLine="420"/>
      </w:pPr>
      <w:rPr>
        <w:rFonts w:hint="eastAsia"/>
      </w:rPr>
    </w:lvl>
  </w:abstractNum>
  <w:abstractNum w:abstractNumId="38">
    <w:nsid w:val="5B6A5D8E"/>
    <w:multiLevelType w:val="multilevel"/>
    <w:tmpl w:val="5B6A5D8E"/>
    <w:lvl w:ilvl="0">
      <w:start w:val="1"/>
      <w:numFmt w:val="chineseCounting"/>
      <w:suff w:val="nothing"/>
      <w:lvlText w:val="（%1）"/>
      <w:lvlJc w:val="left"/>
      <w:pPr>
        <w:ind w:left="0" w:firstLine="420"/>
      </w:pPr>
      <w:rPr>
        <w:rFonts w:ascii="楷体" w:eastAsia="楷体" w:hAnsi="楷体" w:cs="楷体" w:hint="eastAsia"/>
        <w:sz w:val="21"/>
        <w:szCs w:val="21"/>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9">
    <w:nsid w:val="5B6A5E7C"/>
    <w:multiLevelType w:val="singleLevel"/>
    <w:tmpl w:val="5B6A5E7C"/>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40">
    <w:nsid w:val="5B6A5EA3"/>
    <w:multiLevelType w:val="singleLevel"/>
    <w:tmpl w:val="5B6A5EA3"/>
    <w:lvl w:ilvl="0">
      <w:start w:val="1"/>
      <w:numFmt w:val="decimal"/>
      <w:suff w:val="nothing"/>
      <w:lvlText w:val="%1．"/>
      <w:lvlJc w:val="left"/>
      <w:pPr>
        <w:ind w:left="0" w:firstLine="400"/>
      </w:pPr>
      <w:rPr>
        <w:rFonts w:hint="default"/>
      </w:rPr>
    </w:lvl>
  </w:abstractNum>
  <w:abstractNum w:abstractNumId="41">
    <w:nsid w:val="627B7E5D"/>
    <w:multiLevelType w:val="singleLevel"/>
    <w:tmpl w:val="627B7E5D"/>
    <w:lvl w:ilvl="0">
      <w:start w:val="1"/>
      <w:numFmt w:val="decimalEnclosedCircleChinese"/>
      <w:suff w:val="nothing"/>
      <w:lvlText w:val="%1　"/>
      <w:lvlJc w:val="left"/>
      <w:pPr>
        <w:ind w:left="0" w:firstLine="400"/>
      </w:pPr>
      <w:rPr>
        <w:rFonts w:hint="eastAsia"/>
      </w:rPr>
    </w:lvl>
  </w:abstractNum>
  <w:abstractNum w:abstractNumId="42">
    <w:nsid w:val="627B7E79"/>
    <w:multiLevelType w:val="singleLevel"/>
    <w:tmpl w:val="627B7E79"/>
    <w:lvl w:ilvl="0">
      <w:start w:val="1"/>
      <w:numFmt w:val="decimalEnclosedCircleChinese"/>
      <w:suff w:val="nothing"/>
      <w:lvlText w:val="%1　"/>
      <w:lvlJc w:val="left"/>
      <w:pPr>
        <w:ind w:left="0" w:firstLine="400"/>
      </w:pPr>
      <w:rPr>
        <w:rFonts w:hint="eastAsia"/>
      </w:rPr>
    </w:lvl>
  </w:abstractNum>
  <w:abstractNum w:abstractNumId="43">
    <w:nsid w:val="627B8302"/>
    <w:multiLevelType w:val="multilevel"/>
    <w:tmpl w:val="627B8302"/>
    <w:lvl w:ilvl="0">
      <w:start w:val="1"/>
      <w:numFmt w:val="decimal"/>
      <w:suff w:val="nothing"/>
      <w:lvlText w:val="%1．"/>
      <w:lvlJc w:val="left"/>
      <w:pPr>
        <w:ind w:left="0" w:firstLine="40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4">
    <w:nsid w:val="627B8318"/>
    <w:multiLevelType w:val="multilevel"/>
    <w:tmpl w:val="627B8318"/>
    <w:lvl w:ilvl="0">
      <w:start w:val="1"/>
      <w:numFmt w:val="decimal"/>
      <w:suff w:val="nothing"/>
      <w:lvlText w:val="%1．"/>
      <w:lvlJc w:val="left"/>
      <w:pPr>
        <w:ind w:left="0" w:firstLine="40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5">
    <w:nsid w:val="627B8433"/>
    <w:multiLevelType w:val="singleLevel"/>
    <w:tmpl w:val="627B8433"/>
    <w:lvl w:ilvl="0">
      <w:start w:val="1"/>
      <w:numFmt w:val="decimal"/>
      <w:suff w:val="nothing"/>
      <w:lvlText w:val="%1．"/>
      <w:lvlJc w:val="left"/>
      <w:pPr>
        <w:ind w:left="0" w:firstLine="400"/>
      </w:pPr>
      <w:rPr>
        <w:rFonts w:hint="default"/>
      </w:rPr>
    </w:lvl>
  </w:abstractNum>
  <w:abstractNum w:abstractNumId="46">
    <w:nsid w:val="627B849C"/>
    <w:multiLevelType w:val="singleLevel"/>
    <w:tmpl w:val="627B849C"/>
    <w:lvl w:ilvl="0">
      <w:start w:val="1"/>
      <w:numFmt w:val="decimalEnclosedCircleChinese"/>
      <w:suff w:val="nothing"/>
      <w:lvlText w:val="%1　"/>
      <w:lvlJc w:val="left"/>
      <w:pPr>
        <w:ind w:left="0" w:firstLine="400"/>
      </w:pPr>
      <w:rPr>
        <w:rFonts w:hint="eastAsia"/>
      </w:rPr>
    </w:lvl>
  </w:abstractNum>
  <w:abstractNum w:abstractNumId="47">
    <w:nsid w:val="66325FCD"/>
    <w:multiLevelType w:val="multilevel"/>
    <w:tmpl w:val="66325FCD"/>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48">
    <w:nsid w:val="68A600A8"/>
    <w:multiLevelType w:val="singleLevel"/>
    <w:tmpl w:val="68A600A8"/>
    <w:lvl w:ilvl="0">
      <w:start w:val="1"/>
      <w:numFmt w:val="chineseCounting"/>
      <w:suff w:val="nothing"/>
      <w:lvlText w:val="（%1）"/>
      <w:lvlJc w:val="left"/>
      <w:pPr>
        <w:ind w:left="0" w:firstLine="420"/>
      </w:pPr>
      <w:rPr>
        <w:rFonts w:hint="eastAsia"/>
      </w:rPr>
    </w:lvl>
  </w:abstractNum>
  <w:abstractNum w:abstractNumId="49">
    <w:nsid w:val="6B476159"/>
    <w:multiLevelType w:val="multilevel"/>
    <w:tmpl w:val="6B476159"/>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50">
    <w:nsid w:val="6C19578D"/>
    <w:multiLevelType w:val="singleLevel"/>
    <w:tmpl w:val="6C19578D"/>
    <w:lvl w:ilvl="0">
      <w:start w:val="1"/>
      <w:numFmt w:val="chineseCounting"/>
      <w:suff w:val="nothing"/>
      <w:lvlText w:val="（%1）"/>
      <w:lvlJc w:val="left"/>
      <w:pPr>
        <w:ind w:left="0" w:firstLine="420"/>
      </w:pPr>
      <w:rPr>
        <w:rFonts w:hint="eastAsia"/>
        <w:b w:val="0"/>
      </w:rPr>
    </w:lvl>
  </w:abstractNum>
  <w:abstractNum w:abstractNumId="51">
    <w:nsid w:val="700C313E"/>
    <w:multiLevelType w:val="singleLevel"/>
    <w:tmpl w:val="700C313E"/>
    <w:lvl w:ilvl="0">
      <w:start w:val="1"/>
      <w:numFmt w:val="decimal"/>
      <w:suff w:val="space"/>
      <w:lvlText w:val="%1."/>
      <w:lvlJc w:val="left"/>
    </w:lvl>
  </w:abstractNum>
  <w:abstractNum w:abstractNumId="52">
    <w:nsid w:val="71DC61AC"/>
    <w:multiLevelType w:val="singleLevel"/>
    <w:tmpl w:val="71DC61AC"/>
    <w:lvl w:ilvl="0">
      <w:start w:val="1"/>
      <w:numFmt w:val="decimal"/>
      <w:suff w:val="nothing"/>
      <w:lvlText w:val="%1．"/>
      <w:lvlJc w:val="left"/>
      <w:pPr>
        <w:ind w:left="0" w:firstLine="400"/>
      </w:pPr>
      <w:rPr>
        <w:rFonts w:hint="default"/>
      </w:rPr>
    </w:lvl>
  </w:abstractNum>
  <w:abstractNum w:abstractNumId="53">
    <w:nsid w:val="743C69E1"/>
    <w:multiLevelType w:val="multilevel"/>
    <w:tmpl w:val="743C69E1"/>
    <w:lvl w:ilvl="0">
      <w:start w:val="1"/>
      <w:numFmt w:val="chineseCounting"/>
      <w:suff w:val="nothing"/>
      <w:lvlText w:val="（%1）"/>
      <w:lvlJc w:val="left"/>
      <w:pPr>
        <w:ind w:left="0" w:firstLine="420"/>
      </w:pPr>
      <w:rPr>
        <w:rFonts w:ascii="楷体" w:eastAsia="楷体" w:hAnsi="楷体" w:hint="eastAsia"/>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4">
    <w:nsid w:val="746F0928"/>
    <w:multiLevelType w:val="singleLevel"/>
    <w:tmpl w:val="746F0928"/>
    <w:lvl w:ilvl="0">
      <w:start w:val="1"/>
      <w:numFmt w:val="decimal"/>
      <w:suff w:val="nothing"/>
      <w:lvlText w:val="%1．"/>
      <w:lvlJc w:val="left"/>
      <w:pPr>
        <w:ind w:left="0" w:firstLine="400"/>
      </w:pPr>
      <w:rPr>
        <w:rFonts w:hint="default"/>
      </w:rPr>
    </w:lvl>
  </w:abstractNum>
  <w:abstractNum w:abstractNumId="55">
    <w:nsid w:val="74D61102"/>
    <w:multiLevelType w:val="multilevel"/>
    <w:tmpl w:val="74D61102"/>
    <w:lvl w:ilvl="0">
      <w:start w:val="1"/>
      <w:numFmt w:val="decimal"/>
      <w:suff w:val="nothing"/>
      <w:lvlText w:val="%1．"/>
      <w:lvlJc w:val="left"/>
      <w:pPr>
        <w:ind w:left="0" w:firstLine="40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56">
    <w:nsid w:val="75906C30"/>
    <w:multiLevelType w:val="multilevel"/>
    <w:tmpl w:val="75906C30"/>
    <w:lvl w:ilvl="0">
      <w:start w:val="1"/>
      <w:numFmt w:val="chineseCounting"/>
      <w:suff w:val="nothing"/>
      <w:lvlText w:val="（%1）"/>
      <w:lvlJc w:val="left"/>
      <w:pPr>
        <w:ind w:left="0" w:firstLine="420"/>
      </w:pPr>
      <w:rPr>
        <w:rFonts w:hint="eastAsia"/>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7">
    <w:nsid w:val="75F46DDD"/>
    <w:multiLevelType w:val="multilevel"/>
    <w:tmpl w:val="75F46DDD"/>
    <w:lvl w:ilvl="0">
      <w:start w:val="1"/>
      <w:numFmt w:val="decimal"/>
      <w:lvlText w:val="%1."/>
      <w:lvlJc w:val="left"/>
      <w:pPr>
        <w:ind w:left="842" w:hanging="420"/>
      </w:pPr>
      <w:rPr>
        <w:rFonts w:hint="eastAsia"/>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suff w:val="nothing"/>
      <w:lvlText w:val="%4."/>
      <w:lvlJc w:val="left"/>
      <w:pPr>
        <w:ind w:left="2100" w:hanging="420"/>
      </w:pPr>
      <w:rPr>
        <w:rFonts w:hint="eastAsia"/>
      </w:r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58">
    <w:nsid w:val="7E90243C"/>
    <w:multiLevelType w:val="multilevel"/>
    <w:tmpl w:val="7E90243C"/>
    <w:lvl w:ilvl="0">
      <w:start w:val="1"/>
      <w:numFmt w:val="decimal"/>
      <w:lvlText w:val="  （%1）"/>
      <w:lvlJc w:val="right"/>
      <w:pPr>
        <w:ind w:left="840" w:hanging="420"/>
      </w:pPr>
      <w:rPr>
        <w:rFonts w:hint="eastAsia"/>
      </w:rPr>
    </w:lvl>
    <w:lvl w:ilvl="1">
      <w:start w:val="1"/>
      <w:numFmt w:val="decimal"/>
      <w:suff w:val="nothing"/>
      <w:lvlText w:val="  （%2）"/>
      <w:lvlJc w:val="right"/>
      <w:pPr>
        <w:ind w:left="1260" w:hanging="420"/>
      </w:pPr>
      <w:rPr>
        <w:rFonts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9">
    <w:nsid w:val="7F2338DB"/>
    <w:multiLevelType w:val="multilevel"/>
    <w:tmpl w:val="7F2338DB"/>
    <w:lvl w:ilvl="0">
      <w:start w:val="1"/>
      <w:numFmt w:val="chineseCounting"/>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4"/>
  </w:num>
  <w:num w:numId="2">
    <w:abstractNumId w:val="5"/>
  </w:num>
  <w:num w:numId="3">
    <w:abstractNumId w:val="30"/>
  </w:num>
  <w:num w:numId="4">
    <w:abstractNumId w:val="0"/>
  </w:num>
  <w:num w:numId="5">
    <w:abstractNumId w:val="13"/>
  </w:num>
  <w:num w:numId="6">
    <w:abstractNumId w:val="6"/>
  </w:num>
  <w:num w:numId="7">
    <w:abstractNumId w:val="41"/>
  </w:num>
  <w:num w:numId="8">
    <w:abstractNumId w:val="42"/>
  </w:num>
  <w:num w:numId="9">
    <w:abstractNumId w:val="2"/>
  </w:num>
  <w:num w:numId="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8"/>
  </w:num>
  <w:num w:numId="13">
    <w:abstractNumId w:val="36"/>
  </w:num>
  <w:num w:numId="14">
    <w:abstractNumId w:val="20"/>
  </w:num>
  <w:num w:numId="15">
    <w:abstractNumId w:val="26"/>
  </w:num>
  <w:num w:numId="16">
    <w:abstractNumId w:val="17"/>
  </w:num>
  <w:num w:numId="17">
    <w:abstractNumId w:val="29"/>
  </w:num>
  <w:num w:numId="18">
    <w:abstractNumId w:val="37"/>
  </w:num>
  <w:num w:numId="19">
    <w:abstractNumId w:val="50"/>
  </w:num>
  <w:num w:numId="20">
    <w:abstractNumId w:val="4"/>
  </w:num>
  <w:num w:numId="21">
    <w:abstractNumId w:val="57"/>
  </w:num>
  <w:num w:numId="22">
    <w:abstractNumId w:val="10"/>
  </w:num>
  <w:num w:numId="23">
    <w:abstractNumId w:val="32"/>
  </w:num>
  <w:num w:numId="24">
    <w:abstractNumId w:val="12"/>
  </w:num>
  <w:num w:numId="25">
    <w:abstractNumId w:val="23"/>
  </w:num>
  <w:num w:numId="26">
    <w:abstractNumId w:val="52"/>
  </w:num>
  <w:num w:numId="27">
    <w:abstractNumId w:val="22"/>
  </w:num>
  <w:num w:numId="28">
    <w:abstractNumId w:val="7"/>
  </w:num>
  <w:num w:numId="29">
    <w:abstractNumId w:val="54"/>
  </w:num>
  <w:num w:numId="30">
    <w:abstractNumId w:val="44"/>
  </w:num>
  <w:num w:numId="31">
    <w:abstractNumId w:val="4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58"/>
  </w:num>
  <w:num w:numId="39">
    <w:abstractNumId w:val="46"/>
  </w:num>
  <w:num w:numId="40">
    <w:abstractNumId w:val="18"/>
  </w:num>
  <w:num w:numId="41">
    <w:abstractNumId w:val="3"/>
  </w:num>
  <w:num w:numId="42">
    <w:abstractNumId w:val="34"/>
  </w:num>
  <w:num w:numId="43">
    <w:abstractNumId w:val="39"/>
  </w:num>
  <w:num w:numId="44">
    <w:abstractNumId w:val="40"/>
  </w:num>
  <w:num w:numId="45">
    <w:abstractNumId w:val="51"/>
  </w:num>
  <w:num w:numId="46">
    <w:abstractNumId w:val="35"/>
  </w:num>
  <w:num w:numId="47">
    <w:abstractNumId w:val="33"/>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num>
  <w:num w:numId="56">
    <w:abstractNumId w:val="27"/>
  </w:num>
  <w:num w:numId="57">
    <w:abstractNumId w:val="1"/>
  </w:num>
  <w:num w:numId="58">
    <w:abstractNumId w:val="14"/>
  </w:num>
  <w:num w:numId="59">
    <w:abstractNumId w:val="48"/>
  </w:num>
  <w:num w:numId="60">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mNmQ2YzY3NWNmYzMxMmU1NjRjMDJhODQxMGRkOGYifQ=="/>
    <w:docVar w:name="KSO_WPS_MARK_KEY" w:val="dcd610a4-be60-4782-99bb-2c1b10486ceb"/>
  </w:docVars>
  <w:rsids>
    <w:rsidRoot w:val="600239E6"/>
    <w:rsid w:val="00002562"/>
    <w:rsid w:val="00006F7E"/>
    <w:rsid w:val="00013269"/>
    <w:rsid w:val="00013D1A"/>
    <w:rsid w:val="00016807"/>
    <w:rsid w:val="00020050"/>
    <w:rsid w:val="00027AE5"/>
    <w:rsid w:val="00033BCF"/>
    <w:rsid w:val="00034027"/>
    <w:rsid w:val="00035354"/>
    <w:rsid w:val="00037499"/>
    <w:rsid w:val="00043220"/>
    <w:rsid w:val="00051287"/>
    <w:rsid w:val="000525DE"/>
    <w:rsid w:val="00055741"/>
    <w:rsid w:val="000565BB"/>
    <w:rsid w:val="00056D09"/>
    <w:rsid w:val="00057794"/>
    <w:rsid w:val="00061B65"/>
    <w:rsid w:val="00063598"/>
    <w:rsid w:val="000675F4"/>
    <w:rsid w:val="000707AF"/>
    <w:rsid w:val="00071E9A"/>
    <w:rsid w:val="000750D8"/>
    <w:rsid w:val="00076767"/>
    <w:rsid w:val="00081F89"/>
    <w:rsid w:val="00081FC4"/>
    <w:rsid w:val="00086141"/>
    <w:rsid w:val="00090E98"/>
    <w:rsid w:val="000918E1"/>
    <w:rsid w:val="000939B3"/>
    <w:rsid w:val="00093C3A"/>
    <w:rsid w:val="00093DAD"/>
    <w:rsid w:val="00095C7D"/>
    <w:rsid w:val="000A1713"/>
    <w:rsid w:val="000A2667"/>
    <w:rsid w:val="000A2736"/>
    <w:rsid w:val="000B0A36"/>
    <w:rsid w:val="000B10B8"/>
    <w:rsid w:val="000B5876"/>
    <w:rsid w:val="000C1938"/>
    <w:rsid w:val="000C7249"/>
    <w:rsid w:val="000D3BB6"/>
    <w:rsid w:val="000D72FF"/>
    <w:rsid w:val="000E1BF1"/>
    <w:rsid w:val="000E6FCC"/>
    <w:rsid w:val="000E7D2D"/>
    <w:rsid w:val="000F01F4"/>
    <w:rsid w:val="000F1290"/>
    <w:rsid w:val="000F1711"/>
    <w:rsid w:val="000F3530"/>
    <w:rsid w:val="000F5C09"/>
    <w:rsid w:val="00104667"/>
    <w:rsid w:val="00104C6B"/>
    <w:rsid w:val="00105160"/>
    <w:rsid w:val="00111800"/>
    <w:rsid w:val="001145DA"/>
    <w:rsid w:val="00116E3F"/>
    <w:rsid w:val="00117431"/>
    <w:rsid w:val="00120F25"/>
    <w:rsid w:val="00127EAC"/>
    <w:rsid w:val="00131289"/>
    <w:rsid w:val="001314EB"/>
    <w:rsid w:val="001314F2"/>
    <w:rsid w:val="001327E7"/>
    <w:rsid w:val="00132AEE"/>
    <w:rsid w:val="00137F04"/>
    <w:rsid w:val="00140A71"/>
    <w:rsid w:val="00142586"/>
    <w:rsid w:val="00142AF8"/>
    <w:rsid w:val="00142C03"/>
    <w:rsid w:val="0014394E"/>
    <w:rsid w:val="00146149"/>
    <w:rsid w:val="0015314B"/>
    <w:rsid w:val="00155A7F"/>
    <w:rsid w:val="00157BAF"/>
    <w:rsid w:val="00157D95"/>
    <w:rsid w:val="0016205F"/>
    <w:rsid w:val="001632E3"/>
    <w:rsid w:val="00166407"/>
    <w:rsid w:val="00170062"/>
    <w:rsid w:val="00171CCA"/>
    <w:rsid w:val="00173644"/>
    <w:rsid w:val="001750C6"/>
    <w:rsid w:val="00186BCD"/>
    <w:rsid w:val="00187179"/>
    <w:rsid w:val="001901FF"/>
    <w:rsid w:val="0019152F"/>
    <w:rsid w:val="00191FCF"/>
    <w:rsid w:val="00192B2A"/>
    <w:rsid w:val="00193364"/>
    <w:rsid w:val="00196673"/>
    <w:rsid w:val="00196842"/>
    <w:rsid w:val="001B0D00"/>
    <w:rsid w:val="001B100D"/>
    <w:rsid w:val="001B598D"/>
    <w:rsid w:val="001B7594"/>
    <w:rsid w:val="001C189C"/>
    <w:rsid w:val="001C2282"/>
    <w:rsid w:val="001C2307"/>
    <w:rsid w:val="001C2E35"/>
    <w:rsid w:val="001C621A"/>
    <w:rsid w:val="001C7C1C"/>
    <w:rsid w:val="001D0619"/>
    <w:rsid w:val="001D1ABA"/>
    <w:rsid w:val="001D2E66"/>
    <w:rsid w:val="001D47D6"/>
    <w:rsid w:val="001E1D87"/>
    <w:rsid w:val="001E1E2F"/>
    <w:rsid w:val="001E5C19"/>
    <w:rsid w:val="001F287E"/>
    <w:rsid w:val="001F5618"/>
    <w:rsid w:val="001F5EB3"/>
    <w:rsid w:val="001F6A96"/>
    <w:rsid w:val="00201E23"/>
    <w:rsid w:val="002036D1"/>
    <w:rsid w:val="00205101"/>
    <w:rsid w:val="00212397"/>
    <w:rsid w:val="002125D5"/>
    <w:rsid w:val="0021698E"/>
    <w:rsid w:val="002171F1"/>
    <w:rsid w:val="002233E5"/>
    <w:rsid w:val="00231CC3"/>
    <w:rsid w:val="00235245"/>
    <w:rsid w:val="00242F61"/>
    <w:rsid w:val="002456AD"/>
    <w:rsid w:val="0025167E"/>
    <w:rsid w:val="002525C5"/>
    <w:rsid w:val="00267AFD"/>
    <w:rsid w:val="0027043A"/>
    <w:rsid w:val="002738BB"/>
    <w:rsid w:val="002740F2"/>
    <w:rsid w:val="00274704"/>
    <w:rsid w:val="00280222"/>
    <w:rsid w:val="0028028F"/>
    <w:rsid w:val="0028029E"/>
    <w:rsid w:val="002974B6"/>
    <w:rsid w:val="002B26B6"/>
    <w:rsid w:val="002B374F"/>
    <w:rsid w:val="002B3DFA"/>
    <w:rsid w:val="002B55DE"/>
    <w:rsid w:val="002C130B"/>
    <w:rsid w:val="002C133E"/>
    <w:rsid w:val="002C4916"/>
    <w:rsid w:val="002D1E32"/>
    <w:rsid w:val="002D524E"/>
    <w:rsid w:val="002E2ED9"/>
    <w:rsid w:val="002E6D7D"/>
    <w:rsid w:val="002F1982"/>
    <w:rsid w:val="002F310F"/>
    <w:rsid w:val="002F5466"/>
    <w:rsid w:val="002F5D96"/>
    <w:rsid w:val="002F6CD3"/>
    <w:rsid w:val="003010DF"/>
    <w:rsid w:val="00303212"/>
    <w:rsid w:val="00303EC7"/>
    <w:rsid w:val="00304D25"/>
    <w:rsid w:val="00320C0A"/>
    <w:rsid w:val="00321F6A"/>
    <w:rsid w:val="003224B5"/>
    <w:rsid w:val="0032763F"/>
    <w:rsid w:val="00340D36"/>
    <w:rsid w:val="003412F3"/>
    <w:rsid w:val="00341E0A"/>
    <w:rsid w:val="00343AF5"/>
    <w:rsid w:val="00343E52"/>
    <w:rsid w:val="00344880"/>
    <w:rsid w:val="00346929"/>
    <w:rsid w:val="003555FE"/>
    <w:rsid w:val="00361933"/>
    <w:rsid w:val="00361FD2"/>
    <w:rsid w:val="00364A7F"/>
    <w:rsid w:val="00383FEF"/>
    <w:rsid w:val="0038733E"/>
    <w:rsid w:val="0039065F"/>
    <w:rsid w:val="00393EE4"/>
    <w:rsid w:val="0039711B"/>
    <w:rsid w:val="003A203A"/>
    <w:rsid w:val="003A755E"/>
    <w:rsid w:val="003B04C0"/>
    <w:rsid w:val="003B354B"/>
    <w:rsid w:val="003B63E8"/>
    <w:rsid w:val="003C0658"/>
    <w:rsid w:val="003C56E8"/>
    <w:rsid w:val="003D0E07"/>
    <w:rsid w:val="003D1AF1"/>
    <w:rsid w:val="003E2974"/>
    <w:rsid w:val="003E51E1"/>
    <w:rsid w:val="003E6481"/>
    <w:rsid w:val="003F083E"/>
    <w:rsid w:val="003F2DBB"/>
    <w:rsid w:val="003F6968"/>
    <w:rsid w:val="003F7BEA"/>
    <w:rsid w:val="004006FA"/>
    <w:rsid w:val="00401E9C"/>
    <w:rsid w:val="00405E40"/>
    <w:rsid w:val="00407989"/>
    <w:rsid w:val="00411CA4"/>
    <w:rsid w:val="00412BF3"/>
    <w:rsid w:val="004145A1"/>
    <w:rsid w:val="00414A46"/>
    <w:rsid w:val="00414ACB"/>
    <w:rsid w:val="0041764E"/>
    <w:rsid w:val="004232F4"/>
    <w:rsid w:val="00423EF0"/>
    <w:rsid w:val="00425155"/>
    <w:rsid w:val="004264E7"/>
    <w:rsid w:val="004268D0"/>
    <w:rsid w:val="00430313"/>
    <w:rsid w:val="004329BE"/>
    <w:rsid w:val="0043411E"/>
    <w:rsid w:val="00434F9F"/>
    <w:rsid w:val="00436685"/>
    <w:rsid w:val="00441025"/>
    <w:rsid w:val="00450BCE"/>
    <w:rsid w:val="004532C6"/>
    <w:rsid w:val="0045652A"/>
    <w:rsid w:val="00464B50"/>
    <w:rsid w:val="004669A1"/>
    <w:rsid w:val="00467363"/>
    <w:rsid w:val="004716D7"/>
    <w:rsid w:val="004723E6"/>
    <w:rsid w:val="00473F2B"/>
    <w:rsid w:val="004801DC"/>
    <w:rsid w:val="00482A0B"/>
    <w:rsid w:val="00482CB7"/>
    <w:rsid w:val="004832FE"/>
    <w:rsid w:val="0048588A"/>
    <w:rsid w:val="004868C2"/>
    <w:rsid w:val="0049031A"/>
    <w:rsid w:val="004910D8"/>
    <w:rsid w:val="004948BF"/>
    <w:rsid w:val="004A08E4"/>
    <w:rsid w:val="004A57CB"/>
    <w:rsid w:val="004A5FCC"/>
    <w:rsid w:val="004C0C51"/>
    <w:rsid w:val="004C15B9"/>
    <w:rsid w:val="004C7EBA"/>
    <w:rsid w:val="004D3AD8"/>
    <w:rsid w:val="004D5B5E"/>
    <w:rsid w:val="004D6180"/>
    <w:rsid w:val="004D628A"/>
    <w:rsid w:val="004E23B3"/>
    <w:rsid w:val="004E3877"/>
    <w:rsid w:val="004E654F"/>
    <w:rsid w:val="004E7AAC"/>
    <w:rsid w:val="004F2915"/>
    <w:rsid w:val="004F29F4"/>
    <w:rsid w:val="004F7315"/>
    <w:rsid w:val="00500596"/>
    <w:rsid w:val="00500BBB"/>
    <w:rsid w:val="00502172"/>
    <w:rsid w:val="005032F9"/>
    <w:rsid w:val="0050575D"/>
    <w:rsid w:val="005059D1"/>
    <w:rsid w:val="00507477"/>
    <w:rsid w:val="00512FCF"/>
    <w:rsid w:val="00520888"/>
    <w:rsid w:val="005239CA"/>
    <w:rsid w:val="00527050"/>
    <w:rsid w:val="00527DE5"/>
    <w:rsid w:val="005319D1"/>
    <w:rsid w:val="00533A15"/>
    <w:rsid w:val="00535783"/>
    <w:rsid w:val="0053600D"/>
    <w:rsid w:val="00537306"/>
    <w:rsid w:val="00541A97"/>
    <w:rsid w:val="005449ED"/>
    <w:rsid w:val="00546DE2"/>
    <w:rsid w:val="005510E5"/>
    <w:rsid w:val="00556AA2"/>
    <w:rsid w:val="005602DC"/>
    <w:rsid w:val="00560AAA"/>
    <w:rsid w:val="00565874"/>
    <w:rsid w:val="005717A4"/>
    <w:rsid w:val="00584726"/>
    <w:rsid w:val="00584EC9"/>
    <w:rsid w:val="00585996"/>
    <w:rsid w:val="00585FE7"/>
    <w:rsid w:val="00592E7D"/>
    <w:rsid w:val="00594D2A"/>
    <w:rsid w:val="005958E8"/>
    <w:rsid w:val="00595EF4"/>
    <w:rsid w:val="005A24D4"/>
    <w:rsid w:val="005A33A0"/>
    <w:rsid w:val="005A5C31"/>
    <w:rsid w:val="005A5F3C"/>
    <w:rsid w:val="005A6D70"/>
    <w:rsid w:val="005A7060"/>
    <w:rsid w:val="005A7FDB"/>
    <w:rsid w:val="005B1628"/>
    <w:rsid w:val="005B16BD"/>
    <w:rsid w:val="005B6F74"/>
    <w:rsid w:val="005B70D6"/>
    <w:rsid w:val="005C26A1"/>
    <w:rsid w:val="005C3907"/>
    <w:rsid w:val="005C64CB"/>
    <w:rsid w:val="005D3DE0"/>
    <w:rsid w:val="005D4B53"/>
    <w:rsid w:val="005E066C"/>
    <w:rsid w:val="005E0C1F"/>
    <w:rsid w:val="005E45C7"/>
    <w:rsid w:val="005E50F8"/>
    <w:rsid w:val="005E7919"/>
    <w:rsid w:val="005F0C31"/>
    <w:rsid w:val="005F1CE4"/>
    <w:rsid w:val="005F21F0"/>
    <w:rsid w:val="005F3F59"/>
    <w:rsid w:val="005F66C4"/>
    <w:rsid w:val="00605CBE"/>
    <w:rsid w:val="00610ABA"/>
    <w:rsid w:val="00610FFA"/>
    <w:rsid w:val="0061112B"/>
    <w:rsid w:val="00615C11"/>
    <w:rsid w:val="00616E86"/>
    <w:rsid w:val="00620787"/>
    <w:rsid w:val="006229D1"/>
    <w:rsid w:val="00625982"/>
    <w:rsid w:val="0062785F"/>
    <w:rsid w:val="0063693F"/>
    <w:rsid w:val="00636D25"/>
    <w:rsid w:val="0064168F"/>
    <w:rsid w:val="0064799D"/>
    <w:rsid w:val="00647D70"/>
    <w:rsid w:val="006502A1"/>
    <w:rsid w:val="00653B0C"/>
    <w:rsid w:val="006614A6"/>
    <w:rsid w:val="006727EB"/>
    <w:rsid w:val="00677231"/>
    <w:rsid w:val="00680CBF"/>
    <w:rsid w:val="00685658"/>
    <w:rsid w:val="00686123"/>
    <w:rsid w:val="00686F11"/>
    <w:rsid w:val="00687153"/>
    <w:rsid w:val="00690A33"/>
    <w:rsid w:val="00693BAC"/>
    <w:rsid w:val="00696370"/>
    <w:rsid w:val="006A0964"/>
    <w:rsid w:val="006A132D"/>
    <w:rsid w:val="006A17F1"/>
    <w:rsid w:val="006A4EBB"/>
    <w:rsid w:val="006A5606"/>
    <w:rsid w:val="006A561B"/>
    <w:rsid w:val="006A59B5"/>
    <w:rsid w:val="006A66AB"/>
    <w:rsid w:val="006A7616"/>
    <w:rsid w:val="006B1942"/>
    <w:rsid w:val="006B4EBA"/>
    <w:rsid w:val="006B7C4E"/>
    <w:rsid w:val="006C0B1D"/>
    <w:rsid w:val="006C46AB"/>
    <w:rsid w:val="006C74DA"/>
    <w:rsid w:val="006D13B6"/>
    <w:rsid w:val="006D7651"/>
    <w:rsid w:val="006E0F36"/>
    <w:rsid w:val="006E3071"/>
    <w:rsid w:val="006F2297"/>
    <w:rsid w:val="006F23F4"/>
    <w:rsid w:val="0070052C"/>
    <w:rsid w:val="00703611"/>
    <w:rsid w:val="00703F68"/>
    <w:rsid w:val="0070645D"/>
    <w:rsid w:val="0070704A"/>
    <w:rsid w:val="00710CAD"/>
    <w:rsid w:val="0071318A"/>
    <w:rsid w:val="00723A92"/>
    <w:rsid w:val="00723F38"/>
    <w:rsid w:val="00725274"/>
    <w:rsid w:val="007365D7"/>
    <w:rsid w:val="00736EC8"/>
    <w:rsid w:val="00737305"/>
    <w:rsid w:val="00740760"/>
    <w:rsid w:val="00741DE6"/>
    <w:rsid w:val="007472A6"/>
    <w:rsid w:val="00747812"/>
    <w:rsid w:val="00747EBA"/>
    <w:rsid w:val="007530F4"/>
    <w:rsid w:val="00756FA7"/>
    <w:rsid w:val="00775005"/>
    <w:rsid w:val="007801EB"/>
    <w:rsid w:val="00780CDF"/>
    <w:rsid w:val="007848D1"/>
    <w:rsid w:val="00796A02"/>
    <w:rsid w:val="00796C7D"/>
    <w:rsid w:val="007971CA"/>
    <w:rsid w:val="007A17F8"/>
    <w:rsid w:val="007A219A"/>
    <w:rsid w:val="007A2549"/>
    <w:rsid w:val="007A3224"/>
    <w:rsid w:val="007A560A"/>
    <w:rsid w:val="007A705D"/>
    <w:rsid w:val="007B0020"/>
    <w:rsid w:val="007B1721"/>
    <w:rsid w:val="007B1E9B"/>
    <w:rsid w:val="007B2524"/>
    <w:rsid w:val="007B7EC5"/>
    <w:rsid w:val="007C1832"/>
    <w:rsid w:val="007C6125"/>
    <w:rsid w:val="007C7033"/>
    <w:rsid w:val="007D0429"/>
    <w:rsid w:val="007D1A17"/>
    <w:rsid w:val="007D6FCE"/>
    <w:rsid w:val="007E0729"/>
    <w:rsid w:val="007E3330"/>
    <w:rsid w:val="007E6536"/>
    <w:rsid w:val="007E7AA0"/>
    <w:rsid w:val="007F225E"/>
    <w:rsid w:val="007F4D77"/>
    <w:rsid w:val="007F7AE0"/>
    <w:rsid w:val="00801F1D"/>
    <w:rsid w:val="008020CA"/>
    <w:rsid w:val="0080347B"/>
    <w:rsid w:val="00803B5E"/>
    <w:rsid w:val="00810638"/>
    <w:rsid w:val="00810BB2"/>
    <w:rsid w:val="00813356"/>
    <w:rsid w:val="00816AF6"/>
    <w:rsid w:val="008222E9"/>
    <w:rsid w:val="00827176"/>
    <w:rsid w:val="00831597"/>
    <w:rsid w:val="008337F4"/>
    <w:rsid w:val="00835D66"/>
    <w:rsid w:val="00837965"/>
    <w:rsid w:val="00842D7B"/>
    <w:rsid w:val="00842E0C"/>
    <w:rsid w:val="00843882"/>
    <w:rsid w:val="008475FC"/>
    <w:rsid w:val="008505E2"/>
    <w:rsid w:val="00851265"/>
    <w:rsid w:val="00851AF6"/>
    <w:rsid w:val="00854AE0"/>
    <w:rsid w:val="0085500F"/>
    <w:rsid w:val="008571A8"/>
    <w:rsid w:val="00867C9C"/>
    <w:rsid w:val="008710C2"/>
    <w:rsid w:val="00872EB2"/>
    <w:rsid w:val="00875633"/>
    <w:rsid w:val="0088195A"/>
    <w:rsid w:val="008834EF"/>
    <w:rsid w:val="008851A5"/>
    <w:rsid w:val="00885998"/>
    <w:rsid w:val="00886291"/>
    <w:rsid w:val="00894F56"/>
    <w:rsid w:val="0089614C"/>
    <w:rsid w:val="00896E2A"/>
    <w:rsid w:val="008A0372"/>
    <w:rsid w:val="008A175A"/>
    <w:rsid w:val="008A2515"/>
    <w:rsid w:val="008A720F"/>
    <w:rsid w:val="008B0DFC"/>
    <w:rsid w:val="008B53F5"/>
    <w:rsid w:val="008B5847"/>
    <w:rsid w:val="008C2AB4"/>
    <w:rsid w:val="008C341B"/>
    <w:rsid w:val="008D2D5F"/>
    <w:rsid w:val="008D2E48"/>
    <w:rsid w:val="008D45E4"/>
    <w:rsid w:val="008E344A"/>
    <w:rsid w:val="008E734E"/>
    <w:rsid w:val="008E79D6"/>
    <w:rsid w:val="008F2872"/>
    <w:rsid w:val="008F3025"/>
    <w:rsid w:val="00902EA6"/>
    <w:rsid w:val="0090394A"/>
    <w:rsid w:val="00903B15"/>
    <w:rsid w:val="00904C00"/>
    <w:rsid w:val="0090501B"/>
    <w:rsid w:val="00907B9C"/>
    <w:rsid w:val="00910CB0"/>
    <w:rsid w:val="009129A7"/>
    <w:rsid w:val="0091475E"/>
    <w:rsid w:val="00917893"/>
    <w:rsid w:val="00920228"/>
    <w:rsid w:val="00924C18"/>
    <w:rsid w:val="0092641F"/>
    <w:rsid w:val="00926E71"/>
    <w:rsid w:val="00934A89"/>
    <w:rsid w:val="00935673"/>
    <w:rsid w:val="009444D4"/>
    <w:rsid w:val="0094614C"/>
    <w:rsid w:val="00946272"/>
    <w:rsid w:val="00947D41"/>
    <w:rsid w:val="00962354"/>
    <w:rsid w:val="009641DC"/>
    <w:rsid w:val="00971937"/>
    <w:rsid w:val="00972A56"/>
    <w:rsid w:val="00974A9E"/>
    <w:rsid w:val="00977B34"/>
    <w:rsid w:val="00981EAF"/>
    <w:rsid w:val="00991021"/>
    <w:rsid w:val="00991873"/>
    <w:rsid w:val="00994288"/>
    <w:rsid w:val="0099538F"/>
    <w:rsid w:val="009A0009"/>
    <w:rsid w:val="009A3039"/>
    <w:rsid w:val="009A3D18"/>
    <w:rsid w:val="009B372E"/>
    <w:rsid w:val="009B4527"/>
    <w:rsid w:val="009B524E"/>
    <w:rsid w:val="009C0903"/>
    <w:rsid w:val="009C1D22"/>
    <w:rsid w:val="009C2203"/>
    <w:rsid w:val="009C221C"/>
    <w:rsid w:val="009C6D39"/>
    <w:rsid w:val="009C714E"/>
    <w:rsid w:val="009D2209"/>
    <w:rsid w:val="009E0F4E"/>
    <w:rsid w:val="009E2BB5"/>
    <w:rsid w:val="009E39C8"/>
    <w:rsid w:val="009E558B"/>
    <w:rsid w:val="009E5858"/>
    <w:rsid w:val="009E6C80"/>
    <w:rsid w:val="009F063F"/>
    <w:rsid w:val="009F1376"/>
    <w:rsid w:val="009F2587"/>
    <w:rsid w:val="009F4461"/>
    <w:rsid w:val="009F63B5"/>
    <w:rsid w:val="00A02C23"/>
    <w:rsid w:val="00A03391"/>
    <w:rsid w:val="00A0393F"/>
    <w:rsid w:val="00A10159"/>
    <w:rsid w:val="00A10B06"/>
    <w:rsid w:val="00A111C4"/>
    <w:rsid w:val="00A113DC"/>
    <w:rsid w:val="00A12C4E"/>
    <w:rsid w:val="00A13073"/>
    <w:rsid w:val="00A15F78"/>
    <w:rsid w:val="00A22756"/>
    <w:rsid w:val="00A24F0B"/>
    <w:rsid w:val="00A250A6"/>
    <w:rsid w:val="00A27963"/>
    <w:rsid w:val="00A3553D"/>
    <w:rsid w:val="00A42C6A"/>
    <w:rsid w:val="00A51A18"/>
    <w:rsid w:val="00A51ADB"/>
    <w:rsid w:val="00A526E2"/>
    <w:rsid w:val="00A546B0"/>
    <w:rsid w:val="00A57359"/>
    <w:rsid w:val="00A66CBE"/>
    <w:rsid w:val="00A67F2C"/>
    <w:rsid w:val="00A708DD"/>
    <w:rsid w:val="00A73AFF"/>
    <w:rsid w:val="00A74C78"/>
    <w:rsid w:val="00A76818"/>
    <w:rsid w:val="00A776F7"/>
    <w:rsid w:val="00A81C70"/>
    <w:rsid w:val="00A95754"/>
    <w:rsid w:val="00A9580C"/>
    <w:rsid w:val="00AA2829"/>
    <w:rsid w:val="00AA5008"/>
    <w:rsid w:val="00AA501E"/>
    <w:rsid w:val="00AB11A1"/>
    <w:rsid w:val="00AB1CE1"/>
    <w:rsid w:val="00AB2B04"/>
    <w:rsid w:val="00AB2B2C"/>
    <w:rsid w:val="00AB2FA7"/>
    <w:rsid w:val="00AB3784"/>
    <w:rsid w:val="00AB4210"/>
    <w:rsid w:val="00AB71F3"/>
    <w:rsid w:val="00AD0AFB"/>
    <w:rsid w:val="00AD54F1"/>
    <w:rsid w:val="00AD7736"/>
    <w:rsid w:val="00AE04FA"/>
    <w:rsid w:val="00AE7F10"/>
    <w:rsid w:val="00AF4E0F"/>
    <w:rsid w:val="00B02193"/>
    <w:rsid w:val="00B052C2"/>
    <w:rsid w:val="00B110EF"/>
    <w:rsid w:val="00B165CF"/>
    <w:rsid w:val="00B17436"/>
    <w:rsid w:val="00B22506"/>
    <w:rsid w:val="00B24485"/>
    <w:rsid w:val="00B248CC"/>
    <w:rsid w:val="00B30FB4"/>
    <w:rsid w:val="00B31C21"/>
    <w:rsid w:val="00B33FAA"/>
    <w:rsid w:val="00B3494E"/>
    <w:rsid w:val="00B45764"/>
    <w:rsid w:val="00B462AA"/>
    <w:rsid w:val="00B51797"/>
    <w:rsid w:val="00B51E3A"/>
    <w:rsid w:val="00B5280C"/>
    <w:rsid w:val="00B61056"/>
    <w:rsid w:val="00B61383"/>
    <w:rsid w:val="00B63753"/>
    <w:rsid w:val="00B73276"/>
    <w:rsid w:val="00B7400A"/>
    <w:rsid w:val="00B76E71"/>
    <w:rsid w:val="00B80A06"/>
    <w:rsid w:val="00B81065"/>
    <w:rsid w:val="00B90249"/>
    <w:rsid w:val="00B90E78"/>
    <w:rsid w:val="00BA1950"/>
    <w:rsid w:val="00BA1ABD"/>
    <w:rsid w:val="00BA1C48"/>
    <w:rsid w:val="00BA4096"/>
    <w:rsid w:val="00BB6E42"/>
    <w:rsid w:val="00BC118D"/>
    <w:rsid w:val="00BC44FE"/>
    <w:rsid w:val="00BC49AE"/>
    <w:rsid w:val="00BC614E"/>
    <w:rsid w:val="00BC6731"/>
    <w:rsid w:val="00BC76C4"/>
    <w:rsid w:val="00BD2C64"/>
    <w:rsid w:val="00BD76CA"/>
    <w:rsid w:val="00BF3AFC"/>
    <w:rsid w:val="00BF6B1C"/>
    <w:rsid w:val="00C02AC6"/>
    <w:rsid w:val="00C12BDB"/>
    <w:rsid w:val="00C13C35"/>
    <w:rsid w:val="00C1769E"/>
    <w:rsid w:val="00C20A0A"/>
    <w:rsid w:val="00C20C66"/>
    <w:rsid w:val="00C221AB"/>
    <w:rsid w:val="00C25896"/>
    <w:rsid w:val="00C26429"/>
    <w:rsid w:val="00C35A10"/>
    <w:rsid w:val="00C37F64"/>
    <w:rsid w:val="00C43AC4"/>
    <w:rsid w:val="00C56F2D"/>
    <w:rsid w:val="00C62F6B"/>
    <w:rsid w:val="00C73744"/>
    <w:rsid w:val="00C75084"/>
    <w:rsid w:val="00C80FF0"/>
    <w:rsid w:val="00C85A1B"/>
    <w:rsid w:val="00C85BAB"/>
    <w:rsid w:val="00C86E56"/>
    <w:rsid w:val="00C873E9"/>
    <w:rsid w:val="00C922D6"/>
    <w:rsid w:val="00C92D00"/>
    <w:rsid w:val="00C93D59"/>
    <w:rsid w:val="00C9558E"/>
    <w:rsid w:val="00C964D5"/>
    <w:rsid w:val="00CA0394"/>
    <w:rsid w:val="00CA3079"/>
    <w:rsid w:val="00CA592B"/>
    <w:rsid w:val="00CB1154"/>
    <w:rsid w:val="00CB21DD"/>
    <w:rsid w:val="00CB368A"/>
    <w:rsid w:val="00CB4CF7"/>
    <w:rsid w:val="00CC216F"/>
    <w:rsid w:val="00CC6D5D"/>
    <w:rsid w:val="00CC7578"/>
    <w:rsid w:val="00CD0660"/>
    <w:rsid w:val="00CD0A6B"/>
    <w:rsid w:val="00CD3EE6"/>
    <w:rsid w:val="00CE34A6"/>
    <w:rsid w:val="00CE5DDF"/>
    <w:rsid w:val="00CF0E20"/>
    <w:rsid w:val="00CF104B"/>
    <w:rsid w:val="00CF3951"/>
    <w:rsid w:val="00CF4654"/>
    <w:rsid w:val="00CF71F8"/>
    <w:rsid w:val="00D030C5"/>
    <w:rsid w:val="00D13DF4"/>
    <w:rsid w:val="00D143D2"/>
    <w:rsid w:val="00D1583C"/>
    <w:rsid w:val="00D16CB3"/>
    <w:rsid w:val="00D20B62"/>
    <w:rsid w:val="00D21FAF"/>
    <w:rsid w:val="00D23AEC"/>
    <w:rsid w:val="00D23F0C"/>
    <w:rsid w:val="00D27317"/>
    <w:rsid w:val="00D31B31"/>
    <w:rsid w:val="00D33730"/>
    <w:rsid w:val="00D34D5B"/>
    <w:rsid w:val="00D36656"/>
    <w:rsid w:val="00D41C67"/>
    <w:rsid w:val="00D4408A"/>
    <w:rsid w:val="00D45A25"/>
    <w:rsid w:val="00D5588B"/>
    <w:rsid w:val="00D60D3B"/>
    <w:rsid w:val="00D619AE"/>
    <w:rsid w:val="00D65904"/>
    <w:rsid w:val="00D70F13"/>
    <w:rsid w:val="00D75795"/>
    <w:rsid w:val="00D76B91"/>
    <w:rsid w:val="00D76E0A"/>
    <w:rsid w:val="00D77E47"/>
    <w:rsid w:val="00D8031D"/>
    <w:rsid w:val="00D8101C"/>
    <w:rsid w:val="00D82FF0"/>
    <w:rsid w:val="00D853E6"/>
    <w:rsid w:val="00D90D23"/>
    <w:rsid w:val="00D91425"/>
    <w:rsid w:val="00D9220D"/>
    <w:rsid w:val="00D941C5"/>
    <w:rsid w:val="00D97319"/>
    <w:rsid w:val="00DA3C16"/>
    <w:rsid w:val="00DA4AA5"/>
    <w:rsid w:val="00DB238B"/>
    <w:rsid w:val="00DB3B15"/>
    <w:rsid w:val="00DC45B9"/>
    <w:rsid w:val="00DE562C"/>
    <w:rsid w:val="00DF0BB2"/>
    <w:rsid w:val="00DF1648"/>
    <w:rsid w:val="00DF3A13"/>
    <w:rsid w:val="00DF55B5"/>
    <w:rsid w:val="00E0349D"/>
    <w:rsid w:val="00E0476D"/>
    <w:rsid w:val="00E0506F"/>
    <w:rsid w:val="00E06A8B"/>
    <w:rsid w:val="00E11FFE"/>
    <w:rsid w:val="00E17AD4"/>
    <w:rsid w:val="00E17E00"/>
    <w:rsid w:val="00E302B3"/>
    <w:rsid w:val="00E30FC6"/>
    <w:rsid w:val="00E34806"/>
    <w:rsid w:val="00E436BA"/>
    <w:rsid w:val="00E469B3"/>
    <w:rsid w:val="00E50535"/>
    <w:rsid w:val="00E50680"/>
    <w:rsid w:val="00E52260"/>
    <w:rsid w:val="00E52B47"/>
    <w:rsid w:val="00E55649"/>
    <w:rsid w:val="00E62708"/>
    <w:rsid w:val="00E65743"/>
    <w:rsid w:val="00E6635C"/>
    <w:rsid w:val="00E7196D"/>
    <w:rsid w:val="00E721A0"/>
    <w:rsid w:val="00E73920"/>
    <w:rsid w:val="00E77EF2"/>
    <w:rsid w:val="00E87B41"/>
    <w:rsid w:val="00E93C4C"/>
    <w:rsid w:val="00E97902"/>
    <w:rsid w:val="00EA3C14"/>
    <w:rsid w:val="00EA40CA"/>
    <w:rsid w:val="00EB16C3"/>
    <w:rsid w:val="00EB1E91"/>
    <w:rsid w:val="00EB2F4F"/>
    <w:rsid w:val="00EB38F4"/>
    <w:rsid w:val="00EB4AD3"/>
    <w:rsid w:val="00EB4CE7"/>
    <w:rsid w:val="00EB71B8"/>
    <w:rsid w:val="00ED0FB5"/>
    <w:rsid w:val="00ED1094"/>
    <w:rsid w:val="00ED4E14"/>
    <w:rsid w:val="00EE16F9"/>
    <w:rsid w:val="00EE184A"/>
    <w:rsid w:val="00EE3C3F"/>
    <w:rsid w:val="00EE64A4"/>
    <w:rsid w:val="00EE73CF"/>
    <w:rsid w:val="00EE7D30"/>
    <w:rsid w:val="00EF06D6"/>
    <w:rsid w:val="00EF0C2E"/>
    <w:rsid w:val="00EF3CE7"/>
    <w:rsid w:val="00EF76E1"/>
    <w:rsid w:val="00F00EE0"/>
    <w:rsid w:val="00F01900"/>
    <w:rsid w:val="00F023C6"/>
    <w:rsid w:val="00F14E6A"/>
    <w:rsid w:val="00F2318E"/>
    <w:rsid w:val="00F236FF"/>
    <w:rsid w:val="00F30B61"/>
    <w:rsid w:val="00F3122C"/>
    <w:rsid w:val="00F33793"/>
    <w:rsid w:val="00F34A5F"/>
    <w:rsid w:val="00F36073"/>
    <w:rsid w:val="00F37963"/>
    <w:rsid w:val="00F37EBD"/>
    <w:rsid w:val="00F37FEF"/>
    <w:rsid w:val="00F5036E"/>
    <w:rsid w:val="00F503F2"/>
    <w:rsid w:val="00F51A36"/>
    <w:rsid w:val="00F51CBC"/>
    <w:rsid w:val="00F57E83"/>
    <w:rsid w:val="00F637DD"/>
    <w:rsid w:val="00F70F17"/>
    <w:rsid w:val="00F7155D"/>
    <w:rsid w:val="00F7385F"/>
    <w:rsid w:val="00F73AD2"/>
    <w:rsid w:val="00F82102"/>
    <w:rsid w:val="00F8377C"/>
    <w:rsid w:val="00F842E7"/>
    <w:rsid w:val="00F85639"/>
    <w:rsid w:val="00F874A9"/>
    <w:rsid w:val="00F878F7"/>
    <w:rsid w:val="00FA3536"/>
    <w:rsid w:val="00FA66EF"/>
    <w:rsid w:val="00FB2191"/>
    <w:rsid w:val="00FB2889"/>
    <w:rsid w:val="00FB7425"/>
    <w:rsid w:val="00FC3A68"/>
    <w:rsid w:val="00FC5369"/>
    <w:rsid w:val="00FC7892"/>
    <w:rsid w:val="00FD380B"/>
    <w:rsid w:val="00FD483E"/>
    <w:rsid w:val="00FE1175"/>
    <w:rsid w:val="00FE273B"/>
    <w:rsid w:val="00FE29B3"/>
    <w:rsid w:val="00FE64C2"/>
    <w:rsid w:val="00FE675A"/>
    <w:rsid w:val="00FF0C21"/>
    <w:rsid w:val="00FF0D67"/>
    <w:rsid w:val="00FF1133"/>
    <w:rsid w:val="00FF25DB"/>
    <w:rsid w:val="00FF5F1E"/>
    <w:rsid w:val="00FF72A0"/>
    <w:rsid w:val="01C472C9"/>
    <w:rsid w:val="01FE2FD8"/>
    <w:rsid w:val="02741C66"/>
    <w:rsid w:val="02761A5A"/>
    <w:rsid w:val="02F2685F"/>
    <w:rsid w:val="03C54999"/>
    <w:rsid w:val="05E62219"/>
    <w:rsid w:val="05EE4777"/>
    <w:rsid w:val="0663039E"/>
    <w:rsid w:val="06E5539B"/>
    <w:rsid w:val="07D36EF5"/>
    <w:rsid w:val="08C61215"/>
    <w:rsid w:val="08DF3507"/>
    <w:rsid w:val="0B3404EB"/>
    <w:rsid w:val="0E433D4A"/>
    <w:rsid w:val="0EDD4F12"/>
    <w:rsid w:val="103D484C"/>
    <w:rsid w:val="109E1430"/>
    <w:rsid w:val="10CF7BC1"/>
    <w:rsid w:val="11480073"/>
    <w:rsid w:val="11CB4FD1"/>
    <w:rsid w:val="123A51D6"/>
    <w:rsid w:val="124D097B"/>
    <w:rsid w:val="129B3047"/>
    <w:rsid w:val="12C41AAC"/>
    <w:rsid w:val="12FB0C7B"/>
    <w:rsid w:val="13865729"/>
    <w:rsid w:val="153655A0"/>
    <w:rsid w:val="155365BB"/>
    <w:rsid w:val="15A707C1"/>
    <w:rsid w:val="180008BE"/>
    <w:rsid w:val="18F24C1C"/>
    <w:rsid w:val="19531A1C"/>
    <w:rsid w:val="1A7B5B6F"/>
    <w:rsid w:val="1A7E3A1B"/>
    <w:rsid w:val="1ADF0A0B"/>
    <w:rsid w:val="1AEA0CCF"/>
    <w:rsid w:val="1AF5152F"/>
    <w:rsid w:val="1B770086"/>
    <w:rsid w:val="1BE942CB"/>
    <w:rsid w:val="1CD0256D"/>
    <w:rsid w:val="1D016944"/>
    <w:rsid w:val="1FC4030B"/>
    <w:rsid w:val="214E3856"/>
    <w:rsid w:val="21712F9C"/>
    <w:rsid w:val="22030852"/>
    <w:rsid w:val="2258574C"/>
    <w:rsid w:val="253B2592"/>
    <w:rsid w:val="25555E58"/>
    <w:rsid w:val="260B3E4A"/>
    <w:rsid w:val="26663E63"/>
    <w:rsid w:val="269C7214"/>
    <w:rsid w:val="27055FBF"/>
    <w:rsid w:val="27A84681"/>
    <w:rsid w:val="2A803D10"/>
    <w:rsid w:val="2A9775C7"/>
    <w:rsid w:val="2ABB560A"/>
    <w:rsid w:val="2C331046"/>
    <w:rsid w:val="2C8D2C9D"/>
    <w:rsid w:val="2CD14422"/>
    <w:rsid w:val="2CE607C1"/>
    <w:rsid w:val="2E0B6C56"/>
    <w:rsid w:val="30CA0FF6"/>
    <w:rsid w:val="31C74E05"/>
    <w:rsid w:val="32F061CF"/>
    <w:rsid w:val="33FA321A"/>
    <w:rsid w:val="342F50F2"/>
    <w:rsid w:val="34EB06E4"/>
    <w:rsid w:val="35AD70CB"/>
    <w:rsid w:val="36645C7C"/>
    <w:rsid w:val="38DE73A6"/>
    <w:rsid w:val="3C7C7282"/>
    <w:rsid w:val="3F6F68CA"/>
    <w:rsid w:val="3F7B7DB5"/>
    <w:rsid w:val="3FC76DC7"/>
    <w:rsid w:val="45B87970"/>
    <w:rsid w:val="4A7372FE"/>
    <w:rsid w:val="4BB80926"/>
    <w:rsid w:val="4CCE5C39"/>
    <w:rsid w:val="4D5F79B8"/>
    <w:rsid w:val="4E183E11"/>
    <w:rsid w:val="505F6B6A"/>
    <w:rsid w:val="516255F2"/>
    <w:rsid w:val="530A199A"/>
    <w:rsid w:val="55D25404"/>
    <w:rsid w:val="57ED15E6"/>
    <w:rsid w:val="58CB5F4A"/>
    <w:rsid w:val="59665BF4"/>
    <w:rsid w:val="59AE768F"/>
    <w:rsid w:val="5AE82CB5"/>
    <w:rsid w:val="5C0D6B0F"/>
    <w:rsid w:val="5C2C0DB9"/>
    <w:rsid w:val="5CEE283B"/>
    <w:rsid w:val="5DBC33DC"/>
    <w:rsid w:val="5E9F1397"/>
    <w:rsid w:val="5EE33132"/>
    <w:rsid w:val="5F2B6EB7"/>
    <w:rsid w:val="5F400E87"/>
    <w:rsid w:val="5F7B1F67"/>
    <w:rsid w:val="600239E6"/>
    <w:rsid w:val="60830965"/>
    <w:rsid w:val="612A5B6E"/>
    <w:rsid w:val="61385BAB"/>
    <w:rsid w:val="621259CA"/>
    <w:rsid w:val="63C9076B"/>
    <w:rsid w:val="64F25221"/>
    <w:rsid w:val="6561181A"/>
    <w:rsid w:val="65C97BD9"/>
    <w:rsid w:val="66AB5E28"/>
    <w:rsid w:val="6719678D"/>
    <w:rsid w:val="67B95E3B"/>
    <w:rsid w:val="68762AA6"/>
    <w:rsid w:val="68E549FB"/>
    <w:rsid w:val="69EF5690"/>
    <w:rsid w:val="69F927E8"/>
    <w:rsid w:val="6AA71125"/>
    <w:rsid w:val="6ACB2FE5"/>
    <w:rsid w:val="6B172183"/>
    <w:rsid w:val="6B1B3082"/>
    <w:rsid w:val="6B9419A4"/>
    <w:rsid w:val="6BE446D9"/>
    <w:rsid w:val="6C3C102C"/>
    <w:rsid w:val="6C8A61BC"/>
    <w:rsid w:val="6CC142E4"/>
    <w:rsid w:val="6DC57D1E"/>
    <w:rsid w:val="6EAD090F"/>
    <w:rsid w:val="6EDE4561"/>
    <w:rsid w:val="6F29273F"/>
    <w:rsid w:val="6F955A03"/>
    <w:rsid w:val="704801F8"/>
    <w:rsid w:val="704F1897"/>
    <w:rsid w:val="71C32FE3"/>
    <w:rsid w:val="71DD51F2"/>
    <w:rsid w:val="720609B1"/>
    <w:rsid w:val="72847E93"/>
    <w:rsid w:val="749E6BDC"/>
    <w:rsid w:val="74DB4CD4"/>
    <w:rsid w:val="754B57C9"/>
    <w:rsid w:val="759506DA"/>
    <w:rsid w:val="75BC7F38"/>
    <w:rsid w:val="763C145A"/>
    <w:rsid w:val="7A960B34"/>
    <w:rsid w:val="7B365EE5"/>
    <w:rsid w:val="7C7E7345"/>
    <w:rsid w:val="7D561930"/>
    <w:rsid w:val="7D6D6990"/>
    <w:rsid w:val="7D874DA3"/>
    <w:rsid w:val="7E8E2FE7"/>
    <w:rsid w:val="7F257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FD74C9-285F-4286-BA7A-AAAF3857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qFormat="1"/>
    <w:lsdException w:name="header" w:unhideWhenUsed="1" w:qFormat="1"/>
    <w:lsdException w:name="footer" w:uiPriority="99" w:unhideWhenUsed="1" w:qFormat="1"/>
    <w:lsdException w:name="caption" w:semiHidden="1" w:unhideWhenUsed="1" w:qFormat="1"/>
    <w:lsdException w:name="footnote reference" w:uiPriority="99" w:qFormat="1"/>
    <w:lsdException w:name="annotation reference" w:qFormat="1"/>
    <w:lsdException w:name="Title" w:uiPriority="10"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ind w:firstLineChars="151" w:firstLine="151"/>
      <w:outlineLvl w:val="0"/>
    </w:pPr>
    <w:rPr>
      <w:b/>
      <w:bCs/>
      <w:kern w:val="44"/>
      <w:sz w:val="28"/>
      <w:szCs w:val="44"/>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rPr>
      <w:rFonts w:ascii="Times New Roman" w:eastAsia="宋体" w:hAnsi="Times New Roman" w:cs="Times New Roman"/>
      <w:szCs w:val="24"/>
    </w:rPr>
  </w:style>
  <w:style w:type="paragraph" w:styleId="a4">
    <w:name w:val="Balloon Text"/>
    <w:basedOn w:val="a"/>
    <w:link w:val="Char0"/>
    <w:qFormat/>
    <w:rPr>
      <w:sz w:val="18"/>
      <w:szCs w:val="18"/>
    </w:rPr>
  </w:style>
  <w:style w:type="paragraph" w:styleId="a5">
    <w:name w:val="footer"/>
    <w:basedOn w:val="a"/>
    <w:uiPriority w:val="99"/>
    <w:unhideWhenUsed/>
    <w:qFormat/>
    <w:pPr>
      <w:tabs>
        <w:tab w:val="center" w:pos="4153"/>
        <w:tab w:val="right" w:pos="8306"/>
      </w:tabs>
      <w:jc w:val="left"/>
    </w:pPr>
    <w:rPr>
      <w:sz w:val="18"/>
      <w:szCs w:val="18"/>
    </w:rPr>
  </w:style>
  <w:style w:type="paragraph" w:styleId="a6">
    <w:name w:val="header"/>
    <w:basedOn w:val="a"/>
    <w:unhideWhenUsed/>
    <w:qFormat/>
    <w:pPr>
      <w:pBdr>
        <w:bottom w:val="single" w:sz="6" w:space="1" w:color="auto"/>
      </w:pBdr>
      <w:tabs>
        <w:tab w:val="center" w:pos="4153"/>
        <w:tab w:val="right" w:pos="8306"/>
      </w:tabs>
      <w:jc w:val="center"/>
    </w:pPr>
    <w:rPr>
      <w:sz w:val="18"/>
      <w:szCs w:val="18"/>
    </w:rPr>
  </w:style>
  <w:style w:type="paragraph" w:styleId="a7">
    <w:name w:val="footnote text"/>
    <w:basedOn w:val="a"/>
    <w:link w:val="Char1"/>
    <w:uiPriority w:val="99"/>
    <w:qFormat/>
    <w:pPr>
      <w:jc w:val="left"/>
    </w:pPr>
    <w:rPr>
      <w:rFonts w:ascii="Times New Roman" w:eastAsia="宋体" w:hAnsi="Times New Roman" w:cs="Times New Roman"/>
      <w:sz w:val="18"/>
      <w:szCs w:val="18"/>
    </w:rPr>
  </w:style>
  <w:style w:type="paragraph" w:styleId="a8">
    <w:name w:val="Normal (Web)"/>
    <w:basedOn w:val="a"/>
    <w:uiPriority w:val="99"/>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9">
    <w:name w:val="Title"/>
    <w:basedOn w:val="a"/>
    <w:next w:val="a"/>
    <w:uiPriority w:val="10"/>
    <w:qFormat/>
    <w:pPr>
      <w:spacing w:before="240" w:after="60"/>
      <w:jc w:val="center"/>
      <w:outlineLvl w:val="0"/>
    </w:pPr>
    <w:rPr>
      <w:rFonts w:asciiTheme="majorHAnsi" w:eastAsia="宋体" w:hAnsiTheme="majorHAnsi" w:cstheme="majorBidi"/>
      <w:b/>
      <w:bCs/>
      <w:sz w:val="32"/>
      <w:szCs w:val="32"/>
    </w:rPr>
  </w:style>
  <w:style w:type="paragraph" w:styleId="aa">
    <w:name w:val="annotation subject"/>
    <w:basedOn w:val="a3"/>
    <w:next w:val="a3"/>
    <w:link w:val="Char2"/>
    <w:qFormat/>
    <w:rPr>
      <w:b/>
      <w:bCs/>
    </w:rPr>
  </w:style>
  <w:style w:type="table" w:styleId="ab">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qFormat/>
    <w:rPr>
      <w:color w:val="0000FF"/>
      <w:u w:val="single"/>
    </w:rPr>
  </w:style>
  <w:style w:type="character" w:styleId="ad">
    <w:name w:val="annotation reference"/>
    <w:basedOn w:val="a0"/>
    <w:qFormat/>
    <w:rPr>
      <w:sz w:val="21"/>
      <w:szCs w:val="21"/>
    </w:rPr>
  </w:style>
  <w:style w:type="character" w:styleId="ae">
    <w:name w:val="footnote reference"/>
    <w:basedOn w:val="a0"/>
    <w:uiPriority w:val="99"/>
    <w:qFormat/>
    <w:rPr>
      <w:vertAlign w:val="superscript"/>
    </w:rPr>
  </w:style>
  <w:style w:type="paragraph" w:customStyle="1" w:styleId="10">
    <w:name w:val="列出段落1"/>
    <w:basedOn w:val="a"/>
    <w:uiPriority w:val="34"/>
    <w:qFormat/>
    <w:pPr>
      <w:widowControl/>
      <w:jc w:val="left"/>
    </w:pPr>
    <w:rPr>
      <w:rFonts w:ascii="Times New Roman" w:hAnsi="Times New Roman"/>
    </w:rPr>
  </w:style>
  <w:style w:type="paragraph" w:customStyle="1" w:styleId="2">
    <w:name w:val="列出段落2"/>
    <w:basedOn w:val="a"/>
    <w:uiPriority w:val="34"/>
    <w:qFormat/>
    <w:pPr>
      <w:ind w:firstLineChars="200" w:firstLine="420"/>
    </w:pPr>
  </w:style>
  <w:style w:type="paragraph" w:customStyle="1" w:styleId="11">
    <w:name w:val="列出段落11"/>
    <w:basedOn w:val="a"/>
    <w:qFormat/>
    <w:pPr>
      <w:widowControl/>
      <w:jc w:val="left"/>
    </w:pPr>
    <w:rPr>
      <w:rFonts w:ascii="Times New Roman" w:eastAsia="宋体" w:hAnsi="Times New Roman" w:cs="Times New Roman"/>
    </w:rPr>
  </w:style>
  <w:style w:type="paragraph" w:customStyle="1" w:styleId="af">
    <w:name w:val="正文所"/>
    <w:basedOn w:val="a"/>
    <w:qFormat/>
    <w:pPr>
      <w:ind w:firstLine="420"/>
    </w:pPr>
    <w:rPr>
      <w:szCs w:val="24"/>
    </w:rPr>
  </w:style>
  <w:style w:type="table" w:customStyle="1" w:styleId="12">
    <w:name w:val="网格型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4"/>
    <w:qFormat/>
    <w:rPr>
      <w:kern w:val="2"/>
      <w:sz w:val="18"/>
      <w:szCs w:val="18"/>
    </w:rPr>
  </w:style>
  <w:style w:type="character" w:customStyle="1" w:styleId="3Char">
    <w:name w:val="标题 3 Char"/>
    <w:basedOn w:val="a0"/>
    <w:link w:val="3"/>
    <w:semiHidden/>
    <w:qFormat/>
    <w:rPr>
      <w:b/>
      <w:bCs/>
      <w:kern w:val="2"/>
      <w:sz w:val="32"/>
      <w:szCs w:val="32"/>
    </w:r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 w:type="character" w:customStyle="1" w:styleId="Char">
    <w:name w:val="批注文字 Char"/>
    <w:basedOn w:val="a0"/>
    <w:link w:val="a3"/>
    <w:uiPriority w:val="99"/>
    <w:qFormat/>
    <w:rPr>
      <w:kern w:val="2"/>
      <w:sz w:val="21"/>
      <w:szCs w:val="22"/>
    </w:rPr>
  </w:style>
  <w:style w:type="character" w:customStyle="1" w:styleId="Char2">
    <w:name w:val="批注主题 Char"/>
    <w:basedOn w:val="Char"/>
    <w:link w:val="aa"/>
    <w:qFormat/>
    <w:rPr>
      <w:b/>
      <w:bCs/>
      <w:kern w:val="2"/>
      <w:sz w:val="21"/>
      <w:szCs w:val="22"/>
    </w:rPr>
  </w:style>
  <w:style w:type="paragraph" w:customStyle="1" w:styleId="ListParagraph1">
    <w:name w:val="List Paragraph1"/>
    <w:basedOn w:val="a"/>
    <w:qFormat/>
    <w:pPr>
      <w:ind w:firstLineChars="200" w:firstLine="420"/>
    </w:pPr>
    <w:rPr>
      <w:rFonts w:ascii="Calibri" w:eastAsia="宋体" w:hAnsi="Calibri" w:cs="Times New Roman"/>
      <w:szCs w:val="21"/>
    </w:rPr>
  </w:style>
  <w:style w:type="paragraph" w:customStyle="1" w:styleId="20">
    <w:name w:val="修订2"/>
    <w:hidden/>
    <w:uiPriority w:val="99"/>
    <w:semiHidden/>
    <w:qFormat/>
    <w:rPr>
      <w:rFonts w:asciiTheme="minorHAnsi" w:eastAsiaTheme="minorEastAsia" w:hAnsiTheme="minorHAnsi" w:cstheme="minorBidi"/>
      <w:kern w:val="2"/>
      <w:sz w:val="21"/>
      <w:szCs w:val="22"/>
    </w:rPr>
  </w:style>
  <w:style w:type="character" w:customStyle="1" w:styleId="Char1">
    <w:name w:val="脚注文本 Char"/>
    <w:basedOn w:val="a0"/>
    <w:link w:val="a7"/>
    <w:uiPriority w:val="99"/>
    <w:qFormat/>
    <w:rPr>
      <w:rFonts w:ascii="Times New Roman" w:hAnsi="Times New Roman" w:cs="Times New Roman" w:hint="default"/>
      <w:kern w:val="2"/>
      <w:sz w:val="18"/>
      <w:szCs w:val="18"/>
    </w:rPr>
  </w:style>
  <w:style w:type="paragraph" w:customStyle="1" w:styleId="30">
    <w:name w:val="修订3"/>
    <w:hidden/>
    <w:uiPriority w:val="99"/>
    <w:semiHidden/>
    <w:qFormat/>
    <w:rPr>
      <w:rFonts w:asciiTheme="minorHAnsi" w:eastAsiaTheme="minorEastAsia" w:hAnsiTheme="minorHAnsi" w:cstheme="minorBidi"/>
      <w:kern w:val="2"/>
      <w:sz w:val="21"/>
      <w:szCs w:val="22"/>
    </w:rPr>
  </w:style>
  <w:style w:type="paragraph" w:customStyle="1" w:styleId="31">
    <w:name w:val="列出段落3"/>
    <w:basedOn w:val="a"/>
    <w:qFormat/>
    <w:pPr>
      <w:ind w:firstLineChars="200" w:firstLine="420"/>
    </w:pPr>
    <w:rPr>
      <w:rFonts w:ascii="Calibri" w:eastAsia="宋体" w:hAnsi="Calibri" w:cs="Times New Roman"/>
      <w:szCs w:val="21"/>
    </w:rPr>
  </w:style>
  <w:style w:type="paragraph" w:styleId="af0">
    <w:name w:val="List Paragraph"/>
    <w:basedOn w:val="a"/>
    <w:uiPriority w:val="34"/>
    <w:qFormat/>
    <w:pPr>
      <w:ind w:firstLine="420"/>
    </w:pPr>
  </w:style>
  <w:style w:type="paragraph" w:customStyle="1" w:styleId="4">
    <w:name w:val="修订4"/>
    <w:hidden/>
    <w:uiPriority w:val="99"/>
    <w:semiHidden/>
    <w:qFormat/>
    <w:rPr>
      <w:rFonts w:asciiTheme="minorHAnsi" w:eastAsiaTheme="minorEastAsia" w:hAnsiTheme="minorHAnsi" w:cstheme="minorBidi"/>
      <w:kern w:val="2"/>
      <w:sz w:val="21"/>
      <w:szCs w:val="22"/>
    </w:rPr>
  </w:style>
  <w:style w:type="paragraph" w:styleId="af1">
    <w:name w:val="Revision"/>
    <w:hidden/>
    <w:uiPriority w:val="99"/>
    <w:semiHidden/>
    <w:rsid w:val="00533A15"/>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F8E51-D78E-4B69-BD33-8651E498E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3757</Words>
  <Characters>21416</Characters>
  <Application>Microsoft Office Word</Application>
  <DocSecurity>0</DocSecurity>
  <Lines>178</Lines>
  <Paragraphs>50</Paragraphs>
  <ScaleCrop>false</ScaleCrop>
  <Company>BOC</Company>
  <LinksUpToDate>false</LinksUpToDate>
  <CharactersWithSpaces>25123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2047159</dc:creator>
  <cp:lastModifiedBy>孟可心</cp:lastModifiedBy>
  <cp:revision>18</cp:revision>
  <cp:lastPrinted>2024-09-18T10:07:00Z</cp:lastPrinted>
  <dcterms:created xsi:type="dcterms:W3CDTF">2025-08-22T02:23:00Z</dcterms:created>
  <dcterms:modified xsi:type="dcterms:W3CDTF">2025-10-24T00:32:00Z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D281E976627C4303A19A65F48F6974CE</vt:lpwstr>
  </property>
</Properties>
</file>