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55942">
      <w:pPr>
        <w:pStyle w:val="4"/>
        <w:rPr>
          <w:rFonts w:hint="eastAsia" w:ascii="仿宋" w:hAnsi="仿宋" w:eastAsia="仿宋"/>
        </w:rPr>
      </w:pPr>
    </w:p>
    <w:p w14:paraId="691B5F34">
      <w:pPr>
        <w:pStyle w:val="4"/>
        <w:rPr>
          <w:rFonts w:hint="eastAsia" w:ascii="仿宋" w:hAnsi="仿宋" w:eastAsia="仿宋"/>
          <w:color w:val="auto"/>
        </w:rPr>
      </w:pPr>
      <w:r>
        <w:rPr>
          <w:rFonts w:hint="eastAsia" w:ascii="仿宋" w:hAnsi="仿宋" w:eastAsia="仿宋"/>
          <w:color w:val="auto"/>
        </w:rPr>
        <w:t>产品全称：兴银理财稳添利月盈77号(1个月最短持有期)日开固收类理财产品</w:t>
      </w:r>
    </w:p>
    <w:p w14:paraId="04ED1BA0">
      <w:pPr>
        <w:pStyle w:val="4"/>
        <w:rPr>
          <w:rFonts w:hint="eastAsia" w:ascii="仿宋" w:hAnsi="仿宋" w:eastAsia="仿宋"/>
          <w:bCs/>
          <w:color w:val="auto"/>
        </w:rPr>
      </w:pPr>
      <w:r>
        <w:rPr>
          <w:rFonts w:hint="eastAsia" w:ascii="仿宋" w:hAnsi="仿宋" w:eastAsia="仿宋"/>
          <w:color w:val="auto"/>
        </w:rPr>
        <w:t>产品简称</w:t>
      </w:r>
      <w:r>
        <w:rPr>
          <w:rFonts w:hint="eastAsia" w:ascii="仿宋" w:hAnsi="仿宋" w:eastAsia="仿宋"/>
          <w:bCs/>
          <w:color w:val="auto"/>
        </w:rPr>
        <w:t>：稳添利月盈77号H</w:t>
      </w:r>
    </w:p>
    <w:p w14:paraId="27835F20">
      <w:pPr>
        <w:pStyle w:val="4"/>
        <w:rPr>
          <w:rFonts w:hint="eastAsia" w:ascii="仿宋" w:hAnsi="仿宋" w:eastAsia="仿宋"/>
          <w:color w:val="auto"/>
        </w:rPr>
      </w:pPr>
      <w:r>
        <w:rPr>
          <w:rFonts w:hint="eastAsia" w:ascii="仿宋" w:hAnsi="仿宋" w:eastAsia="仿宋"/>
          <w:color w:val="auto"/>
        </w:rPr>
        <w:t>产品代码：9K43077H</w:t>
      </w:r>
      <w:bookmarkStart w:id="0" w:name="_GoBack"/>
      <w:bookmarkEnd w:id="0"/>
    </w:p>
    <w:p w14:paraId="07388926">
      <w:pPr>
        <w:rPr>
          <w:rFonts w:hint="eastAsia" w:ascii="仿宋" w:hAnsi="仿宋" w:eastAsia="仿宋"/>
          <w:color w:val="auto"/>
          <w:sz w:val="24"/>
          <w:highlight w:val="none"/>
        </w:rPr>
      </w:pPr>
      <w:r>
        <w:rPr>
          <w:rFonts w:hint="eastAsia" w:ascii="仿宋" w:hAnsi="仿宋" w:eastAsia="仿宋"/>
          <w:sz w:val="24"/>
        </w:rPr>
        <w:t>购买时间（简）：工作日T</w:t>
      </w:r>
      <w:r>
        <w:rPr>
          <w:rFonts w:hint="eastAsia" w:ascii="仿宋" w:hAnsi="仿宋" w:eastAsia="仿宋"/>
          <w:sz w:val="24"/>
          <w:highlight w:val="none"/>
        </w:rPr>
        <w:t>日</w:t>
      </w:r>
      <w:r>
        <w:rPr>
          <w:rFonts w:hint="eastAsia" w:ascii="仿宋" w:hAnsi="仿宋" w:eastAsia="仿宋"/>
          <w:color w:val="auto"/>
          <w:sz w:val="24"/>
          <w:highlight w:val="none"/>
        </w:rPr>
        <w:t>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前购买，T+1工作日确认份额；工作日1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之后，或非工作日购买，则顺延至下一工作日；</w:t>
      </w:r>
    </w:p>
    <w:p w14:paraId="01302A6F">
      <w:pPr>
        <w:tabs>
          <w:tab w:val="left" w:pos="7552"/>
        </w:tabs>
        <w:rPr>
          <w:rFonts w:hint="eastAsia" w:ascii="仿宋" w:hAnsi="仿宋" w:eastAsia="仿宋"/>
          <w:color w:val="auto"/>
          <w:sz w:val="24"/>
          <w:highlight w:val="none"/>
        </w:rPr>
      </w:pPr>
    </w:p>
    <w:p w14:paraId="28A53C2C">
      <w:pPr>
        <w:rPr>
          <w:rFonts w:hint="eastAsia" w:ascii="仿宋" w:hAnsi="仿宋" w:eastAsia="仿宋"/>
          <w:color w:val="auto"/>
          <w:sz w:val="24"/>
          <w:highlight w:val="none"/>
        </w:rPr>
      </w:pPr>
      <w:r>
        <w:rPr>
          <w:rFonts w:hint="eastAsia" w:ascii="仿宋" w:hAnsi="仿宋" w:eastAsia="仿宋"/>
          <w:color w:val="auto"/>
          <w:sz w:val="24"/>
          <w:highlight w:val="none"/>
        </w:rPr>
        <w:t>赎回时间（简）：工作日T日1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前赎回，T+1工作日确认份额；工作日1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之后，或非工作日赎回，则顺延至下一工作日；</w:t>
      </w:r>
    </w:p>
    <w:p w14:paraId="482CE2DD">
      <w:pPr>
        <w:tabs>
          <w:tab w:val="left" w:pos="7552"/>
        </w:tabs>
        <w:rPr>
          <w:rFonts w:hint="eastAsia" w:ascii="仿宋" w:hAnsi="仿宋" w:eastAsia="仿宋"/>
          <w:color w:val="auto"/>
          <w:sz w:val="24"/>
          <w:highlight w:val="none"/>
        </w:rPr>
      </w:pPr>
    </w:p>
    <w:p w14:paraId="35AF9075">
      <w:pPr>
        <w:tabs>
          <w:tab w:val="left" w:pos="7552"/>
        </w:tabs>
        <w:rPr>
          <w:rFonts w:hint="eastAsia" w:ascii="仿宋" w:hAnsi="仿宋" w:eastAsia="仿宋"/>
          <w:sz w:val="24"/>
        </w:rPr>
      </w:pPr>
      <w:r>
        <w:rPr>
          <w:rFonts w:hint="eastAsia" w:ascii="仿宋" w:hAnsi="仿宋" w:eastAsia="仿宋"/>
          <w:color w:val="auto"/>
          <w:sz w:val="24"/>
          <w:highlight w:val="none"/>
        </w:rPr>
        <w:t>到账时间（简）：工作日T日1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前赎回</w:t>
      </w:r>
      <w:r>
        <w:rPr>
          <w:rFonts w:hint="eastAsia" w:ascii="仿宋" w:hAnsi="仿宋" w:eastAsia="仿宋"/>
          <w:sz w:val="24"/>
          <w:highlight w:val="none"/>
        </w:rPr>
        <w:t>，</w:t>
      </w:r>
      <w:r>
        <w:rPr>
          <w:rFonts w:hint="eastAsia" w:ascii="仿宋" w:hAnsi="仿宋" w:eastAsia="仿宋"/>
          <w:sz w:val="24"/>
        </w:rPr>
        <w:t>赎回资金T+1工作日到账（如遇非工作日，则顺延至下一工作日）。</w:t>
      </w:r>
    </w:p>
    <w:p w14:paraId="4EF55293">
      <w:pPr>
        <w:tabs>
          <w:tab w:val="left" w:pos="7552"/>
        </w:tabs>
        <w:rPr>
          <w:rFonts w:hint="eastAsia" w:ascii="仿宋" w:hAnsi="仿宋" w:eastAsia="仿宋"/>
          <w:color w:val="0000FF"/>
          <w:sz w:val="24"/>
        </w:rPr>
      </w:pPr>
    </w:p>
    <w:p w14:paraId="16C3ED12">
      <w:pPr>
        <w:tabs>
          <w:tab w:val="left" w:pos="7552"/>
        </w:tabs>
        <w:rPr>
          <w:rFonts w:hint="eastAsia" w:ascii="仿宋" w:hAnsi="仿宋" w:eastAsia="仿宋"/>
          <w:sz w:val="24"/>
        </w:rPr>
      </w:pPr>
      <w:r>
        <w:rPr>
          <w:rFonts w:hint="eastAsia" w:ascii="仿宋" w:hAnsi="仿宋" w:eastAsia="仿宋"/>
          <w:color w:val="auto"/>
          <w:sz w:val="24"/>
          <w:highlight w:val="none"/>
        </w:rPr>
        <w:t>购买时间（全）：【2025</w:t>
      </w:r>
      <w:r>
        <w:rPr>
          <w:rFonts w:ascii="仿宋" w:hAnsi="仿宋" w:eastAsia="仿宋"/>
          <w:color w:val="auto"/>
          <w:sz w:val="24"/>
          <w:highlight w:val="none"/>
        </w:rPr>
        <w:t>】年【</w:t>
      </w:r>
      <w:r>
        <w:rPr>
          <w:rFonts w:hint="eastAsia" w:ascii="仿宋" w:hAnsi="仿宋" w:eastAsia="仿宋"/>
          <w:color w:val="auto"/>
          <w:sz w:val="24"/>
          <w:highlight w:val="none"/>
          <w:lang w:val="en-US" w:eastAsia="zh-CN"/>
        </w:rPr>
        <w:t>9</w:t>
      </w:r>
      <w:r>
        <w:rPr>
          <w:rFonts w:hint="eastAsia" w:ascii="仿宋" w:hAnsi="仿宋" w:eastAsia="仿宋"/>
          <w:color w:val="auto"/>
          <w:sz w:val="24"/>
          <w:highlight w:val="none"/>
        </w:rPr>
        <w:t>】月【</w:t>
      </w:r>
      <w:r>
        <w:rPr>
          <w:rFonts w:hint="eastAsia" w:ascii="仿宋" w:hAnsi="仿宋" w:eastAsia="仿宋"/>
          <w:color w:val="auto"/>
          <w:sz w:val="24"/>
          <w:highlight w:val="none"/>
          <w:lang w:val="en-US" w:eastAsia="zh-CN"/>
        </w:rPr>
        <w:t>17</w:t>
      </w:r>
      <w:r>
        <w:rPr>
          <w:rFonts w:hint="eastAsia" w:ascii="仿宋" w:hAnsi="仿宋" w:eastAsia="仿宋"/>
          <w:color w:val="auto"/>
          <w:sz w:val="24"/>
          <w:highlight w:val="none"/>
        </w:rPr>
        <w:t>】日【9:00】至【2025</w:t>
      </w:r>
      <w:r>
        <w:rPr>
          <w:rFonts w:ascii="仿宋" w:hAnsi="仿宋" w:eastAsia="仿宋"/>
          <w:color w:val="auto"/>
          <w:sz w:val="24"/>
          <w:highlight w:val="none"/>
        </w:rPr>
        <w:t>】年【</w:t>
      </w:r>
      <w:r>
        <w:rPr>
          <w:rFonts w:hint="eastAsia" w:ascii="仿宋" w:hAnsi="仿宋" w:eastAsia="仿宋"/>
          <w:color w:val="auto"/>
          <w:sz w:val="24"/>
          <w:highlight w:val="none"/>
          <w:lang w:val="en-US" w:eastAsia="zh-CN"/>
        </w:rPr>
        <w:t>9</w:t>
      </w:r>
      <w:r>
        <w:rPr>
          <w:rFonts w:hint="eastAsia" w:ascii="仿宋" w:hAnsi="仿宋" w:eastAsia="仿宋"/>
          <w:color w:val="auto"/>
          <w:sz w:val="24"/>
          <w:highlight w:val="none"/>
        </w:rPr>
        <w:t>】月【</w:t>
      </w:r>
      <w:r>
        <w:rPr>
          <w:rFonts w:hint="eastAsia" w:ascii="仿宋" w:hAnsi="仿宋" w:eastAsia="仿宋"/>
          <w:color w:val="auto"/>
          <w:sz w:val="24"/>
          <w:highlight w:val="none"/>
          <w:lang w:val="en-US" w:eastAsia="zh-CN"/>
        </w:rPr>
        <w:t>17</w:t>
      </w:r>
      <w:r>
        <w:rPr>
          <w:rFonts w:hint="eastAsia" w:ascii="仿宋" w:hAnsi="仿宋" w:eastAsia="仿宋"/>
          <w:color w:val="auto"/>
          <w:sz w:val="24"/>
          <w:highlight w:val="none"/>
        </w:rPr>
        <w:t>】日【1</w:t>
      </w: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00</w:t>
      </w:r>
      <w:r>
        <w:rPr>
          <w:rFonts w:hint="eastAsia" w:ascii="仿宋" w:hAnsi="仿宋" w:eastAsia="仿宋"/>
          <w:color w:val="auto"/>
          <w:sz w:val="24"/>
          <w:highlight w:val="none"/>
        </w:rPr>
        <w:t>】。</w:t>
      </w:r>
      <w:r>
        <w:rPr>
          <w:rFonts w:hint="eastAsia" w:ascii="仿宋" w:hAnsi="仿宋" w:eastAsia="仿宋"/>
          <w:sz w:val="24"/>
        </w:rPr>
        <w:t>本产品封闭期结束后的第一个工作日起每日开放（产品管理人公告暂停开放的日期除外），投资者可于开放日提交申购申请。管理人保留延长或提前终止产品认购期的权利。如有变动，产品实际认购期以管理人公告为准。</w:t>
      </w:r>
    </w:p>
    <w:p w14:paraId="596DB42C">
      <w:pPr>
        <w:tabs>
          <w:tab w:val="left" w:pos="7552"/>
        </w:tabs>
        <w:rPr>
          <w:rFonts w:hint="eastAsia" w:ascii="仿宋" w:hAnsi="仿宋" w:eastAsia="仿宋"/>
          <w:sz w:val="24"/>
        </w:rPr>
      </w:pPr>
    </w:p>
    <w:p w14:paraId="29EE50FC">
      <w:pPr>
        <w:tabs>
          <w:tab w:val="left" w:pos="7552"/>
        </w:tabs>
        <w:rPr>
          <w:rFonts w:hint="eastAsia" w:ascii="仿宋" w:hAnsi="仿宋" w:eastAsia="仿宋"/>
          <w:sz w:val="24"/>
        </w:rPr>
      </w:pPr>
      <w:r>
        <w:rPr>
          <w:rFonts w:hint="eastAsia" w:ascii="仿宋" w:hAnsi="仿宋" w:eastAsia="仿宋"/>
          <w:sz w:val="24"/>
        </w:rPr>
        <w:t>扣款规则：T日购买，</w:t>
      </w:r>
      <w:r>
        <w:rPr>
          <w:rFonts w:ascii="仿宋" w:hAnsi="仿宋" w:eastAsia="仿宋"/>
          <w:sz w:val="24"/>
        </w:rPr>
        <w:t>T</w:t>
      </w:r>
      <w:r>
        <w:rPr>
          <w:rFonts w:hint="eastAsia" w:ascii="仿宋" w:hAnsi="仿宋" w:eastAsia="仿宋"/>
          <w:sz w:val="24"/>
        </w:rPr>
        <w:t>日扣款。</w:t>
      </w:r>
    </w:p>
    <w:p w14:paraId="58793CF0">
      <w:pPr>
        <w:tabs>
          <w:tab w:val="left" w:pos="7552"/>
        </w:tabs>
        <w:rPr>
          <w:rFonts w:hint="eastAsia" w:ascii="仿宋" w:hAnsi="仿宋" w:eastAsia="仿宋"/>
          <w:sz w:val="24"/>
        </w:rPr>
      </w:pPr>
    </w:p>
    <w:p w14:paraId="5D90F70F">
      <w:pPr>
        <w:tabs>
          <w:tab w:val="left" w:pos="7552"/>
        </w:tabs>
        <w:rPr>
          <w:rFonts w:hint="eastAsia" w:ascii="仿宋" w:hAnsi="仿宋" w:eastAsia="仿宋"/>
          <w:sz w:val="24"/>
        </w:rPr>
      </w:pPr>
      <w:r>
        <w:rPr>
          <w:rFonts w:hint="eastAsia" w:ascii="仿宋" w:hAnsi="仿宋" w:eastAsia="仿宋"/>
          <w:sz w:val="24"/>
        </w:rPr>
        <w:t>收益计算：理财收益=产品持有份额</w:t>
      </w:r>
      <w:r>
        <w:rPr>
          <w:rFonts w:hint="eastAsia" w:ascii="仿宋" w:hAnsi="仿宋" w:eastAsia="仿宋"/>
          <w:sz w:val="24"/>
        </w:rPr>
        <w:sym w:font="Wingdings 2" w:char="F0CD"/>
      </w:r>
      <w:r>
        <w:rPr>
          <w:rFonts w:hint="eastAsia" w:ascii="仿宋" w:hAnsi="仿宋" w:eastAsia="仿宋"/>
          <w:sz w:val="24"/>
        </w:rPr>
        <w:t>（产品到期日的单位份额净值-1）。</w:t>
      </w:r>
    </w:p>
    <w:p w14:paraId="1AF29071">
      <w:pPr>
        <w:pStyle w:val="4"/>
        <w:rPr>
          <w:rFonts w:hint="eastAsia" w:ascii="仿宋" w:hAnsi="仿宋" w:eastAsia="仿宋"/>
        </w:rPr>
      </w:pPr>
      <w:r>
        <w:rPr>
          <w:rFonts w:hint="eastAsia" w:ascii="仿宋" w:hAnsi="仿宋" w:eastAsia="仿宋"/>
        </w:rPr>
        <w:t>投资对象：</w:t>
      </w:r>
    </w:p>
    <w:p w14:paraId="4A8D2C2C">
      <w:pPr>
        <w:tabs>
          <w:tab w:val="left" w:pos="7552"/>
        </w:tabs>
        <w:rPr>
          <w:rFonts w:hint="eastAsia" w:ascii="仿宋" w:hAnsi="仿宋" w:eastAsia="仿宋"/>
          <w:sz w:val="24"/>
        </w:rPr>
      </w:pPr>
      <w:r>
        <w:rPr>
          <w:rFonts w:hint="eastAsia" w:ascii="仿宋" w:hAnsi="仿宋" w:eastAsia="仿宋"/>
          <w:sz w:val="24"/>
        </w:rPr>
        <w:t>本产品主要投资范围包括但不限于（实际投资范围可根据法律法规及监管规定进行调整）：</w:t>
      </w:r>
    </w:p>
    <w:p w14:paraId="3BF8AD00">
      <w:pPr>
        <w:tabs>
          <w:tab w:val="left" w:pos="7552"/>
        </w:tabs>
        <w:rPr>
          <w:rFonts w:hint="eastAsia" w:ascii="仿宋" w:hAnsi="仿宋" w:eastAsia="仿宋"/>
          <w:sz w:val="24"/>
        </w:rPr>
      </w:pPr>
      <w:r>
        <w:rPr>
          <w:rFonts w:hint="eastAsia" w:ascii="仿宋" w:hAnsi="仿宋" w:eastAsia="仿宋"/>
          <w:sz w:val="24"/>
        </w:rPr>
        <w:t>（1）银行存款、债券逆回购、货币基金等货币市场工具及其它银行间和交易所资金融通工具。</w:t>
      </w:r>
    </w:p>
    <w:p w14:paraId="4E11A74D">
      <w:pPr>
        <w:tabs>
          <w:tab w:val="left" w:pos="7552"/>
        </w:tabs>
        <w:rPr>
          <w:rFonts w:hint="eastAsia" w:ascii="仿宋" w:hAnsi="仿宋" w:eastAsia="仿宋"/>
          <w:sz w:val="24"/>
        </w:rPr>
      </w:pPr>
      <w:r>
        <w:rPr>
          <w:rFonts w:hint="eastAsia" w:ascii="仿宋" w:hAnsi="仿宋" w:eastAsia="仿宋"/>
          <w:sz w:val="24"/>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164C07B2">
      <w:pPr>
        <w:tabs>
          <w:tab w:val="left" w:pos="7552"/>
        </w:tabs>
        <w:rPr>
          <w:rFonts w:hint="eastAsia" w:ascii="仿宋" w:hAnsi="仿宋" w:eastAsia="仿宋"/>
          <w:sz w:val="24"/>
        </w:rPr>
      </w:pPr>
      <w:r>
        <w:rPr>
          <w:rFonts w:hint="eastAsia" w:ascii="仿宋" w:hAnsi="仿宋" w:eastAsia="仿宋"/>
          <w:sz w:val="24"/>
        </w:rPr>
        <w:t>（3）国债期货、利率互换、债券借贷。</w:t>
      </w:r>
    </w:p>
    <w:p w14:paraId="7DCFFF84">
      <w:pPr>
        <w:tabs>
          <w:tab w:val="left" w:pos="7552"/>
        </w:tabs>
        <w:rPr>
          <w:rFonts w:hint="eastAsia" w:ascii="仿宋" w:hAnsi="仿宋" w:eastAsia="仿宋"/>
          <w:sz w:val="24"/>
        </w:rPr>
      </w:pPr>
      <w:r>
        <w:rPr>
          <w:rFonts w:hint="eastAsia" w:ascii="仿宋" w:hAnsi="仿宋" w:eastAsia="仿宋"/>
          <w:sz w:val="24"/>
        </w:rPr>
        <w:t>（4）投资于上述资产的符合监管要求的公募基金、基金公司或子公司资产管理计划、证券公司资产管理计划、保险资产管理计划及信托计划等。</w:t>
      </w:r>
    </w:p>
    <w:p w14:paraId="3AB7EA33">
      <w:pPr>
        <w:tabs>
          <w:tab w:val="left" w:pos="7552"/>
        </w:tabs>
        <w:rPr>
          <w:rFonts w:ascii="仿宋" w:hAnsi="仿宋" w:eastAsia="仿宋"/>
          <w:sz w:val="24"/>
        </w:rPr>
      </w:pPr>
      <w:r>
        <w:rPr>
          <w:rFonts w:hint="eastAsia" w:ascii="仿宋" w:hAnsi="仿宋" w:eastAsia="仿宋"/>
          <w:sz w:val="24"/>
        </w:rPr>
        <w:t>（5）其他风险不高于前述资产的资产。</w:t>
      </w:r>
    </w:p>
    <w:p w14:paraId="339ABA7A">
      <w:pPr>
        <w:tabs>
          <w:tab w:val="left" w:pos="7552"/>
        </w:tabs>
        <w:rPr>
          <w:rFonts w:hint="eastAsia" w:ascii="仿宋" w:hAnsi="仿宋" w:eastAsia="仿宋"/>
          <w:sz w:val="24"/>
        </w:rPr>
      </w:pPr>
      <w:r>
        <w:rPr>
          <w:rFonts w:hint="eastAsia" w:ascii="仿宋" w:hAnsi="仿宋" w:eastAsia="仿宋"/>
          <w:sz w:val="24"/>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10D267D9">
      <w:pPr>
        <w:pStyle w:val="4"/>
        <w:rPr>
          <w:rFonts w:hint="eastAsia" w:ascii="仿宋" w:hAnsi="仿宋" w:eastAsia="仿宋"/>
        </w:rPr>
      </w:pPr>
      <w:r>
        <w:rPr>
          <w:rFonts w:hint="eastAsia" w:ascii="仿宋" w:hAnsi="仿宋" w:eastAsia="仿宋"/>
        </w:rPr>
        <w:t>产品说明：本产品发行机构为兴银理财有限责任公司，产品风险等级是R2中低风险（管理人评级）主要投资于本产品投资于债权类资产的比例不低于产品总资产的80%。</w:t>
      </w:r>
    </w:p>
    <w:p w14:paraId="7F0F433D">
      <w:pPr>
        <w:pStyle w:val="4"/>
        <w:rPr>
          <w:rFonts w:hint="eastAsia" w:ascii="仿宋" w:hAnsi="仿宋" w:eastAsia="仿宋"/>
        </w:rPr>
      </w:pPr>
      <w:r>
        <w:rPr>
          <w:rFonts w:hint="eastAsia" w:ascii="仿宋" w:hAnsi="仿宋" w:eastAsia="仿宋"/>
        </w:rPr>
        <w:t>客群范围：经华夏银行风</w:t>
      </w:r>
      <w:r>
        <w:rPr>
          <w:rFonts w:hint="eastAsia" w:ascii="仿宋" w:hAnsi="仿宋" w:eastAsia="仿宋"/>
          <w:highlight w:val="none"/>
        </w:rPr>
        <w:t>险评估评定为C</w:t>
      </w:r>
      <w:r>
        <w:rPr>
          <w:rFonts w:ascii="仿宋" w:hAnsi="仿宋" w:eastAsia="仿宋"/>
          <w:highlight w:val="none"/>
        </w:rPr>
        <w:t>R2</w:t>
      </w:r>
      <w:r>
        <w:rPr>
          <w:rFonts w:hint="eastAsia" w:ascii="仿宋" w:hAnsi="仿宋" w:eastAsia="仿宋"/>
          <w:highlight w:val="none"/>
        </w:rPr>
        <w:t>、</w:t>
      </w:r>
      <w:r>
        <w:rPr>
          <w:rFonts w:ascii="仿宋" w:hAnsi="仿宋" w:eastAsia="仿宋"/>
          <w:highlight w:val="none"/>
        </w:rPr>
        <w:t>CR3</w:t>
      </w:r>
      <w:r>
        <w:rPr>
          <w:rFonts w:hint="eastAsia" w:ascii="仿宋" w:hAnsi="仿宋" w:eastAsia="仿宋"/>
          <w:highlight w:val="none"/>
        </w:rPr>
        <w:t>、</w:t>
      </w:r>
      <w:r>
        <w:rPr>
          <w:rFonts w:ascii="仿宋" w:hAnsi="仿宋" w:eastAsia="仿宋"/>
          <w:highlight w:val="none"/>
        </w:rPr>
        <w:t>CR4</w:t>
      </w:r>
      <w:r>
        <w:rPr>
          <w:rFonts w:hint="eastAsia" w:ascii="仿宋" w:hAnsi="仿宋" w:eastAsia="仿宋"/>
          <w:highlight w:val="none"/>
        </w:rPr>
        <w:t>、</w:t>
      </w:r>
      <w:r>
        <w:rPr>
          <w:rFonts w:ascii="仿宋" w:hAnsi="仿宋" w:eastAsia="仿宋"/>
          <w:highlight w:val="none"/>
        </w:rPr>
        <w:t>CR5</w:t>
      </w:r>
      <w:r>
        <w:rPr>
          <w:rFonts w:hint="eastAsia" w:ascii="仿宋" w:hAnsi="仿宋" w:eastAsia="仿宋"/>
        </w:rPr>
        <w:t xml:space="preserve">的投资者。 </w:t>
      </w:r>
    </w:p>
    <w:p w14:paraId="5DE9FC24">
      <w:pPr>
        <w:pStyle w:val="4"/>
        <w:rPr>
          <w:rFonts w:hint="eastAsia" w:ascii="仿宋" w:hAnsi="仿宋" w:eastAsia="仿宋"/>
        </w:rPr>
      </w:pPr>
      <w:r>
        <w:rPr>
          <w:rFonts w:hint="eastAsia" w:ascii="仿宋" w:hAnsi="仿宋" w:eastAsia="仿宋"/>
        </w:rPr>
        <w:t>起购金额： 1元</w:t>
      </w:r>
    </w:p>
    <w:p w14:paraId="1D3C75A1">
      <w:pPr>
        <w:pStyle w:val="4"/>
        <w:rPr>
          <w:rFonts w:hint="eastAsia" w:ascii="仿宋" w:hAnsi="仿宋" w:eastAsia="仿宋"/>
        </w:rPr>
      </w:pPr>
      <w:r>
        <w:rPr>
          <w:rFonts w:hint="eastAsia" w:ascii="仿宋" w:hAnsi="仿宋" w:eastAsia="仿宋"/>
        </w:rPr>
        <w:t>赎回时间（全）：本产品最短持有期为【</w:t>
      </w:r>
      <w:r>
        <w:rPr>
          <w:rFonts w:hint="eastAsia" w:ascii="仿宋" w:hAnsi="仿宋" w:eastAsia="仿宋"/>
          <w:lang w:val="en-US" w:eastAsia="zh-CN"/>
        </w:rPr>
        <w:t>30</w:t>
      </w:r>
      <w:r>
        <w:rPr>
          <w:rFonts w:hint="eastAsia" w:ascii="仿宋" w:hAnsi="仿宋" w:eastAsia="仿宋"/>
        </w:rPr>
        <w:t>】个自然日。自产品成立日/申购确认日起第【</w:t>
      </w:r>
      <w:r>
        <w:rPr>
          <w:rFonts w:hint="eastAsia" w:ascii="仿宋" w:hAnsi="仿宋" w:eastAsia="仿宋"/>
          <w:lang w:val="en-US" w:eastAsia="zh-CN"/>
        </w:rPr>
        <w:t>30</w:t>
      </w:r>
      <w:r>
        <w:rPr>
          <w:rFonts w:hint="eastAsia" w:ascii="仿宋" w:hAnsi="仿宋" w:eastAsia="仿宋"/>
        </w:rPr>
        <w:t>】个自然日内（不含当日）投资者不能赎回该产品份额，自产品成立日/申购确认日 起第【</w:t>
      </w:r>
      <w:r>
        <w:rPr>
          <w:rFonts w:hint="eastAsia" w:ascii="仿宋" w:hAnsi="仿宋" w:eastAsia="仿宋"/>
          <w:lang w:val="en-US" w:eastAsia="zh-CN"/>
        </w:rPr>
        <w:t>30</w:t>
      </w:r>
      <w:r>
        <w:rPr>
          <w:rFonts w:hint="eastAsia" w:ascii="仿宋" w:hAnsi="仿宋" w:eastAsia="仿宋"/>
        </w:rPr>
        <w:t>】个自然日起（含当日），投资者可于任一开放日赎回该产品份额。</w:t>
      </w:r>
    </w:p>
    <w:p w14:paraId="2319A02C">
      <w:pPr>
        <w:pStyle w:val="4"/>
        <w:rPr>
          <w:rFonts w:hint="eastAsia" w:ascii="仿宋" w:hAnsi="仿宋" w:eastAsia="仿宋"/>
        </w:rPr>
      </w:pPr>
      <w:r>
        <w:rPr>
          <w:rFonts w:hint="eastAsia" w:ascii="仿宋" w:hAnsi="仿宋" w:eastAsia="仿宋"/>
        </w:rPr>
        <w:t>到账时间（全）：赎回款项于赎回日后</w:t>
      </w:r>
      <w:r>
        <w:rPr>
          <w:rFonts w:hint="eastAsia" w:ascii="仿宋" w:hAnsi="仿宋" w:eastAsia="仿宋"/>
          <w:highlight w:val="yellow"/>
        </w:rPr>
        <w:t>【</w:t>
      </w:r>
      <w:r>
        <w:rPr>
          <w:rFonts w:hint="eastAsia" w:ascii="仿宋" w:hAnsi="仿宋" w:eastAsia="仿宋"/>
          <w:highlight w:val="yellow"/>
          <w:lang w:val="en-US" w:eastAsia="zh-CN"/>
        </w:rPr>
        <w:t>3</w:t>
      </w:r>
      <w:r>
        <w:rPr>
          <w:rFonts w:hint="eastAsia" w:ascii="仿宋" w:hAnsi="仿宋" w:eastAsia="仿宋"/>
          <w:highlight w:val="yellow"/>
        </w:rPr>
        <w:t>】</w:t>
      </w:r>
      <w:r>
        <w:rPr>
          <w:rFonts w:hint="eastAsia" w:ascii="仿宋" w:hAnsi="仿宋" w:eastAsia="仿宋"/>
        </w:rPr>
        <w:t>个</w:t>
      </w:r>
      <w:r>
        <w:rPr>
          <w:rFonts w:hint="eastAsia" w:ascii="仿宋" w:hAnsi="仿宋" w:eastAsia="仿宋"/>
          <w:lang w:val="en-US" w:eastAsia="zh-CN"/>
        </w:rPr>
        <w:t>工作</w:t>
      </w:r>
      <w:r>
        <w:rPr>
          <w:rFonts w:hint="eastAsia" w:ascii="仿宋" w:hAnsi="仿宋" w:eastAsia="仿宋"/>
        </w:rPr>
        <w:t>日内支付给投资者。产品管理人在到期日后</w:t>
      </w:r>
      <w:r>
        <w:rPr>
          <w:rFonts w:ascii="仿宋" w:hAnsi="仿宋" w:eastAsia="仿宋"/>
          <w:highlight w:val="yellow"/>
        </w:rPr>
        <w:t>5个工作日</w:t>
      </w:r>
      <w:r>
        <w:rPr>
          <w:rFonts w:ascii="仿宋" w:hAnsi="仿宋" w:eastAsia="仿宋"/>
        </w:rPr>
        <w:t>内将投资者应得资金划转至投资者账户</w:t>
      </w:r>
      <w:r>
        <w:rPr>
          <w:rFonts w:hint="eastAsia" w:ascii="仿宋" w:hAnsi="仿宋" w:eastAsia="仿宋"/>
        </w:rPr>
        <w:t>。</w:t>
      </w:r>
    </w:p>
    <w:p w14:paraId="31A4796B">
      <w:pPr>
        <w:pStyle w:val="4"/>
        <w:rPr>
          <w:rFonts w:hint="eastAsia" w:ascii="仿宋" w:hAnsi="仿宋" w:eastAsia="仿宋"/>
        </w:rPr>
      </w:pPr>
      <w:r>
        <w:rPr>
          <w:rFonts w:hint="eastAsia" w:ascii="仿宋" w:hAnsi="仿宋" w:eastAsia="仿宋"/>
        </w:rPr>
        <w:t xml:space="preserve">计算规则：按照产品成立/到期日当天日终（24：00）的理财产品份额净值确定。 </w:t>
      </w:r>
    </w:p>
    <w:p w14:paraId="7B7F9A85">
      <w:pPr>
        <w:pStyle w:val="4"/>
        <w:shd w:val="clear" w:color="auto" w:fill="FFFFFF"/>
        <w:rPr>
          <w:rFonts w:hint="eastAsia" w:ascii="仿宋" w:hAnsi="仿宋" w:eastAsia="仿宋"/>
        </w:rPr>
      </w:pPr>
      <w:r>
        <w:rPr>
          <w:rFonts w:hint="eastAsia" w:ascii="仿宋" w:hAnsi="仿宋" w:eastAsia="仿宋"/>
        </w:rPr>
        <w:t>风险提示：</w:t>
      </w:r>
      <w:r>
        <w:rPr>
          <w:rFonts w:ascii="仿宋" w:hAnsi="仿宋" w:eastAsia="仿宋"/>
        </w:rPr>
        <w:t>本理财产品为非保本浮动收益型产品。</w:t>
      </w:r>
      <w:r>
        <w:rPr>
          <w:rFonts w:hint="eastAsia" w:ascii="仿宋" w:hAnsi="仿宋" w:eastAsia="仿宋"/>
        </w:rPr>
        <w:t>产品评级</w:t>
      </w:r>
      <w:r>
        <w:rPr>
          <w:rFonts w:ascii="仿宋" w:hAnsi="仿宋" w:eastAsia="仿宋"/>
          <w:b/>
          <w:bCs/>
        </w:rPr>
        <w:t>R</w:t>
      </w:r>
      <w:r>
        <w:rPr>
          <w:rFonts w:hint="eastAsia" w:ascii="仿宋" w:hAnsi="仿宋" w:eastAsia="仿宋"/>
          <w:b/>
          <w:bCs/>
        </w:rPr>
        <w:t>2</w:t>
      </w:r>
      <w:r>
        <w:rPr>
          <w:rFonts w:hint="eastAsia" w:ascii="仿宋" w:hAnsi="仿宋" w:eastAsia="仿宋"/>
        </w:rPr>
        <w:t>(中低风险)(本风险评级为兴银理财内部评级结果，该评级仅供参考 本理财产品通过销售服务机构渠道销售的，本理财产品评级应当以销售 服务机构最终披露的评级结果为准)。 兴银</w:t>
      </w:r>
      <w:r>
        <w:rPr>
          <w:rFonts w:ascii="仿宋" w:hAnsi="仿宋" w:eastAsia="仿宋"/>
        </w:rPr>
        <w:t>理财对本理财产品的本金和收益不提供保证承诺。投资者应充分认识投资风险，谨慎投资。请详细阅读《风险揭示书》内容，在充分了解并清楚知晓本产品蕴含风险的基础上，通过自身判断自主参与交易，并自愿承担相关风险</w:t>
      </w:r>
      <w:r>
        <w:rPr>
          <w:rFonts w:hint="eastAsia" w:ascii="仿宋" w:hAnsi="仿宋" w:eastAsia="仿宋"/>
        </w:rPr>
        <w:t>。</w:t>
      </w:r>
    </w:p>
    <w:p w14:paraId="3B76CE10">
      <w:pPr>
        <w:tabs>
          <w:tab w:val="left" w:pos="7552"/>
        </w:tabs>
        <w:rPr>
          <w:rFonts w:hint="eastAsia"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4NmIxMjJiMjZjMDdkMDc1YWQ2MDgwMDY5NGE4OTgifQ=="/>
    <w:docVar w:name="KSO_WPS_MARK_KEY" w:val="74a5a723-d4d2-4591-b720-f9694828f352"/>
  </w:docVars>
  <w:rsids>
    <w:rsidRoot w:val="00356B88"/>
    <w:rsid w:val="0000594A"/>
    <w:rsid w:val="00013A1E"/>
    <w:rsid w:val="000365E9"/>
    <w:rsid w:val="00195B00"/>
    <w:rsid w:val="00201A3E"/>
    <w:rsid w:val="002E03A0"/>
    <w:rsid w:val="00354519"/>
    <w:rsid w:val="00356B88"/>
    <w:rsid w:val="00365B15"/>
    <w:rsid w:val="003707C9"/>
    <w:rsid w:val="003D06CF"/>
    <w:rsid w:val="00443FAC"/>
    <w:rsid w:val="004958B8"/>
    <w:rsid w:val="004E0451"/>
    <w:rsid w:val="004E202E"/>
    <w:rsid w:val="004F0E7E"/>
    <w:rsid w:val="0053795E"/>
    <w:rsid w:val="005F336E"/>
    <w:rsid w:val="006C5A20"/>
    <w:rsid w:val="00704FE6"/>
    <w:rsid w:val="00721523"/>
    <w:rsid w:val="007338A2"/>
    <w:rsid w:val="007838E8"/>
    <w:rsid w:val="0079041F"/>
    <w:rsid w:val="007B779C"/>
    <w:rsid w:val="007E11EB"/>
    <w:rsid w:val="00825BD1"/>
    <w:rsid w:val="00826394"/>
    <w:rsid w:val="0083231E"/>
    <w:rsid w:val="00833ECF"/>
    <w:rsid w:val="00880156"/>
    <w:rsid w:val="00980AAD"/>
    <w:rsid w:val="009C5702"/>
    <w:rsid w:val="009C6E7A"/>
    <w:rsid w:val="00A42EAC"/>
    <w:rsid w:val="00A66A97"/>
    <w:rsid w:val="00A770E8"/>
    <w:rsid w:val="00AB4F1D"/>
    <w:rsid w:val="00AB7300"/>
    <w:rsid w:val="00AD1851"/>
    <w:rsid w:val="00B30929"/>
    <w:rsid w:val="00B82633"/>
    <w:rsid w:val="00C23614"/>
    <w:rsid w:val="00C87691"/>
    <w:rsid w:val="00CD6F6C"/>
    <w:rsid w:val="00CD721A"/>
    <w:rsid w:val="00CE285F"/>
    <w:rsid w:val="00D058A2"/>
    <w:rsid w:val="00D5302F"/>
    <w:rsid w:val="00D80291"/>
    <w:rsid w:val="00D84C79"/>
    <w:rsid w:val="00DF17C3"/>
    <w:rsid w:val="00E74B16"/>
    <w:rsid w:val="00EA71CA"/>
    <w:rsid w:val="00EE28F6"/>
    <w:rsid w:val="00F3144D"/>
    <w:rsid w:val="00F33AA0"/>
    <w:rsid w:val="00FE2703"/>
    <w:rsid w:val="05193BA8"/>
    <w:rsid w:val="0B070B4E"/>
    <w:rsid w:val="0B1A1861"/>
    <w:rsid w:val="0E5C2050"/>
    <w:rsid w:val="17E87C76"/>
    <w:rsid w:val="1CFA1E10"/>
    <w:rsid w:val="207C1E6A"/>
    <w:rsid w:val="22C95179"/>
    <w:rsid w:val="2C89292F"/>
    <w:rsid w:val="2D523D4C"/>
    <w:rsid w:val="2FB6F7EE"/>
    <w:rsid w:val="2FF96CC5"/>
    <w:rsid w:val="311B5E24"/>
    <w:rsid w:val="32467321"/>
    <w:rsid w:val="365351F4"/>
    <w:rsid w:val="37FF3C2F"/>
    <w:rsid w:val="3880399D"/>
    <w:rsid w:val="394A0EC1"/>
    <w:rsid w:val="50745D67"/>
    <w:rsid w:val="57F8448D"/>
    <w:rsid w:val="5B319692"/>
    <w:rsid w:val="5FBBCA86"/>
    <w:rsid w:val="601637D7"/>
    <w:rsid w:val="69CC7E02"/>
    <w:rsid w:val="6B341AD1"/>
    <w:rsid w:val="6EF7A5C9"/>
    <w:rsid w:val="6F4A459E"/>
    <w:rsid w:val="6F7BAE9F"/>
    <w:rsid w:val="706002D8"/>
    <w:rsid w:val="76A82174"/>
    <w:rsid w:val="77BD21D1"/>
    <w:rsid w:val="7AA91346"/>
    <w:rsid w:val="7C684FF6"/>
    <w:rsid w:val="7E7E1DD3"/>
    <w:rsid w:val="8DDEF34A"/>
    <w:rsid w:val="D7E7F390"/>
    <w:rsid w:val="DBEF87ED"/>
    <w:rsid w:val="DFFF39DC"/>
    <w:rsid w:val="FFD7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Placeholder Text"/>
    <w:basedOn w:val="6"/>
    <w:semiHidden/>
    <w:qFormat/>
    <w:uiPriority w:val="99"/>
    <w:rPr>
      <w:color w:val="808080"/>
    </w:rPr>
  </w:style>
  <w:style w:type="character" w:customStyle="1" w:styleId="8">
    <w:name w:val="页眉 字符"/>
    <w:basedOn w:val="6"/>
    <w:link w:val="3"/>
    <w:qFormat/>
    <w:uiPriority w:val="99"/>
    <w:rPr>
      <w:kern w:val="2"/>
      <w:sz w:val="18"/>
      <w:szCs w:val="18"/>
    </w:rPr>
  </w:style>
  <w:style w:type="character" w:customStyle="1" w:styleId="9">
    <w:name w:val="页脚 字符"/>
    <w:basedOn w:val="6"/>
    <w:link w:val="2"/>
    <w:qFormat/>
    <w:uiPriority w:val="99"/>
    <w:rPr>
      <w:kern w:val="2"/>
      <w:sz w:val="18"/>
      <w:szCs w:val="18"/>
    </w:rPr>
  </w:style>
  <w:style w:type="paragraph" w:customStyle="1" w:styleId="10">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PAIG</Company>
  <Pages>2</Pages>
  <Words>1385</Words>
  <Characters>1456</Characters>
  <Lines>10</Lines>
  <Paragraphs>2</Paragraphs>
  <TotalTime>0</TotalTime>
  <ScaleCrop>false</ScaleCrop>
  <LinksUpToDate>false</LinksUpToDate>
  <CharactersWithSpaces>1463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2024-04-21T08:39:00Z</dcterms:created>
  <dc:creator>office</dc:creator>
  <cp:lastModifiedBy>滴滴哒</cp:lastModifiedBy>
  <dcterms:modified xsi:type="dcterms:W3CDTF">2025-09-15T11:35:22Z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44C4CF8D49EC445E97B4345CF884EB04_13</vt:lpwstr>
  </property>
  <property fmtid="{D5CDD505-2E9C-101B-9397-08002B2CF9AE}" pid="4" name="KSOTemplateDocerSaveRecord">
    <vt:lpwstr>eyJoZGlkIjoiMjg4YmYzNWQ0OTJiYmI4MDkxZWVhMTQxYzZkMjUzYTEiLCJ1c2VySWQiOiIyNDkwMDI2NTYifQ==</vt:lpwstr>
  </property>
</Properties>
</file>