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E5EC5">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4F95EE03">
      <w:pPr>
        <w:adjustRightInd w:val="0"/>
        <w:spacing w:line="360" w:lineRule="auto"/>
        <w:jc w:val="center"/>
        <w:rPr>
          <w:rStyle w:val="27"/>
          <w:rFonts w:ascii="宋体" w:hAnsi="宋体"/>
          <w:sz w:val="32"/>
          <w:szCs w:val="32"/>
        </w:rPr>
      </w:pPr>
    </w:p>
    <w:p w14:paraId="51DDBB79">
      <w:pPr>
        <w:adjustRightInd w:val="0"/>
        <w:spacing w:line="360" w:lineRule="auto"/>
        <w:jc w:val="center"/>
        <w:rPr>
          <w:rStyle w:val="27"/>
          <w:rFonts w:ascii="宋体" w:hAnsi="宋体"/>
          <w:sz w:val="32"/>
          <w:szCs w:val="32"/>
        </w:rPr>
      </w:pPr>
    </w:p>
    <w:p w14:paraId="3BF3EB8D">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2A290E18">
      <w:pPr>
        <w:adjustRightInd w:val="0"/>
        <w:spacing w:line="360" w:lineRule="auto"/>
        <w:jc w:val="center"/>
        <w:rPr>
          <w:rStyle w:val="27"/>
          <w:rFonts w:ascii="宋体" w:hAnsi="宋体"/>
          <w:sz w:val="32"/>
          <w:szCs w:val="32"/>
        </w:rPr>
      </w:pPr>
    </w:p>
    <w:p w14:paraId="7AE10F2D">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14:paraId="1994738B">
      <w:pPr>
        <w:adjustRightInd w:val="0"/>
        <w:spacing w:line="360" w:lineRule="auto"/>
        <w:jc w:val="center"/>
        <w:rPr>
          <w:rStyle w:val="27"/>
          <w:rFonts w:ascii="黑体" w:hAnsi="黑体" w:eastAsia="黑体"/>
          <w:sz w:val="44"/>
          <w:szCs w:val="44"/>
        </w:rPr>
      </w:pPr>
      <w:bookmarkStart w:id="182" w:name="_GoBack"/>
      <w:r>
        <w:rPr>
          <w:rStyle w:val="27"/>
          <w:rFonts w:hint="eastAsia" w:ascii="黑体" w:hAnsi="黑体" w:eastAsia="黑体"/>
          <w:sz w:val="44"/>
          <w:szCs w:val="44"/>
        </w:rPr>
        <w:t>产品说明书</w:t>
      </w:r>
    </w:p>
    <w:bookmarkEnd w:id="182"/>
    <w:p w14:paraId="089E72E9">
      <w:pPr>
        <w:adjustRightInd w:val="0"/>
        <w:spacing w:line="360" w:lineRule="auto"/>
        <w:jc w:val="center"/>
        <w:rPr>
          <w:rStyle w:val="27"/>
          <w:rFonts w:ascii="宋体" w:hAnsi="宋体"/>
          <w:sz w:val="32"/>
          <w:szCs w:val="32"/>
        </w:rPr>
      </w:pPr>
    </w:p>
    <w:p w14:paraId="1009EA4A">
      <w:pPr>
        <w:adjustRightInd w:val="0"/>
        <w:spacing w:line="360" w:lineRule="auto"/>
        <w:jc w:val="center"/>
        <w:rPr>
          <w:rStyle w:val="27"/>
          <w:rFonts w:ascii="黑体" w:hAnsi="黑体" w:eastAsia="黑体"/>
          <w:bCs w:val="0"/>
          <w:sz w:val="28"/>
          <w:szCs w:val="28"/>
        </w:rPr>
      </w:pPr>
    </w:p>
    <w:p w14:paraId="4045EA9C">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14:paraId="67835BD7">
      <w:pPr>
        <w:adjustRightInd w:val="0"/>
        <w:spacing w:line="360" w:lineRule="auto"/>
        <w:jc w:val="center"/>
        <w:rPr>
          <w:rStyle w:val="27"/>
          <w:rFonts w:ascii="宋体" w:hAnsi="宋体"/>
          <w:sz w:val="32"/>
          <w:szCs w:val="32"/>
        </w:rPr>
      </w:pPr>
    </w:p>
    <w:p w14:paraId="0E33F583">
      <w:pPr>
        <w:adjustRightInd w:val="0"/>
        <w:spacing w:line="360" w:lineRule="auto"/>
        <w:jc w:val="center"/>
        <w:rPr>
          <w:rStyle w:val="27"/>
          <w:rFonts w:ascii="宋体" w:hAnsi="宋体"/>
          <w:sz w:val="32"/>
          <w:szCs w:val="32"/>
        </w:rPr>
      </w:pPr>
    </w:p>
    <w:p w14:paraId="2D458882">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09</w:t>
      </w:r>
      <w:r>
        <w:rPr>
          <w:rStyle w:val="27"/>
          <w:rFonts w:hint="eastAsia" w:ascii="宋体" w:hAnsi="宋体" w:cs="Times New Roman"/>
          <w:sz w:val="32"/>
          <w:szCs w:val="32"/>
        </w:rPr>
        <w:t>】月</w:t>
      </w:r>
      <w:permEnd w:id="1"/>
    </w:p>
    <w:p w14:paraId="729B2019">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14:paraId="6B05334E">
          <w:pPr>
            <w:pStyle w:val="48"/>
            <w:spacing w:line="360" w:lineRule="auto"/>
            <w:jc w:val="center"/>
          </w:pPr>
          <w:permStart w:id="2" w:edGrp="everyone"/>
          <w:bookmarkStart w:id="0" w:name="_Toc78276587"/>
          <w:r>
            <w:rPr>
              <w:lang w:val="zh-CN"/>
            </w:rPr>
            <w:t>目录</w:t>
          </w:r>
        </w:p>
        <w:p w14:paraId="7B835E61">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"_Toc29814"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_Toc29814 \h </w:instrText>
          </w:r>
          <w:r>
            <w:fldChar w:fldCharType="separate"/>
          </w:r>
          <w:r>
            <w:t>3</w:t>
          </w:r>
          <w:r>
            <w:fldChar w:fldCharType="end"/>
          </w:r>
          <w:r>
            <w:fldChar w:fldCharType="end"/>
          </w:r>
        </w:p>
        <w:p w14:paraId="662444CF">
          <w:pPr>
            <w:pStyle w:val="16"/>
            <w:tabs>
              <w:tab w:val="right" w:leader="dot" w:pos="8306"/>
            </w:tabs>
          </w:pPr>
          <w:r>
            <w:fldChar w:fldCharType="begin"/>
          </w:r>
          <w:r>
            <w:instrText xml:space="preserve"> HYPERLINK \l "_Toc30087" </w:instrText>
          </w:r>
          <w:r>
            <w:fldChar w:fldCharType="separate"/>
          </w:r>
          <w:r>
            <w:rPr>
              <w:rFonts w:hint="eastAsia" w:hAnsi="宋体"/>
              <w:szCs w:val="28"/>
            </w:rPr>
            <w:t xml:space="preserve">第二条  理财产品基本情况 </w:t>
          </w:r>
          <w:r>
            <w:tab/>
          </w:r>
          <w:r>
            <w:fldChar w:fldCharType="begin"/>
          </w:r>
          <w:r>
            <w:instrText xml:space="preserve"> PAGEREF _Toc30087 \h </w:instrText>
          </w:r>
          <w:r>
            <w:fldChar w:fldCharType="separate"/>
          </w:r>
          <w:r>
            <w:t>8</w:t>
          </w:r>
          <w:r>
            <w:fldChar w:fldCharType="end"/>
          </w:r>
          <w:r>
            <w:fldChar w:fldCharType="end"/>
          </w:r>
        </w:p>
        <w:p w14:paraId="072B3EC1">
          <w:pPr>
            <w:pStyle w:val="16"/>
            <w:tabs>
              <w:tab w:val="right" w:leader="dot" w:pos="8306"/>
            </w:tabs>
          </w:pPr>
          <w:r>
            <w:fldChar w:fldCharType="begin"/>
          </w:r>
          <w:r>
            <w:instrText xml:space="preserve"> HYPERLINK \l "_Toc21959"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_Toc21959 \h </w:instrText>
          </w:r>
          <w:r>
            <w:fldChar w:fldCharType="separate"/>
          </w:r>
          <w:r>
            <w:t>14</w:t>
          </w:r>
          <w:r>
            <w:fldChar w:fldCharType="end"/>
          </w:r>
          <w:r>
            <w:fldChar w:fldCharType="end"/>
          </w:r>
        </w:p>
        <w:p w14:paraId="5E774226">
          <w:pPr>
            <w:pStyle w:val="16"/>
            <w:tabs>
              <w:tab w:val="right" w:leader="dot" w:pos="8306"/>
            </w:tabs>
          </w:pPr>
          <w:r>
            <w:fldChar w:fldCharType="begin"/>
          </w:r>
          <w:r>
            <w:instrText xml:space="preserve"> HYPERLINK \l "_Toc29856"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_Toc29856 \h </w:instrText>
          </w:r>
          <w:r>
            <w:fldChar w:fldCharType="separate"/>
          </w:r>
          <w:r>
            <w:t>16</w:t>
          </w:r>
          <w:r>
            <w:fldChar w:fldCharType="end"/>
          </w:r>
          <w:r>
            <w:fldChar w:fldCharType="end"/>
          </w:r>
        </w:p>
        <w:p w14:paraId="1FFB940B">
          <w:pPr>
            <w:pStyle w:val="16"/>
            <w:tabs>
              <w:tab w:val="right" w:leader="dot" w:pos="8306"/>
            </w:tabs>
          </w:pPr>
          <w:r>
            <w:fldChar w:fldCharType="begin"/>
          </w:r>
          <w:r>
            <w:instrText xml:space="preserve"> HYPERLINK \l "_Toc23413"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_Toc23413 \h </w:instrText>
          </w:r>
          <w:r>
            <w:fldChar w:fldCharType="separate"/>
          </w:r>
          <w:r>
            <w:t>20</w:t>
          </w:r>
          <w:r>
            <w:fldChar w:fldCharType="end"/>
          </w:r>
          <w:r>
            <w:fldChar w:fldCharType="end"/>
          </w:r>
        </w:p>
        <w:p w14:paraId="690D3CE8">
          <w:pPr>
            <w:pStyle w:val="16"/>
            <w:tabs>
              <w:tab w:val="right" w:leader="dot" w:pos="8306"/>
            </w:tabs>
          </w:pPr>
          <w:r>
            <w:fldChar w:fldCharType="begin"/>
          </w:r>
          <w:r>
            <w:instrText xml:space="preserve"> HYPERLINK \l "_Toc5702"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_Toc5702 \h </w:instrText>
          </w:r>
          <w:r>
            <w:fldChar w:fldCharType="separate"/>
          </w:r>
          <w:r>
            <w:t>23</w:t>
          </w:r>
          <w:r>
            <w:fldChar w:fldCharType="end"/>
          </w:r>
          <w:r>
            <w:fldChar w:fldCharType="end"/>
          </w:r>
        </w:p>
        <w:p w14:paraId="53BB9075">
          <w:pPr>
            <w:pStyle w:val="16"/>
            <w:tabs>
              <w:tab w:val="right" w:leader="dot" w:pos="8306"/>
            </w:tabs>
          </w:pPr>
          <w:r>
            <w:fldChar w:fldCharType="begin"/>
          </w:r>
          <w:r>
            <w:instrText xml:space="preserve"> HYPERLINK \l "_Toc11152"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_Toc11152 \h </w:instrText>
          </w:r>
          <w:r>
            <w:fldChar w:fldCharType="separate"/>
          </w:r>
          <w:r>
            <w:t>24</w:t>
          </w:r>
          <w:r>
            <w:fldChar w:fldCharType="end"/>
          </w:r>
          <w:r>
            <w:fldChar w:fldCharType="end"/>
          </w:r>
        </w:p>
        <w:p w14:paraId="713002AF">
          <w:pPr>
            <w:pStyle w:val="16"/>
            <w:tabs>
              <w:tab w:val="right" w:leader="dot" w:pos="8306"/>
            </w:tabs>
          </w:pPr>
          <w:r>
            <w:fldChar w:fldCharType="begin"/>
          </w:r>
          <w:r>
            <w:instrText xml:space="preserve"> HYPERLINK \l "_Toc8045"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_Toc8045 \h </w:instrText>
          </w:r>
          <w:r>
            <w:fldChar w:fldCharType="separate"/>
          </w:r>
          <w:r>
            <w:t>28</w:t>
          </w:r>
          <w:r>
            <w:fldChar w:fldCharType="end"/>
          </w:r>
          <w:r>
            <w:fldChar w:fldCharType="end"/>
          </w:r>
        </w:p>
        <w:p w14:paraId="394FB004">
          <w:pPr>
            <w:pStyle w:val="16"/>
            <w:tabs>
              <w:tab w:val="right" w:leader="dot" w:pos="8306"/>
            </w:tabs>
          </w:pPr>
          <w:r>
            <w:fldChar w:fldCharType="begin"/>
          </w:r>
          <w:r>
            <w:instrText xml:space="preserve"> HYPERLINK \l "_Toc22998"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_Toc22998 \h </w:instrText>
          </w:r>
          <w:r>
            <w:fldChar w:fldCharType="separate"/>
          </w:r>
          <w:r>
            <w:t>29</w:t>
          </w:r>
          <w:r>
            <w:fldChar w:fldCharType="end"/>
          </w:r>
          <w:r>
            <w:fldChar w:fldCharType="end"/>
          </w:r>
        </w:p>
        <w:p w14:paraId="3C1355A2">
          <w:pPr>
            <w:pStyle w:val="16"/>
            <w:tabs>
              <w:tab w:val="right" w:leader="dot" w:pos="8306"/>
            </w:tabs>
          </w:pPr>
          <w:r>
            <w:fldChar w:fldCharType="begin"/>
          </w:r>
          <w:r>
            <w:instrText xml:space="preserve"> HYPERLINK \l "_Toc5388"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_Toc5388 \h </w:instrText>
          </w:r>
          <w:r>
            <w:fldChar w:fldCharType="separate"/>
          </w:r>
          <w:r>
            <w:t>32</w:t>
          </w:r>
          <w:r>
            <w:fldChar w:fldCharType="end"/>
          </w:r>
          <w:r>
            <w:fldChar w:fldCharType="end"/>
          </w:r>
        </w:p>
        <w:p w14:paraId="15818159">
          <w:pPr>
            <w:pStyle w:val="16"/>
            <w:tabs>
              <w:tab w:val="right" w:leader="dot" w:pos="8306"/>
            </w:tabs>
          </w:pPr>
          <w:r>
            <w:fldChar w:fldCharType="begin"/>
          </w:r>
          <w:r>
            <w:instrText xml:space="preserve"> HYPERLINK \l "_Toc24268"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_Toc24268 \h </w:instrText>
          </w:r>
          <w:r>
            <w:fldChar w:fldCharType="separate"/>
          </w:r>
          <w:r>
            <w:t>34</w:t>
          </w:r>
          <w:r>
            <w:fldChar w:fldCharType="end"/>
          </w:r>
          <w:r>
            <w:fldChar w:fldCharType="end"/>
          </w:r>
        </w:p>
        <w:p w14:paraId="1D3B9D34">
          <w:pPr>
            <w:pStyle w:val="16"/>
            <w:tabs>
              <w:tab w:val="right" w:leader="dot" w:pos="8306"/>
            </w:tabs>
          </w:pPr>
          <w:r>
            <w:fldChar w:fldCharType="begin"/>
          </w:r>
          <w:r>
            <w:instrText xml:space="preserve"> HYPERLINK \l "_Toc8020"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_Toc8020 \h </w:instrText>
          </w:r>
          <w:r>
            <w:fldChar w:fldCharType="separate"/>
          </w:r>
          <w:r>
            <w:t>36</w:t>
          </w:r>
          <w:r>
            <w:fldChar w:fldCharType="end"/>
          </w:r>
          <w:r>
            <w:fldChar w:fldCharType="end"/>
          </w:r>
        </w:p>
        <w:p w14:paraId="4BBF0146">
          <w:pPr>
            <w:spacing w:line="360" w:lineRule="auto"/>
          </w:pPr>
          <w:r>
            <w:fldChar w:fldCharType="end"/>
          </w:r>
        </w:p>
      </w:sdtContent>
    </w:sdt>
    <w:permEnd w:id="2"/>
    <w:p w14:paraId="327A11C1">
      <w:pPr>
        <w:rPr>
          <w:rFonts w:ascii="Times New Roman"/>
          <w:sz w:val="30"/>
        </w:rPr>
      </w:pPr>
      <w:r>
        <w:rPr>
          <w:rFonts w:ascii="Times New Roman"/>
          <w:sz w:val="30"/>
        </w:rPr>
        <w:br w:type="page"/>
      </w:r>
    </w:p>
    <w:p w14:paraId="5C829EDE">
      <w:pPr>
        <w:pStyle w:val="2"/>
        <w:spacing w:before="0" w:after="0" w:line="360" w:lineRule="auto"/>
        <w:jc w:val="center"/>
        <w:rPr>
          <w:rFonts w:ascii="Times New Roman"/>
          <w:sz w:val="30"/>
        </w:rPr>
      </w:pPr>
      <w:bookmarkStart w:id="1" w:name="_Toc29814"/>
      <w:bookmarkStart w:id="2" w:name="_Toc92377130"/>
      <w:bookmarkStart w:id="3" w:name="_Toc26572"/>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p>
    <w:p w14:paraId="1F44248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14:paraId="274DCB42">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14:paraId="3D9756B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14:paraId="29971EC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中国工商银行股份有限公司（以下简称“工商银行”）。工商银行成立于1984年，于1998年开展资产托管业务，具备理财产品托管资格。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14:paraId="478164D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14:paraId="0434D621">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14:paraId="102735C1">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14:paraId="3032817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14:paraId="087965C0">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14:paraId="0EB7CFFB">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14:paraId="780DA057">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14:paraId="75B2558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14:paraId="09605C88">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14:paraId="381233E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14:paraId="46EEE218">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理财产品投资协议书》，以及对该文件的有效修改或补充。</w:t>
      </w:r>
    </w:p>
    <w:p w14:paraId="6515FC19">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理财产品产品说明书》，以及对该文件的有效修改或补充。</w:t>
      </w:r>
    </w:p>
    <w:p w14:paraId="3DE31211">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14:paraId="7EFF859E">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14:paraId="34E0A15B">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【稳添利最短持有期日开固收类】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14:paraId="4D764E1F">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14:paraId="04F106A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14:paraId="2676CF5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14:paraId="3C24834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14:paraId="5EABC44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68C41B3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14:paraId="4B877F9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14:paraId="757A0C3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14:paraId="5D971CD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14:paraId="0969415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14:paraId="6485E66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14:paraId="6F8F2A2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14:paraId="2AF4D54E">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14:paraId="36A6FB8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14:paraId="4F06139B">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14:paraId="6C63E63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14:paraId="2146D4B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14:paraId="04B51466">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14:paraId="62B160BF">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14:paraId="5FE360B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14:paraId="71CC66B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14:paraId="4B8269A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14:paraId="3204F86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14:paraId="18C0B66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14:paraId="28D3E114">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14:paraId="30BFEF7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14:paraId="23A7EED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14:paraId="210DC623">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14:paraId="05231D8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14:paraId="0DC962F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3A06F03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533F9D8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14:paraId="6391191A">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14:paraId="6DB82D6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14:paraId="5335880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14:paraId="189D6AB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14:paraId="193D21E6">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14:paraId="35DE8199">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14:paraId="0ECC0EA9">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14:paraId="54BA461E">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14:paraId="25FA95CD">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14:paraId="3FA8EFE7">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14:paraId="7C46A35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14:paraId="29533C9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14:paraId="3102E29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14:paraId="375924A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14:paraId="735F3FB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14:paraId="20DFCE7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14:paraId="7C2CDC8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14:paraId="274F5C3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60754D4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37C45B1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14:paraId="65131999">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14:paraId="071EB3DA">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14:paraId="69585A39">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14:paraId="637886B3">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14:paraId="2DF832B1">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14:paraId="3F22C755">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14:paraId="0ED6E4D3">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14:paraId="5ED4690C">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14:paraId="29680C45">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14:paraId="01776AE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14:paraId="576DA45D">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14:paraId="166A4E45">
      <w:pPr>
        <w:pStyle w:val="2"/>
        <w:spacing w:before="0" w:after="0" w:line="360" w:lineRule="auto"/>
        <w:jc w:val="center"/>
        <w:rPr>
          <w:rFonts w:hAnsi="宋体"/>
          <w:sz w:val="28"/>
          <w:szCs w:val="28"/>
        </w:rPr>
      </w:pPr>
      <w:bookmarkStart w:id="4" w:name="_Toc92377131"/>
      <w:bookmarkStart w:id="5" w:name="_Toc79154665"/>
      <w:bookmarkStart w:id="6" w:name="_Toc14559"/>
      <w:bookmarkStart w:id="7" w:name="_Toc30087"/>
      <w:r>
        <w:rPr>
          <w:rFonts w:hint="eastAsia" w:hAnsi="宋体"/>
          <w:sz w:val="28"/>
          <w:szCs w:val="28"/>
        </w:rPr>
        <w:t>第二条  理财产品基本情况</w:t>
      </w:r>
      <w:bookmarkEnd w:id="4"/>
      <w:bookmarkEnd w:id="5"/>
      <w:r>
        <w:rPr>
          <w:rFonts w:hint="eastAsia" w:hAnsi="宋体"/>
          <w:sz w:val="28"/>
          <w:szCs w:val="28"/>
        </w:rPr>
        <w:t xml:space="preserve"> </w:t>
      </w:r>
      <w:bookmarkEnd w:id="6"/>
      <w:bookmarkEnd w:id="7"/>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14:paraId="0CDDB72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14:paraId="2B48633F">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14:paraId="36BEA73D">
            <w:pPr>
              <w:spacing w:line="360" w:lineRule="auto"/>
              <w:jc w:val="left"/>
              <w:rPr>
                <w:rFonts w:ascii="宋体" w:hAnsi="宋体"/>
                <w:bCs/>
                <w:sz w:val="18"/>
                <w:szCs w:val="18"/>
              </w:rPr>
            </w:pPr>
            <w:r>
              <w:rPr>
                <w:rFonts w:hint="eastAsia" w:ascii="宋体" w:hAnsi="宋体"/>
                <w:sz w:val="18"/>
                <w:szCs w:val="18"/>
              </w:rPr>
              <w:t>【兴银理财稳添利月盈77号(1个月最短持有期)日开固收类理财产品】</w:t>
            </w:r>
          </w:p>
        </w:tc>
      </w:tr>
      <w:tr w14:paraId="36F3B34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14:paraId="02ECE454">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14:paraId="2AF406A0">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【稳添利月盈77号H】</w:t>
            </w:r>
            <w:r>
              <w:rPr>
                <w:rFonts w:hint="eastAsia" w:hAnsi="宋体"/>
                <w:sz w:val="18"/>
                <w:szCs w:val="18"/>
              </w:rPr>
              <w:t>（</w:t>
            </w:r>
            <w:r>
              <w:rPr>
                <w:rFonts w:hint="eastAsia" w:hAnsi="宋体"/>
                <w:sz w:val="18"/>
                <w:szCs w:val="18"/>
                <w:lang w:eastAsia="zh-CN"/>
              </w:rPr>
              <w:t>适用【H】类份额</w:t>
            </w:r>
            <w:r>
              <w:rPr>
                <w:rFonts w:hint="eastAsia" w:hAnsi="宋体"/>
                <w:sz w:val="18"/>
                <w:szCs w:val="18"/>
              </w:rPr>
              <w:t>）</w:t>
            </w:r>
          </w:p>
        </w:tc>
      </w:tr>
      <w:tr w14:paraId="493D0F3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14:paraId="7B5004F7">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14:paraId="4553B4FA">
            <w:pPr>
              <w:spacing w:line="360" w:lineRule="auto"/>
              <w:jc w:val="left"/>
              <w:rPr>
                <w:rFonts w:ascii="宋体" w:hAnsi="宋体"/>
                <w:b/>
                <w:sz w:val="18"/>
                <w:szCs w:val="18"/>
              </w:rPr>
            </w:pPr>
            <w:r>
              <w:rPr>
                <w:rFonts w:hint="eastAsia" w:asciiTheme="minorEastAsia" w:hAnsiTheme="minorEastAsia"/>
                <w:sz w:val="18"/>
                <w:szCs w:val="18"/>
              </w:rPr>
              <w:t>【Z7002025001618】</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14:paraId="0267B52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6D67B933">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14:paraId="558FABBE">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9K430770】</w:t>
            </w:r>
          </w:p>
        </w:tc>
      </w:tr>
      <w:tr w14:paraId="24E1536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14:paraId="79D4E75B">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14:paraId="4F74D20A">
            <w:pPr>
              <w:spacing w:line="320" w:lineRule="exact"/>
              <w:jc w:val="left"/>
              <w:rPr>
                <w:rFonts w:hint="eastAsia" w:hAnsi="宋体"/>
                <w:sz w:val="18"/>
                <w:szCs w:val="18"/>
              </w:rPr>
            </w:pPr>
            <w:r>
              <w:rPr>
                <w:rFonts w:hint="eastAsia" w:ascii="宋体" w:hAnsi="宋体"/>
                <w:color w:val="000000" w:themeColor="text1"/>
                <w:sz w:val="18"/>
                <w:szCs w:val="18"/>
                <w14:textFill>
                  <w14:solidFill>
                    <w14:schemeClr w14:val="tx1"/>
                  </w14:solidFill>
                </w14:textFill>
              </w:rPr>
              <w:t>【9K43077H】（</w:t>
            </w:r>
            <w:r>
              <w:rPr>
                <w:rFonts w:hint="eastAsia" w:ascii="宋体" w:hAnsi="宋体"/>
                <w:color w:val="000000" w:themeColor="text1"/>
                <w:sz w:val="18"/>
                <w:szCs w:val="18"/>
                <w:lang w:eastAsia="zh-CN"/>
                <w14:textFill>
                  <w14:solidFill>
                    <w14:schemeClr w14:val="tx1"/>
                  </w14:solidFill>
                </w14:textFill>
              </w:rPr>
              <w:t>适用【H】类份额</w:t>
            </w:r>
            <w:r>
              <w:rPr>
                <w:rFonts w:hint="eastAsia" w:ascii="宋体" w:hAnsi="宋体"/>
                <w:color w:val="000000" w:themeColor="text1"/>
                <w:sz w:val="18"/>
                <w:szCs w:val="18"/>
                <w14:textFill>
                  <w14:solidFill>
                    <w14:schemeClr w14:val="tx1"/>
                  </w14:solidFill>
                </w14:textFill>
              </w:rPr>
              <w:t>）</w:t>
            </w:r>
          </w:p>
        </w:tc>
      </w:tr>
      <w:tr w14:paraId="6D2DC97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5A4913F2">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14:paraId="6888D5C7">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14:paraId="6DC1A25B">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14:paraId="7C830132">
            <w:pPr>
              <w:spacing w:line="360" w:lineRule="auto"/>
              <w:rPr>
                <w:rFonts w:ascii="宋体" w:hAnsi="宋体"/>
                <w:bCs/>
                <w:sz w:val="18"/>
                <w:szCs w:val="18"/>
              </w:rPr>
            </w:pPr>
            <w:r>
              <w:rPr>
                <w:rFonts w:hint="eastAsia" w:ascii="宋体" w:hAnsi="宋体"/>
                <w:bCs/>
                <w:sz w:val="18"/>
                <w:szCs w:val="18"/>
              </w:rPr>
              <w:t>（1）销售名称</w:t>
            </w:r>
          </w:p>
          <w:p w14:paraId="41E096E5">
            <w:pPr>
              <w:spacing w:line="360" w:lineRule="auto"/>
              <w:rPr>
                <w:rFonts w:ascii="宋体" w:hAnsi="宋体"/>
                <w:bCs/>
                <w:sz w:val="18"/>
                <w:szCs w:val="18"/>
              </w:rPr>
            </w:pPr>
            <w:r>
              <w:rPr>
                <w:rFonts w:hint="eastAsia" w:ascii="宋体" w:hAnsi="宋体"/>
                <w:bCs/>
                <w:sz w:val="18"/>
                <w:szCs w:val="18"/>
              </w:rPr>
              <w:t>（2）收费方式</w:t>
            </w:r>
          </w:p>
          <w:p w14:paraId="3B6D1B34">
            <w:pPr>
              <w:spacing w:line="360" w:lineRule="auto"/>
              <w:rPr>
                <w:rFonts w:ascii="宋体" w:hAnsi="宋体"/>
                <w:bCs/>
                <w:sz w:val="18"/>
                <w:szCs w:val="18"/>
              </w:rPr>
            </w:pPr>
            <w:r>
              <w:rPr>
                <w:rFonts w:hint="eastAsia" w:ascii="宋体" w:hAnsi="宋体"/>
                <w:bCs/>
                <w:sz w:val="18"/>
                <w:szCs w:val="18"/>
              </w:rPr>
              <w:t>（3）销售服务费</w:t>
            </w:r>
          </w:p>
          <w:p w14:paraId="324F2916">
            <w:pPr>
              <w:spacing w:line="360" w:lineRule="auto"/>
              <w:rPr>
                <w:rFonts w:ascii="宋体" w:hAnsi="宋体"/>
                <w:bCs/>
                <w:sz w:val="18"/>
                <w:szCs w:val="18"/>
              </w:rPr>
            </w:pPr>
            <w:r>
              <w:rPr>
                <w:rFonts w:hint="eastAsia" w:ascii="宋体" w:hAnsi="宋体"/>
                <w:bCs/>
                <w:sz w:val="18"/>
                <w:szCs w:val="18"/>
              </w:rPr>
              <w:t>（4）销售代码</w:t>
            </w:r>
          </w:p>
          <w:p w14:paraId="0ED3FBDD">
            <w:pPr>
              <w:spacing w:line="360" w:lineRule="auto"/>
              <w:rPr>
                <w:rFonts w:ascii="宋体" w:hAnsi="宋体"/>
                <w:bCs/>
                <w:sz w:val="18"/>
                <w:szCs w:val="18"/>
              </w:rPr>
            </w:pPr>
            <w:r>
              <w:rPr>
                <w:rFonts w:hint="eastAsia" w:ascii="宋体" w:hAnsi="宋体"/>
                <w:bCs/>
                <w:sz w:val="18"/>
                <w:szCs w:val="18"/>
              </w:rPr>
              <w:t>（5）销售对象</w:t>
            </w:r>
          </w:p>
          <w:p w14:paraId="5E6D669F">
            <w:pPr>
              <w:spacing w:line="360" w:lineRule="auto"/>
              <w:rPr>
                <w:rFonts w:ascii="宋体" w:hAnsi="宋体"/>
                <w:bCs/>
                <w:sz w:val="18"/>
                <w:szCs w:val="18"/>
              </w:rPr>
            </w:pPr>
            <w:r>
              <w:rPr>
                <w:rFonts w:hint="eastAsia" w:ascii="宋体" w:hAnsi="宋体"/>
                <w:bCs/>
                <w:sz w:val="18"/>
                <w:szCs w:val="18"/>
              </w:rPr>
              <w:t>（6）销售起点金额（认购、申购的起点金额）</w:t>
            </w:r>
          </w:p>
          <w:p w14:paraId="7A11C291">
            <w:pPr>
              <w:spacing w:line="360" w:lineRule="auto"/>
              <w:rPr>
                <w:rFonts w:ascii="宋体" w:hAnsi="宋体"/>
                <w:bCs/>
                <w:sz w:val="18"/>
                <w:szCs w:val="18"/>
              </w:rPr>
            </w:pPr>
            <w:r>
              <w:rPr>
                <w:rFonts w:hint="eastAsia" w:ascii="宋体" w:hAnsi="宋体"/>
                <w:bCs/>
                <w:sz w:val="18"/>
                <w:szCs w:val="18"/>
              </w:rPr>
              <w:t>（7）投资者认购、申购和赎回的数量限制</w:t>
            </w:r>
          </w:p>
          <w:p w14:paraId="3740568A">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14:paraId="486706AA">
            <w:pPr>
              <w:spacing w:line="360" w:lineRule="auto"/>
              <w:rPr>
                <w:rFonts w:ascii="宋体" w:hAnsi="宋体"/>
                <w:bCs/>
                <w:sz w:val="18"/>
                <w:szCs w:val="18"/>
              </w:rPr>
            </w:pPr>
            <w:r>
              <w:rPr>
                <w:rFonts w:hint="eastAsia" w:ascii="宋体" w:hAnsi="宋体"/>
                <w:bCs/>
                <w:sz w:val="18"/>
                <w:szCs w:val="18"/>
              </w:rPr>
              <w:t>（9）分别计算和公告产品份额净值</w:t>
            </w:r>
          </w:p>
          <w:p w14:paraId="4EAC02E2">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14:paraId="2F2740FD">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14:paraId="1BD9E9C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408DC8A">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14:paraId="16693209">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14:paraId="37888FD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B8375F1">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14:paraId="43D3E735">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14:paraId="7C2C8C2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1293F3C">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14:paraId="2D48E2A5">
            <w:pPr>
              <w:spacing w:line="360" w:lineRule="auto"/>
              <w:rPr>
                <w:rFonts w:ascii="宋体" w:hAnsi="宋体"/>
                <w:bCs/>
                <w:sz w:val="18"/>
                <w:szCs w:val="18"/>
              </w:rPr>
            </w:pPr>
            <w:r>
              <w:rPr>
                <w:rFonts w:hint="eastAsia" w:ascii="宋体" w:hAnsi="宋体"/>
                <w:bCs/>
                <w:sz w:val="18"/>
                <w:szCs w:val="18"/>
              </w:rPr>
              <w:t>开放式</w:t>
            </w:r>
          </w:p>
        </w:tc>
      </w:tr>
      <w:tr w14:paraId="32753AB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FBD9D11">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14:paraId="0A8E741D">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14:paraId="75E2277A">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14:paraId="42C3F7A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FEFBB5D">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14:paraId="2AC5A49E">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14:paraId="4CABF4D9">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14:paraId="1E43F77B">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14:paraId="2F60F6C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34A120E">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14:paraId="4E238D8E">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14:paraId="6CE9535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06E02CD">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14:paraId="0C663058">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本产品属于【</w:t>
            </w:r>
            <w:r>
              <w:rPr>
                <w:rFonts w:hint="eastAsia" w:asciiTheme="majorEastAsia" w:hAnsiTheme="majorEastAsia" w:eastAsiaTheme="majorEastAsia"/>
                <w:bCs/>
                <w:sz w:val="18"/>
                <w:szCs w:val="18"/>
                <w:lang w:eastAsia="zh-CN"/>
              </w:rPr>
              <w:t>□</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14:paraId="002F51DD">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14:paraId="5F83C818">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14:paraId="1CC82EB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E5AEF59">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14:paraId="2C766761">
            <w:pPr>
              <w:spacing w:line="360" w:lineRule="auto"/>
              <w:rPr>
                <w:rFonts w:hint="eastAsia" w:asciiTheme="majorEastAsia" w:hAnsiTheme="majorEastAsia" w:eastAsiaTheme="majorEastAsia"/>
                <w:bCs/>
                <w:color w:val="000000" w:themeColor="text1"/>
                <w:sz w:val="18"/>
                <w:szCs w:val="18"/>
                <w:lang w:eastAsia="zh-CN"/>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适用【H】类份额</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p>
          <w:p w14:paraId="46F99418">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14:paraId="0418D337">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lang w:eastAsia="zh-CN"/>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14:paraId="6974F8A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C81D461">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14:paraId="36710F64">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14:paraId="35B77FBC">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14:paraId="46B32C4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DCD8EAC">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14:paraId="521C146E">
            <w:pPr>
              <w:spacing w:line="360" w:lineRule="auto"/>
              <w:jc w:val="left"/>
              <w:rPr>
                <w:rFonts w:ascii="宋体" w:hAnsi="宋体"/>
                <w:sz w:val="18"/>
                <w:szCs w:val="18"/>
              </w:rPr>
            </w:pPr>
            <w:r>
              <w:rPr>
                <w:rFonts w:hint="eastAsia" w:ascii="宋体" w:hAnsi="宋体"/>
                <w:sz w:val="18"/>
                <w:szCs w:val="18"/>
              </w:rPr>
              <w:t>□ 直销适用</w:t>
            </w:r>
          </w:p>
          <w:p w14:paraId="124F0799">
            <w:pPr>
              <w:spacing w:line="360" w:lineRule="auto"/>
              <w:jc w:val="left"/>
              <w:rPr>
                <w:rFonts w:ascii="宋体" w:hAnsi="宋体"/>
                <w:sz w:val="18"/>
                <w:szCs w:val="18"/>
              </w:rPr>
            </w:pPr>
            <w:r>
              <w:rPr>
                <w:rFonts w:hint="eastAsia" w:ascii="宋体" w:hAnsi="宋体"/>
                <w:sz w:val="18"/>
                <w:szCs w:val="18"/>
              </w:rPr>
              <w:t>本产品由产品管理人销售。</w:t>
            </w:r>
          </w:p>
          <w:p w14:paraId="30723C63">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14:paraId="16C0A03C">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14:paraId="4B6287F8">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14:paraId="104D014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CB5D193">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14:paraId="62865B66">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14:paraId="2514CEE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E832143">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14:paraId="46FAF4F0">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中国工商银行股份有限公司</w:t>
            </w:r>
          </w:p>
        </w:tc>
      </w:tr>
      <w:tr w14:paraId="18AD979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5DF8F80">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14:paraId="67307B91">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1.3</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14:paraId="352783E1">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14:paraId="5D63ED0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0372D41">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14:paraId="5EE23820">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w:t>
            </w:r>
          </w:p>
          <w:p w14:paraId="25603905">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14:paraId="33B113DA">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14:paraId="54F16AF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4D6E33E">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14:paraId="72257201">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9</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16</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9:00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9</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17</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17:00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14:paraId="663A6612">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14:paraId="2EE62689">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14:paraId="46EA27A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726C7A9">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14:paraId="3607D1E3">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14:paraId="1D2C434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766EEAC">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14:paraId="4938A8F6">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9</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18</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14:paraId="7F68FD2B">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14:paraId="2E74163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DC967D5">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14:paraId="00A92C9C">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14:paraId="02DF9440">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14:paraId="736BC43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14:paraId="3E7A586F">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14:paraId="07B7A0ED">
            <w:pPr>
              <w:spacing w:line="360" w:lineRule="auto"/>
              <w:rPr>
                <w:rFonts w:hint="eastAsia" w:cs="Times New Roman" w:asciiTheme="minorEastAsia" w:hAnsiTheme="minorEastAsia"/>
                <w:sz w:val="18"/>
                <w:szCs w:val="18"/>
              </w:rPr>
            </w:pPr>
            <w:r>
              <w:rPr>
                <w:rFonts w:hint="eastAsia" w:cs="Times New Roman" w:asciiTheme="minorEastAsia" w:hAnsiTheme="minorEastAsia"/>
                <w:sz w:val="18"/>
                <w:szCs w:val="18"/>
              </w:rPr>
              <w:t>1.本产品封闭期为：【</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】日至【</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p>
          <w:p w14:paraId="4D160EDF">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14:paraId="3E80596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B1E1B77">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14:paraId="4559DDA4">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14:paraId="58B5F500">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14:paraId="5D20C113">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30</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r>
              <w:rPr>
                <w:rFonts w:hint="eastAsia" w:asciiTheme="majorEastAsia" w:hAnsiTheme="majorEastAsia" w:eastAsiaTheme="majorEastAsia"/>
                <w:bCs/>
                <w:sz w:val="18"/>
                <w:szCs w:val="18"/>
                <w:lang w:val="en-US" w:eastAsia="zh-CN"/>
              </w:rPr>
              <w:t>30</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ajorEastAsia" w:hAnsiTheme="majorEastAsia" w:eastAsiaTheme="majorEastAsia"/>
                <w:bCs/>
                <w:sz w:val="18"/>
                <w:szCs w:val="18"/>
                <w:lang w:val="en-US" w:eastAsia="zh-CN"/>
              </w:rPr>
              <w:t>30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14:paraId="0BE6B6B3">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14:paraId="1B921E31">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14:paraId="6952D62D">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14:paraId="41661CDE">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14:paraId="35F08107">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14:paraId="283E3920">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14:paraId="37624ACF">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】个工作日内对投资者的申购申请的有效性进行确认，并登记理财份额。</w:t>
            </w:r>
          </w:p>
          <w:p w14:paraId="48501FB9">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14:paraId="7E38BD0F">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14:paraId="12F8EBB9">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14:paraId="07717F53">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14:paraId="56A8AE46">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14:paraId="15E12CDE">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14:paraId="0746E718">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】个工作日内对投资者的赎回申请的有效性进行确认，并注销理财份额。</w:t>
            </w:r>
          </w:p>
          <w:p w14:paraId="33AC4EC9">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3</w:t>
            </w:r>
            <w:r>
              <w:rPr>
                <w:rFonts w:hint="eastAsia" w:ascii="黑体" w:hAnsi="黑体" w:eastAsia="黑体" w:cs="黑体"/>
                <w:kern w:val="0"/>
                <w:sz w:val="18"/>
              </w:rPr>
              <w:t>】个工作日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14:paraId="151D4E91">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14:paraId="61C09BED">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14:paraId="7C04E317">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14:paraId="478CC14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75D9C09">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14:paraId="5B5490E8">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1.00</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适用【H】类份额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14:paraId="0D8891CE">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14:paraId="0EA5B277">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14:paraId="74C60490">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14:paraId="7FD88E3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84E6047">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14:paraId="23CF7EDB">
            <w:pPr>
              <w:pStyle w:val="34"/>
              <w:spacing w:line="360" w:lineRule="auto"/>
              <w:rPr>
                <w:rFonts w:asciiTheme="minorEastAsia" w:hAnsiTheme="minorEastAsia" w:eastAsiaTheme="minorEastAsia"/>
                <w:color w:val="auto"/>
                <w:sz w:val="18"/>
                <w:szCs w:val="18"/>
              </w:rPr>
            </w:pP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14:paraId="51896DDC">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14:paraId="04ACB93B">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14:paraId="4197FF05">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14:paraId="0EDAB3F5">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14:paraId="750EE3D3">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14:paraId="3FD38465">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14:paraId="1BB83AAE">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14:paraId="1EE5E255">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14:paraId="1308F33A">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14:paraId="245E786B">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14:paraId="26463B7C">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14:paraId="00B660FD">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14:paraId="5E63D33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14:paraId="23304DA4">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14:paraId="19C01A92">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14:paraId="44EAF93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4E3D1F8">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14:paraId="2A52F646">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14:paraId="6040E51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EE59B5E">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14:paraId="7B8FCD1F">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14:paraId="1ABA2C4B">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14:paraId="448C03BF">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14:paraId="761DBBC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1EC36F97">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14:paraId="14483B41">
            <w:pPr>
              <w:spacing w:line="360" w:lineRule="auto"/>
              <w:jc w:val="left"/>
              <w:rPr>
                <w:rFonts w:ascii="宋体" w:hAnsi="宋体"/>
                <w:bCs/>
                <w:sz w:val="18"/>
                <w:szCs w:val="18"/>
              </w:rPr>
            </w:pP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14:paraId="5A5DCC5E">
            <w:pPr>
              <w:spacing w:line="360" w:lineRule="auto"/>
              <w:jc w:val="left"/>
              <w:rPr>
                <w:rFonts w:ascii="宋体" w:hAnsi="宋体"/>
                <w:bCs/>
                <w:sz w:val="18"/>
                <w:szCs w:val="18"/>
              </w:rPr>
            </w:pPr>
            <w:r>
              <w:rPr>
                <w:rFonts w:ascii="宋体" w:hAnsi="宋体"/>
                <w:bCs/>
                <w:sz w:val="18"/>
                <w:szCs w:val="18"/>
              </w:rPr>
              <w:t>1.业绩比较基准的设置</w:t>
            </w:r>
          </w:p>
          <w:p w14:paraId="5A9868A8">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Cs/>
                <w:kern w:val="0"/>
                <w:sz w:val="18"/>
                <w:szCs w:val="18"/>
              </w:rPr>
              <w:t>产品管理人设置业绩比较基准。</w:t>
            </w:r>
          </w:p>
          <w:p w14:paraId="458557A3">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14:paraId="2CEBCE4B">
            <w:pPr>
              <w:spacing w:line="360" w:lineRule="auto"/>
              <w:jc w:val="left"/>
              <w:rPr>
                <w:rFonts w:hint="eastAsia"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14:paraId="4965A4E9">
            <w:pPr>
              <w:spacing w:line="360" w:lineRule="auto"/>
              <w:jc w:val="left"/>
              <w:rPr>
                <w:rFonts w:hint="eastAsia" w:ascii="宋体" w:hAnsi="宋体"/>
                <w:bCs/>
                <w:sz w:val="18"/>
                <w:szCs w:val="18"/>
                <w:lang w:val="en-US" w:eastAsia="zh-CN"/>
              </w:rPr>
            </w:pPr>
            <w:r>
              <w:rPr>
                <w:rFonts w:hint="eastAsia" w:asciiTheme="majorEastAsia" w:hAnsiTheme="majorEastAsia"/>
                <w:bCs/>
                <w:sz w:val="18"/>
                <w:lang w:val="en-US" w:eastAsia="zh-CN"/>
              </w:rPr>
              <w:t>年化</w:t>
            </w:r>
            <w:r>
              <w:rPr>
                <w:rFonts w:hint="eastAsia" w:ascii="宋体" w:hAnsi="宋体"/>
                <w:bCs/>
                <w:sz w:val="18"/>
                <w:szCs w:val="18"/>
              </w:rPr>
              <w:t>【</w:t>
            </w:r>
            <w:r>
              <w:rPr>
                <w:rFonts w:hint="eastAsia" w:ascii="宋体" w:hAnsi="宋体"/>
                <w:bCs/>
                <w:sz w:val="18"/>
                <w:szCs w:val="18"/>
                <w:lang w:val="en-US" w:eastAsia="zh-CN"/>
              </w:rPr>
              <w:t>1.15%-2.15%</w:t>
            </w:r>
            <w:r>
              <w:rPr>
                <w:rFonts w:ascii="宋体" w:hAnsi="宋体"/>
                <w:bCs/>
                <w:sz w:val="18"/>
                <w:szCs w:val="18"/>
              </w:rPr>
              <w:t>】</w:t>
            </w:r>
            <w:r>
              <w:rPr>
                <w:rFonts w:hint="eastAsia" w:ascii="宋体" w:hAnsi="宋体"/>
                <w:bCs/>
                <w:sz w:val="18"/>
                <w:szCs w:val="18"/>
                <w:lang w:val="en-US" w:eastAsia="zh-CN"/>
              </w:rPr>
              <w:t>(适用【H】类份额）</w:t>
            </w:r>
          </w:p>
          <w:p w14:paraId="5EC75225">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14:paraId="27FFFF53">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14:paraId="1718E794">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14:paraId="7CA2D765">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14:paraId="499EC2B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6B1B93AB">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14:paraId="1F37F6A6">
            <w:pPr>
              <w:spacing w:line="360" w:lineRule="auto"/>
              <w:jc w:val="left"/>
              <w:rPr>
                <w:rFonts w:hAnsi="宋体"/>
                <w:bCs/>
                <w:sz w:val="18"/>
                <w:szCs w:val="18"/>
              </w:rPr>
            </w:pP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14:paraId="73B95187">
            <w:pPr>
              <w:spacing w:line="360" w:lineRule="auto"/>
              <w:jc w:val="left"/>
              <w:rPr>
                <w:rFonts w:ascii="宋体" w:hAnsi="宋体"/>
                <w:bCs/>
                <w:sz w:val="18"/>
                <w:szCs w:val="18"/>
              </w:rPr>
            </w:pPr>
            <w:r>
              <w:rPr>
                <w:rFonts w:ascii="宋体" w:hAnsi="宋体"/>
                <w:bCs/>
                <w:sz w:val="18"/>
                <w:szCs w:val="18"/>
              </w:rPr>
              <w:t>1.业绩报酬计提基准的设置</w:t>
            </w:r>
          </w:p>
          <w:p w14:paraId="0887C27B">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14:paraId="40A8BB68">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r>
              <w:rPr>
                <w:rFonts w:hint="eastAsia" w:ascii="宋体" w:hAnsi="宋体"/>
                <w:bCs/>
                <w:sz w:val="18"/>
                <w:lang w:val="en-US" w:eastAsia="zh-CN"/>
              </w:rPr>
              <w:t>/</w:t>
            </w:r>
            <w:r>
              <w:rPr>
                <w:rFonts w:hint="eastAsia" w:ascii="宋体" w:hAnsi="宋体"/>
                <w:bCs/>
                <w:sz w:val="18"/>
              </w:rPr>
              <w:t>】。</w:t>
            </w:r>
          </w:p>
          <w:p w14:paraId="2785CF4B">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14:paraId="11F0C7D5">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14:paraId="5B52D08D">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14:paraId="4AC3DD5F">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14:paraId="556A36C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1FE9A692">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14:paraId="28BCF5C4">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14:paraId="2C7CD48F">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14:paraId="316FF30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32DF699">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14:paraId="12616583">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适用【H】类份额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14:paraId="306A565C">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14:paraId="37EA353F">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14:paraId="23C3832D">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14:paraId="6F1B3DD0">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14:paraId="4FAB0614">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0.40%</w:t>
            </w:r>
            <w:r>
              <w:rPr>
                <w:rFonts w:hint="eastAsia"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14:paraId="135E8AEC">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0.30%</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14:paraId="17C97FFC">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0.03%</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14:paraId="77CB7A4E">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14:paraId="344603FC">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w:t>
            </w:r>
            <w:r>
              <w:rPr>
                <w:rFonts w:hint="eastAsia" w:ascii="宋体" w:hAnsi="宋体"/>
                <w:sz w:val="18"/>
                <w:szCs w:val="18"/>
              </w:rPr>
              <w:t>】作为超额业绩报酬。</w:t>
            </w:r>
          </w:p>
          <w:p w14:paraId="3361F5E9">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14:paraId="31CEE49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3033EE1">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14:paraId="6A02D11F">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14:paraId="2C73073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B41477C">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14:paraId="717DEC4C">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14:paraId="40DF46F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7C4CDE3">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14:paraId="50220158">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14:paraId="19435A47">
      <w:pPr>
        <w:pStyle w:val="34"/>
        <w:spacing w:line="360" w:lineRule="auto"/>
        <w:rPr>
          <w:rFonts w:hAnsi="宋体"/>
          <w:sz w:val="18"/>
          <w:szCs w:val="18"/>
        </w:rPr>
      </w:pPr>
    </w:p>
    <w:p w14:paraId="30B99781">
      <w:pPr>
        <w:widowControl/>
        <w:spacing w:line="360" w:lineRule="auto"/>
        <w:jc w:val="left"/>
        <w:rPr>
          <w:rFonts w:ascii="宋体" w:hAnsi="宋体"/>
          <w:color w:val="000000"/>
          <w:kern w:val="0"/>
          <w:sz w:val="18"/>
          <w:szCs w:val="18"/>
        </w:rPr>
      </w:pPr>
      <w:r>
        <w:rPr>
          <w:rFonts w:hAnsi="宋体"/>
          <w:sz w:val="18"/>
          <w:szCs w:val="18"/>
        </w:rPr>
        <w:br w:type="page"/>
      </w:r>
    </w:p>
    <w:p w14:paraId="2172439C">
      <w:pPr>
        <w:pStyle w:val="2"/>
        <w:spacing w:before="0" w:after="0" w:line="360" w:lineRule="auto"/>
        <w:jc w:val="center"/>
        <w:rPr>
          <w:rFonts w:ascii="Times New Roman"/>
          <w:sz w:val="30"/>
        </w:rPr>
      </w:pPr>
      <w:bookmarkStart w:id="8" w:name="_Toc21959"/>
      <w:bookmarkStart w:id="9" w:name="_Toc79154666"/>
      <w:bookmarkStart w:id="10" w:name="_Toc92377132"/>
      <w:bookmarkStart w:id="11" w:name="_Toc4403"/>
      <w:r>
        <w:rPr>
          <w:rFonts w:ascii="Times New Roman"/>
          <w:sz w:val="30"/>
        </w:rPr>
        <w:t>第</w:t>
      </w:r>
      <w:r>
        <w:rPr>
          <w:rFonts w:hint="eastAsia" w:ascii="Times New Roman"/>
          <w:sz w:val="30"/>
        </w:rPr>
        <w:t>三条</w:t>
      </w:r>
      <w:r>
        <w:rPr>
          <w:rFonts w:ascii="Times New Roman"/>
          <w:sz w:val="30"/>
        </w:rPr>
        <w:t xml:space="preserve">  </w:t>
      </w:r>
      <w:bookmarkStart w:id="12" w:name="_Toc79392573"/>
      <w:r>
        <w:rPr>
          <w:rFonts w:hint="eastAsia" w:ascii="Times New Roman"/>
          <w:sz w:val="30"/>
        </w:rPr>
        <w:t>理财产品的认购</w:t>
      </w:r>
      <w:bookmarkEnd w:id="8"/>
      <w:bookmarkEnd w:id="9"/>
      <w:bookmarkEnd w:id="10"/>
      <w:bookmarkEnd w:id="11"/>
    </w:p>
    <w:p w14:paraId="05EC45B7">
      <w:pPr>
        <w:spacing w:line="360" w:lineRule="auto"/>
        <w:ind w:firstLine="361" w:firstLineChars="200"/>
        <w:rPr>
          <w:rFonts w:asciiTheme="minorEastAsia" w:hAnsiTheme="minorEastAsia"/>
          <w:b/>
          <w:bCs/>
          <w:sz w:val="18"/>
          <w:szCs w:val="18"/>
        </w:rPr>
      </w:pPr>
      <w:bookmarkStart w:id="13" w:name="_Hlt88031774"/>
      <w:bookmarkEnd w:id="13"/>
      <w:bookmarkStart w:id="14" w:name="_Hlt88031741"/>
      <w:r>
        <w:rPr>
          <w:rFonts w:hint="eastAsia" w:asciiTheme="minorEastAsia" w:hAnsiTheme="minorEastAsia"/>
          <w:b/>
          <w:bCs/>
          <w:sz w:val="18"/>
          <w:szCs w:val="18"/>
        </w:rPr>
        <w:t>（一）理财产品的认购</w:t>
      </w:r>
    </w:p>
    <w:p w14:paraId="110C1A63">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14:paraId="113D11E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14:paraId="169A505B">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14:paraId="44DB8E81">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14:paraId="546C37A2">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14:paraId="0BEEB0EE">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14:paraId="4FC75F76">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14:paraId="601E412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43F23D6E">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14:paraId="44AFF5E2">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14:paraId="045E035F">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14:paraId="01D96C1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63B97F11">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14:paraId="5CF34404">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14:paraId="550AC446">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14:paraId="229F8D7C">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14:paraId="599C850D">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14:paraId="0BE3F10E">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49444589">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14:paraId="7E3A253B">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2B740B3C">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14:paraId="32409A5A">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14:paraId="544FC011">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14:paraId="4853FF98">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14:paraId="74B54710">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14:paraId="1ECB5098">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14:paraId="7140D22C">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14:paraId="4FCBB4D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6E6B9193">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14:paraId="5CCA3E51">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232210E8">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14:paraId="49F1B92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14:paraId="62315DCD">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14:paraId="0BC36585">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14:paraId="63C1574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29397CB3">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14:paraId="24CF8A96">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14:paraId="6FF0742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37450CF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1F5CA77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14:paraId="7471F2D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14:paraId="5C5BE88B">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14:paraId="68B23F5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14:paraId="63B67467">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14:paraId="38BCCDDE">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1B56DFA4">
      <w:pPr>
        <w:spacing w:line="360" w:lineRule="auto"/>
        <w:ind w:firstLine="360" w:firstLineChars="200"/>
        <w:rPr>
          <w:rFonts w:asciiTheme="minorEastAsia" w:hAnsiTheme="minorEastAsia"/>
          <w:bCs/>
          <w:sz w:val="18"/>
          <w:szCs w:val="18"/>
        </w:rPr>
      </w:pPr>
    </w:p>
    <w:p w14:paraId="5BBA1D33">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14:paraId="53716902">
      <w:pPr>
        <w:pStyle w:val="2"/>
        <w:spacing w:before="0" w:after="0" w:line="360" w:lineRule="auto"/>
        <w:jc w:val="center"/>
        <w:rPr>
          <w:rFonts w:ascii="Times New Roman"/>
          <w:sz w:val="30"/>
        </w:rPr>
      </w:pPr>
      <w:bookmarkStart w:id="15" w:name="_Toc79154667"/>
      <w:bookmarkStart w:id="16" w:name="_Toc6529"/>
      <w:bookmarkStart w:id="17" w:name="_Toc29856"/>
      <w:bookmarkStart w:id="18"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5"/>
      <w:bookmarkEnd w:id="16"/>
      <w:bookmarkEnd w:id="17"/>
      <w:bookmarkEnd w:id="18"/>
    </w:p>
    <w:bookmarkEnd w:id="14"/>
    <w:p w14:paraId="4A88B034">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14:paraId="0299369C">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14:paraId="6F336E80">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14:paraId="46D0C8C8">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14:paraId="2C435CD9">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7B0D8185">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14:paraId="70D49C26">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14:paraId="64AFCCC2">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14:paraId="535E22F8">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14:paraId="7CEFD832">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14:paraId="32F9103A">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14:paraId="370A3809">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14:paraId="7CDF3EA5">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14:paraId="317E517E">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167B162D">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14:paraId="6FA23436">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14:paraId="7D92CDA9">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14:paraId="45AB9201">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14:paraId="27577939">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14:paraId="79573F45">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14:paraId="3E41E19C">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14:paraId="2F6F98B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77D55FB5">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14:paraId="0D1DD94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46A174BD">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14:paraId="227AAF27">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14:paraId="558959AB">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14:paraId="195DD885">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14:paraId="7D68BD5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6EAB3875">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14:paraId="55AB5C4B">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14:paraId="31C8A2D4">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14:paraId="236D9DED">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14:paraId="6FF5A011">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14:paraId="1A55F331">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14:paraId="01F0A0C0">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14:paraId="58E18C3E">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14:paraId="7ABE9562">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36AF79C7">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14:paraId="3F0F8233">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14:paraId="681AC100">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14:paraId="5F58324B">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14:paraId="1324AC22">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14:paraId="1C910503">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14:paraId="2593B470">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14:paraId="22F583B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6FD7B161">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14:paraId="1A250E8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14:paraId="66B1392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14:paraId="4CFD79D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334A560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14:paraId="369E2FAC">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14:paraId="5CA1779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14:paraId="201E7B3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7CBB826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14:paraId="0908AF2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32267EB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14:paraId="03EE353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14:paraId="41CE57B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14:paraId="3CC2F02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111AC9C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14:paraId="506D9EF0">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14:paraId="35C1FABD">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14:paraId="06996F41">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14:paraId="64DB077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14:paraId="35056BF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14:paraId="7AAF417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011125B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14:paraId="0A11A73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14:paraId="2BD8F5A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14:paraId="20FDAF3D">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14:paraId="1BF901B2">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14:paraId="78769925">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14:paraId="06B11B7A">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14:paraId="57F5442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14:paraId="4FB4DCFB">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14:paraId="214CEF24">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14:paraId="3CA1CA2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60D28567">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14:paraId="1BE6C968">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14:paraId="48EE5053">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14:paraId="6AE6C55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14:paraId="320C386F">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14:paraId="151A7CF8">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14:paraId="4D4543FD">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14:paraId="1E6975C8">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7F6AE728">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2"/>
    <w:p w14:paraId="17D38D37">
      <w:pPr>
        <w:pStyle w:val="2"/>
        <w:spacing w:before="0" w:after="0" w:line="360" w:lineRule="auto"/>
        <w:jc w:val="center"/>
        <w:rPr>
          <w:rFonts w:ascii="Times New Roman"/>
          <w:sz w:val="30"/>
        </w:rPr>
      </w:pPr>
      <w:bookmarkStart w:id="19" w:name="_Toc12517"/>
      <w:bookmarkStart w:id="20" w:name="_Toc92377134"/>
      <w:bookmarkStart w:id="21" w:name="_Toc27226"/>
      <w:bookmarkStart w:id="22" w:name="_Toc29784"/>
      <w:bookmarkStart w:id="23" w:name="_Toc15203"/>
      <w:bookmarkStart w:id="24" w:name="_Toc23413"/>
      <w:bookmarkStart w:id="25" w:name="_Toc90742321"/>
      <w:bookmarkStart w:id="26" w:name="_Toc22074"/>
      <w:bookmarkStart w:id="27" w:name="_Toc7151"/>
      <w:bookmarkStart w:id="28" w:name="_Toc16265"/>
      <w:bookmarkStart w:id="29" w:name="_Toc29948"/>
      <w:bookmarkStart w:id="30" w:name="_Toc3266"/>
      <w:bookmarkStart w:id="31" w:name="_Toc74065741"/>
      <w:bookmarkStart w:id="32" w:name="_Toc6714"/>
      <w:bookmarkStart w:id="33" w:name="_Toc90742390"/>
      <w:bookmarkStart w:id="34" w:name="_Toc27189"/>
      <w:bookmarkStart w:id="35" w:name="_Toc79154668"/>
      <w:bookmarkStart w:id="36" w:name="_Toc90742688"/>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3952585A">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14:paraId="5B91ED9A">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14:paraId="4BBDA603">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14:paraId="592A166D">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14:paraId="08627C49">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14:paraId="44D0F71B">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14:paraId="2BFC4410">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14:paraId="1B95533F">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14:paraId="6D8A05FB">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14:paraId="78FB21C0">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 w14:paraId="5BA04EDD">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
    <w:permEnd w:id="15"/>
    <w:p w14:paraId="63BF045E">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14:paraId="2244688C">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14:paraId="6B37926F">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w:t>
      </w:r>
    </w:p>
    <w:permEnd w:id="16"/>
    <w:p w14:paraId="414C6EAF">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14:paraId="4D3B5D32">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14:paraId="7A0339EF">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14:paraId="5D79852A">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14:paraId="7D9359C1">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14:paraId="0A04EBDD">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14:paraId="772D57F6">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14:paraId="61C635DE">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14:paraId="7584A9A1">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14:paraId="699831FA">
      <w:pPr>
        <w:pStyle w:val="34"/>
        <w:spacing w:line="360" w:lineRule="auto"/>
        <w:ind w:firstLine="360" w:firstLineChars="200"/>
        <w:rPr>
          <w:rFonts w:asciiTheme="majorEastAsia" w:hAnsiTheme="majorEastAsia" w:eastAsiaTheme="majorEastAsia"/>
          <w:color w:val="auto"/>
          <w:sz w:val="18"/>
          <w:szCs w:val="18"/>
        </w:rPr>
      </w:pPr>
      <w:permStart w:id="18" w:edGrp="everyone"/>
      <w:r>
        <w:rPr>
          <w:rFonts w:hint="eastAsia" w:asciiTheme="majorEastAsia" w:hAnsiTheme="majorEastAsia" w:eastAsiaTheme="majorEastAsia"/>
          <w:bCs/>
          <w:kern w:val="0"/>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14:paraId="296E6898">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14:paraId="76563FB5">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14:paraId="5357E947">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14:paraId="31F7FE43">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14:paraId="602E6152">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14:paraId="676BB6ED">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14:paraId="5CC62245">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14:paraId="096B6274">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（7）每只开放式理财产品每日确认且需当日支付的净赎回申请不超过前一工作日产品7个工作日可变现资产的可变现价值，</w:t>
      </w:r>
      <w:r>
        <w:rPr>
          <w:rFonts w:hint="eastAsia" w:asciiTheme="majorEastAsia" w:hAnsiTheme="majorEastAsia" w:eastAsiaTheme="majorEastAsia"/>
          <w:bCs/>
          <w:kern w:val="0"/>
          <w:sz w:val="18"/>
          <w:szCs w:val="18"/>
          <w:lang w:eastAsia="zh-CN"/>
        </w:rPr>
        <w:t>监管部门</w:t>
      </w:r>
      <w:r>
        <w:rPr>
          <w:rFonts w:hint="eastAsia" w:asciiTheme="majorEastAsia" w:hAnsiTheme="majorEastAsia" w:eastAsiaTheme="majorEastAsia"/>
          <w:bCs/>
          <w:kern w:val="0"/>
          <w:sz w:val="18"/>
          <w:szCs w:val="18"/>
        </w:rPr>
        <w:t xml:space="preserve">另有规定的除外。在开放日前一工作日内，每只开放式理财产品7个工作日可变现资产的可变现价值应当不低于该产品资产净值的10%。 </w:t>
      </w:r>
    </w:p>
    <w:p w14:paraId="3F86C488">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14:paraId="4F8B335B">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14:paraId="228A8EF9">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非因管理人主观因素导致突破前述比例限制的，管理人应当在流动性受限资产可出售、可转让或者恢复交易的10个交易日内调整至符合要求，国务院银行业监督管理机构规定的特殊情形除外</w:t>
      </w:r>
      <w:r>
        <w:rPr>
          <w:rFonts w:hint="eastAsia" w:asciiTheme="majorEastAsia" w:hAnsiTheme="majorEastAsia" w:eastAsiaTheme="majorEastAsia"/>
          <w:bCs/>
          <w:kern w:val="0"/>
          <w:sz w:val="18"/>
          <w:szCs w:val="18"/>
          <w:lang w:eastAsia="zh-CN"/>
        </w:rPr>
        <w:t>。</w:t>
      </w:r>
      <w:r>
        <w:rPr>
          <w:rFonts w:hint="eastAsia" w:asciiTheme="majorEastAsia" w:hAnsiTheme="majorEastAsia" w:eastAsiaTheme="majorEastAsia"/>
          <w:bCs/>
          <w:kern w:val="0"/>
          <w:sz w:val="18"/>
          <w:szCs w:val="18"/>
        </w:rPr>
        <w:t>理财产品投资于国债、地方政府债券、中央银行票据、政府机构债券、政策性金融债券以及完全按照有关指数的构成比例进行投资的除外。若后续监管对于集中度及流动性管理要求有新要求，按照监管要求执行。</w:t>
      </w:r>
    </w:p>
    <w:permEnd w:id="18"/>
    <w:p w14:paraId="74579CD4">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14:paraId="467194EE">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14:paraId="367083F5">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14:paraId="122369CB">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14:paraId="53DF454A">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14:paraId="60D83265">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14:paraId="3F415897">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14:paraId="7E1972E9">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14:paraId="56CFEC13">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14:paraId="1AB23F6F">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14:paraId="5A045CBD">
      <w:pPr>
        <w:pStyle w:val="2"/>
        <w:spacing w:before="0" w:after="0" w:line="360" w:lineRule="auto"/>
        <w:jc w:val="center"/>
        <w:rPr>
          <w:rFonts w:ascii="Times New Roman"/>
          <w:sz w:val="30"/>
        </w:rPr>
      </w:pPr>
      <w:bookmarkStart w:id="37" w:name="_Toc5702"/>
      <w:bookmarkStart w:id="38" w:name="_Toc18329"/>
      <w:bookmarkStart w:id="39" w:name="_Toc18797"/>
      <w:bookmarkStart w:id="40" w:name="_Toc14893"/>
      <w:bookmarkStart w:id="41" w:name="_Toc74065742"/>
      <w:bookmarkStart w:id="42" w:name="_Toc92377135"/>
      <w:bookmarkStart w:id="43" w:name="_Toc17912"/>
      <w:bookmarkStart w:id="44" w:name="_Toc1823"/>
      <w:bookmarkStart w:id="45" w:name="_Toc26986"/>
      <w:bookmarkStart w:id="46" w:name="_Toc141703885"/>
      <w:bookmarkStart w:id="47" w:name="_Toc27967"/>
      <w:bookmarkStart w:id="48" w:name="_Toc139991735"/>
      <w:bookmarkStart w:id="49" w:name="_Toc4741"/>
      <w:bookmarkStart w:id="50" w:name="_Toc18526"/>
      <w:bookmarkStart w:id="51" w:name="_Toc79154669"/>
      <w:bookmarkStart w:id="52" w:name="_Toc7848"/>
      <w:bookmarkStart w:id="53" w:name="_Toc21988"/>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55325572">
      <w:pPr>
        <w:pStyle w:val="34"/>
        <w:spacing w:line="360" w:lineRule="auto"/>
        <w:ind w:firstLine="361" w:firstLineChars="200"/>
        <w:rPr>
          <w:rFonts w:asciiTheme="majorEastAsia" w:hAnsiTheme="majorEastAsia" w:eastAsiaTheme="majorEastAsia"/>
          <w:b/>
          <w:color w:val="auto"/>
          <w:sz w:val="18"/>
          <w:szCs w:val="18"/>
        </w:rPr>
      </w:pPr>
      <w:bookmarkStart w:id="54" w:name="_Hlk490214295"/>
      <w:r>
        <w:rPr>
          <w:rFonts w:hint="eastAsia" w:asciiTheme="majorEastAsia" w:hAnsiTheme="majorEastAsia" w:eastAsiaTheme="majorEastAsia"/>
          <w:b/>
          <w:color w:val="auto"/>
          <w:sz w:val="18"/>
          <w:szCs w:val="18"/>
        </w:rPr>
        <w:t>（一）理财产品的资产的保管和处分</w:t>
      </w:r>
    </w:p>
    <w:p w14:paraId="5342238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14:paraId="2A4E0BB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14:paraId="26AEF95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14:paraId="51F0C660">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14:paraId="0180B2F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14:paraId="5481F54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14:paraId="7B6A84A2">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54"/>
    <w:p w14:paraId="1C87E641">
      <w:pPr>
        <w:pStyle w:val="2"/>
        <w:spacing w:before="0" w:after="0" w:line="360" w:lineRule="auto"/>
        <w:jc w:val="center"/>
        <w:rPr>
          <w:rFonts w:ascii="Times New Roman"/>
          <w:sz w:val="28"/>
          <w:szCs w:val="28"/>
        </w:rPr>
      </w:pPr>
      <w:bookmarkStart w:id="55" w:name="_Toc83391971"/>
      <w:bookmarkStart w:id="56" w:name="_Toc11152"/>
      <w:bookmarkStart w:id="57" w:name="_Toc92377136"/>
      <w:bookmarkStart w:id="58" w:name="_Toc13903"/>
      <w:bookmarkStart w:id="59" w:name="_Toc123112234"/>
      <w:bookmarkStart w:id="60" w:name="_Toc23822"/>
      <w:bookmarkStart w:id="61" w:name="_Toc23261"/>
      <w:bookmarkStart w:id="62" w:name="_Toc4003"/>
      <w:bookmarkStart w:id="63" w:name="_Toc48649707"/>
      <w:bookmarkStart w:id="64" w:name="_Toc123102453"/>
      <w:bookmarkStart w:id="65" w:name="_Toc1427"/>
      <w:bookmarkStart w:id="66" w:name="_Toc98560352"/>
      <w:bookmarkStart w:id="67" w:name="_Toc123051452"/>
      <w:bookmarkStart w:id="68" w:name="_Toc20733"/>
      <w:bookmarkStart w:id="69" w:name="_Toc141703886"/>
      <w:bookmarkStart w:id="70" w:name="_Toc7920"/>
      <w:bookmarkStart w:id="71" w:name="_Toc139991736"/>
      <w:bookmarkStart w:id="72" w:name="_Toc1270"/>
      <w:bookmarkStart w:id="73" w:name="_Toc79154670"/>
      <w:bookmarkStart w:id="74" w:name="_Toc79392606"/>
      <w:bookmarkStart w:id="75" w:name="_Toc10463"/>
      <w:bookmarkStart w:id="76" w:name="_Toc17244"/>
      <w:bookmarkStart w:id="77" w:name="_Toc74065743"/>
      <w:bookmarkStart w:id="78" w:name="_Toc610"/>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55"/>
      <w:bookmarkEnd w:id="56"/>
      <w:bookmarkEnd w:id="57"/>
      <w:bookmarkEnd w:id="58"/>
    </w:p>
    <w:p w14:paraId="497BAF25">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14:paraId="180358D1">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14:paraId="6C322FA1">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14:paraId="717DD9E4">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14:paraId="6B84E17C">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lang w:val="en-US" w:eastAsia="zh-CN"/>
        </w:rPr>
        <w:t>工作日</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rPr>
        <w:t>进行一次估值</w:t>
      </w:r>
      <w:r>
        <w:rPr>
          <w:rFonts w:hint="eastAsia" w:asciiTheme="minorEastAsia" w:hAnsiTheme="minorEastAsia" w:eastAsiaTheme="minorEastAsia"/>
          <w:color w:val="2E3033"/>
          <w:sz w:val="18"/>
          <w:szCs w:val="18"/>
        </w:rPr>
        <w:t>。</w:t>
      </w:r>
    </w:p>
    <w:permEnd w:id="20"/>
    <w:p w14:paraId="320AC40F">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14:paraId="116030D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14:paraId="742D4C43">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14:paraId="7A7D41BC">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14:paraId="3BA33D9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14:paraId="427B657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14:paraId="5D17CAA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14:paraId="545DB827">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14:paraId="0239CAF5">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14:paraId="6CF3171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14:paraId="0A350A2C">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14:paraId="3DC7799C">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14:paraId="3AE6157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14:paraId="66A7084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14:paraId="64AB516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14:paraId="0F0CAA7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14:paraId="6813F7C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14:paraId="4F3418A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14:paraId="24BFD3B5">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14:paraId="5F616471">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14:paraId="180D058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14:paraId="6D2B5E62">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14:paraId="6C8D7C2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14:paraId="57C7247F">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14:paraId="1BF0D311">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14:paraId="48107DA5">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14:paraId="4890129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14:paraId="78CC95F1">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14:paraId="293C66DC">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14:paraId="61019B7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14:paraId="5C67A57A">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14:paraId="25958440">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14:paraId="3039B048">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6EFAD1F6">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14:paraId="09B355B5">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14:paraId="4C41D084">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14:paraId="0F821E4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14:paraId="2D5FD5CF">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14:paraId="714FB20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14:paraId="54B066D1">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14:paraId="76B4B1CE">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14:paraId="0E5EC0E2">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14:paraId="01DF3771">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14:paraId="2EB3F1BC">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14:paraId="6790F32D">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14:paraId="7989327E">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14:paraId="74180B8C">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14:paraId="5DB3D63F">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14:paraId="2DCE627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14:paraId="0091A006">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14:paraId="0A8637DA">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14:paraId="3BFBBDF2">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14:paraId="12C0C38E">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14:paraId="5B0FCBAD">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14:paraId="3D8BA64D">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14:paraId="7B1FF2E4">
      <w:pPr>
        <w:widowControl/>
        <w:spacing w:line="360" w:lineRule="auto"/>
        <w:jc w:val="left"/>
        <w:rPr>
          <w:rFonts w:ascii="宋体" w:hAnsi="宋体"/>
          <w:kern w:val="0"/>
          <w:sz w:val="18"/>
          <w:szCs w:val="18"/>
        </w:rPr>
      </w:pPr>
      <w:r>
        <w:rPr>
          <w:rFonts w:hAnsi="宋体"/>
          <w:sz w:val="18"/>
          <w:szCs w:val="18"/>
        </w:rPr>
        <w:br w:type="page"/>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570B7CF8">
      <w:pPr>
        <w:pStyle w:val="2"/>
        <w:spacing w:before="0" w:after="0" w:line="360" w:lineRule="auto"/>
        <w:ind w:left="60" w:firstLine="10"/>
        <w:jc w:val="center"/>
        <w:rPr>
          <w:rFonts w:ascii="Times New Roman"/>
          <w:sz w:val="30"/>
        </w:rPr>
      </w:pPr>
      <w:bookmarkStart w:id="79" w:name="_Hlt70481650"/>
      <w:bookmarkEnd w:id="79"/>
      <w:bookmarkStart w:id="80" w:name="_Toc31235"/>
      <w:bookmarkStart w:id="81" w:name="_Toc139991737"/>
      <w:bookmarkStart w:id="82" w:name="_Toc14835"/>
      <w:bookmarkStart w:id="83" w:name="_Toc74065744"/>
      <w:bookmarkStart w:id="84" w:name="_Toc98560353"/>
      <w:bookmarkStart w:id="85" w:name="_Toc123102454"/>
      <w:bookmarkStart w:id="86" w:name="_Toc29251"/>
      <w:bookmarkStart w:id="87" w:name="_Toc123051453"/>
      <w:bookmarkStart w:id="88" w:name="_Toc79154671"/>
      <w:bookmarkStart w:id="89" w:name="_Toc31644"/>
      <w:bookmarkStart w:id="90" w:name="_Toc3601"/>
      <w:bookmarkStart w:id="91" w:name="_Toc141703887"/>
      <w:bookmarkStart w:id="92" w:name="_Toc92377137"/>
      <w:bookmarkStart w:id="93" w:name="_Toc26207"/>
      <w:bookmarkStart w:id="94" w:name="_Toc12245"/>
      <w:bookmarkStart w:id="95" w:name="_Toc4020"/>
      <w:bookmarkStart w:id="96" w:name="_Toc31653"/>
      <w:bookmarkStart w:id="97" w:name="_Toc8045"/>
      <w:bookmarkStart w:id="98" w:name="_Toc15143"/>
      <w:bookmarkStart w:id="99" w:name="_Toc123112235"/>
      <w:bookmarkStart w:id="100" w:name="_Toc640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Start w:id="101" w:name="_Hlt55355235"/>
      <w:bookmarkEnd w:id="101"/>
      <w:bookmarkStart w:id="102" w:name="_Toc523711668"/>
      <w:bookmarkStart w:id="103" w:name="_Toc57530239"/>
      <w:bookmarkStart w:id="104" w:name="_Toc79392580"/>
      <w:bookmarkStart w:id="105" w:name="_Toc15118234"/>
    </w:p>
    <w:p w14:paraId="306B75C1">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14:paraId="6F511807">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14:paraId="4924075A">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14:paraId="5B6C8221">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14:paraId="233FD07E">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14:paraId="19993002">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14:paraId="44635AEB">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14:paraId="6AC10685">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14:paraId="2D4D51FC">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14:paraId="637BFF75">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14:paraId="4980F28F">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14:paraId="5AADB8C3">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14:paraId="40DB64CD">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14:paraId="1B901810">
      <w:pPr>
        <w:spacing w:line="360" w:lineRule="auto"/>
        <w:ind w:firstLine="360"/>
        <w:rPr>
          <w:rFonts w:ascii="宋体" w:hAnsi="宋体"/>
          <w:b/>
          <w:sz w:val="18"/>
          <w:szCs w:val="18"/>
        </w:rPr>
      </w:pPr>
      <w:r>
        <w:rPr>
          <w:rFonts w:hint="eastAsia" w:ascii="宋体" w:hAnsi="宋体"/>
          <w:b/>
          <w:kern w:val="0"/>
          <w:sz w:val="18"/>
          <w:szCs w:val="18"/>
        </w:rPr>
        <w:t>（四）理财利益的分配</w:t>
      </w:r>
    </w:p>
    <w:p w14:paraId="648902A0">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14:paraId="7A720DE9">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14:paraId="70EED9DB">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14:paraId="6DDDA04A">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14:paraId="019CFC74">
      <w:pPr>
        <w:widowControl/>
        <w:spacing w:line="360" w:lineRule="auto"/>
        <w:jc w:val="left"/>
        <w:rPr>
          <w:rFonts w:ascii="宋体" w:hAnsi="宋体"/>
          <w:kern w:val="0"/>
          <w:sz w:val="18"/>
          <w:szCs w:val="18"/>
        </w:rPr>
      </w:pPr>
      <w:r>
        <w:rPr>
          <w:rFonts w:hAnsi="宋体"/>
          <w:sz w:val="18"/>
          <w:szCs w:val="18"/>
        </w:rPr>
        <w:br w:type="page"/>
      </w:r>
    </w:p>
    <w:bookmarkEnd w:id="102"/>
    <w:bookmarkEnd w:id="103"/>
    <w:bookmarkEnd w:id="104"/>
    <w:bookmarkEnd w:id="105"/>
    <w:p w14:paraId="2AADC9CA">
      <w:pPr>
        <w:pStyle w:val="2"/>
        <w:spacing w:before="0" w:after="0" w:line="360" w:lineRule="auto"/>
        <w:jc w:val="center"/>
        <w:rPr>
          <w:rFonts w:ascii="Times New Roman"/>
          <w:sz w:val="30"/>
        </w:rPr>
      </w:pPr>
      <w:bookmarkStart w:id="106" w:name="_Hlt88825574"/>
      <w:bookmarkEnd w:id="106"/>
      <w:bookmarkStart w:id="107" w:name="_Hlt88897298"/>
      <w:bookmarkEnd w:id="107"/>
      <w:bookmarkStart w:id="108" w:name="_Toc4559"/>
      <w:bookmarkStart w:id="109" w:name="_Toc6394"/>
      <w:bookmarkStart w:id="110" w:name="_Toc139991738"/>
      <w:bookmarkStart w:id="111" w:name="_Toc98560354"/>
      <w:bookmarkStart w:id="112" w:name="_Toc123102455"/>
      <w:bookmarkStart w:id="113" w:name="_Toc18567"/>
      <w:bookmarkStart w:id="114" w:name="_Toc25783"/>
      <w:bookmarkStart w:id="115" w:name="_Toc123112236"/>
      <w:bookmarkStart w:id="116" w:name="_Toc6447"/>
      <w:bookmarkStart w:id="117" w:name="_Toc10650"/>
      <w:bookmarkStart w:id="118" w:name="_Toc22998"/>
      <w:bookmarkStart w:id="119" w:name="_Toc123051454"/>
      <w:bookmarkStart w:id="120" w:name="_Toc141703888"/>
      <w:bookmarkStart w:id="121" w:name="_Toc3771"/>
      <w:bookmarkStart w:id="122" w:name="_Toc92377138"/>
      <w:bookmarkStart w:id="123" w:name="_Toc74065745"/>
      <w:bookmarkStart w:id="124" w:name="_Toc79392583"/>
      <w:bookmarkStart w:id="125" w:name="_Toc7058"/>
      <w:bookmarkStart w:id="126" w:name="_Toc9706"/>
      <w:bookmarkStart w:id="127" w:name="_Toc3321"/>
      <w:bookmarkStart w:id="128" w:name="_Toc79154672"/>
      <w:bookmarkStart w:id="129" w:name="_Toc11030"/>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3FBF1567">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14:paraId="14FD960C">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14:paraId="21087622">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14:paraId="48BF8313">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14:paraId="1FA64D77">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14:paraId="2DB8ED4F">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14:paraId="5044327D">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14:paraId="6DC668E4">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14:paraId="601167D4">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14:paraId="3389437E">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14:paraId="195ED8C9">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14:paraId="10455B16">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14:paraId="2ED0FF13">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48448204">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152031B0">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14:paraId="42ECD789">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14:paraId="069879E6">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14:paraId="42DBF755">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14:paraId="57F01F03">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1B4D3066">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14:paraId="269229B8">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14:paraId="12B11D6F">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14:paraId="6ABC6525">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1402325F">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14:paraId="302361B5">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14:paraId="0B80F053">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14:paraId="60BB4D26">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14:paraId="2A84A9F1">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14:paraId="04425339">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14:paraId="1705FF20">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14:paraId="1D53F1E5">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14:paraId="6FB5C33C">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14:paraId="266FEC81">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14:paraId="5AB01F86">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14:paraId="4AF0FBE9">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14:paraId="1ED16FD9">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14:paraId="4941958D">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14:paraId="780663AE">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14:paraId="6DD43B4F">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14:paraId="3BFF3548">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14:paraId="55214BC9">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14:paraId="7A34ACB5">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14:paraId="54A5932D">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14:paraId="34CA6039">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14:paraId="1C94D3E2">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14:paraId="5D83B238">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748B13F1">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14:paraId="1A9331FB">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26F47A7A">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14:paraId="4373EFF8">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14:paraId="4B2CCD62">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14:paraId="49F2B298">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14:paraId="7AA86522">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14:paraId="00C3BF2E">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14:paraId="7F601DA9">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14:paraId="7E65039C">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14:paraId="07A2B875">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14:paraId="04BCDF17">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14:paraId="1249E8E3">
      <w:pPr>
        <w:pStyle w:val="2"/>
        <w:spacing w:line="360" w:lineRule="auto"/>
        <w:jc w:val="center"/>
      </w:pPr>
      <w:bookmarkStart w:id="130" w:name="_Toc3963"/>
      <w:bookmarkStart w:id="131" w:name="_Toc1745"/>
      <w:r>
        <w:br w:type="page"/>
      </w:r>
      <w:bookmarkStart w:id="132" w:name="_Toc725"/>
      <w:bookmarkStart w:id="133" w:name="_Toc139991739"/>
      <w:bookmarkStart w:id="134" w:name="_Toc74065746"/>
      <w:bookmarkStart w:id="135" w:name="_Toc123102456"/>
      <w:bookmarkStart w:id="136" w:name="_Toc18206"/>
      <w:bookmarkStart w:id="137" w:name="_Toc79154673"/>
      <w:bookmarkStart w:id="138" w:name="_Toc3080"/>
      <w:bookmarkStart w:id="139" w:name="_Toc16164"/>
      <w:bookmarkStart w:id="140" w:name="_Toc21735"/>
      <w:bookmarkStart w:id="141" w:name="_Toc31821"/>
      <w:bookmarkStart w:id="142" w:name="_Toc123051455"/>
      <w:bookmarkStart w:id="143" w:name="_Toc25397"/>
      <w:bookmarkStart w:id="144" w:name="_Toc92377139"/>
      <w:bookmarkStart w:id="145" w:name="_Toc10398"/>
      <w:bookmarkStart w:id="146" w:name="_Toc123112237"/>
      <w:bookmarkStart w:id="147" w:name="_Toc3572"/>
      <w:bookmarkStart w:id="148" w:name="_Toc5388"/>
      <w:bookmarkStart w:id="149" w:name="_Toc98560355"/>
      <w:bookmarkStart w:id="150" w:name="_Toc141703889"/>
      <w:r>
        <w:rPr>
          <w:rFonts w:hint="eastAsia"/>
          <w:sz w:val="30"/>
        </w:rPr>
        <w:t>第十条</w:t>
      </w:r>
      <w:r>
        <w:rPr>
          <w:sz w:val="30"/>
        </w:rPr>
        <w:t xml:space="preserve">  </w:t>
      </w:r>
      <w:r>
        <w:rPr>
          <w:rFonts w:hint="eastAsia"/>
          <w:sz w:val="30"/>
        </w:rPr>
        <w:t>理财产品的终止与清算</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0880AFD4">
      <w:pPr>
        <w:spacing w:line="360" w:lineRule="auto"/>
        <w:ind w:firstLine="361" w:firstLineChars="200"/>
        <w:rPr>
          <w:rFonts w:asciiTheme="majorEastAsia" w:hAnsiTheme="majorEastAsia" w:eastAsiaTheme="majorEastAsia"/>
          <w:b/>
          <w:bCs/>
          <w:sz w:val="18"/>
          <w:szCs w:val="18"/>
        </w:rPr>
      </w:pPr>
      <w:bookmarkStart w:id="151" w:name="_Toc57530252"/>
      <w:bookmarkStart w:id="152" w:name="_Toc79392593"/>
      <w:bookmarkStart w:id="153" w:name="_Toc15118245"/>
      <w:r>
        <w:rPr>
          <w:rFonts w:hint="eastAsia" w:asciiTheme="majorEastAsia" w:hAnsiTheme="majorEastAsia" w:eastAsiaTheme="majorEastAsia"/>
          <w:b/>
          <w:bCs/>
          <w:sz w:val="18"/>
          <w:szCs w:val="18"/>
        </w:rPr>
        <w:t>（一）理财产品的终止</w:t>
      </w:r>
    </w:p>
    <w:p w14:paraId="4F478897">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14:paraId="07C44627">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14:paraId="27032613">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14:paraId="213404A9">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14:paraId="609A75D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14:paraId="5B62A078">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14:paraId="6B59139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14:paraId="0A83D19F">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14:paraId="25374E19">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14:paraId="6435C6F6">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14:paraId="7D3F05D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14:paraId="03BED2FE">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14:paraId="7ECF28B1">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14:paraId="31010E82">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14:paraId="7E6EA906">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14:paraId="11CD6E64">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14:paraId="38243A0B">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14:paraId="28697E31">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14:paraId="521D6C28">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51"/>
    <w:bookmarkEnd w:id="152"/>
    <w:bookmarkEnd w:id="153"/>
    <w:p w14:paraId="0CBD3EBF">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14:paraId="3B913312">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14:paraId="01A52B76">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14:paraId="66D7ED9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14:paraId="3BDFDE3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14:paraId="2044A0AE">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14:paraId="701F4915">
      <w:pPr>
        <w:pStyle w:val="2"/>
        <w:spacing w:before="0" w:after="0" w:line="360" w:lineRule="auto"/>
        <w:jc w:val="center"/>
        <w:rPr>
          <w:rFonts w:ascii="Times New Roman"/>
          <w:sz w:val="18"/>
          <w:szCs w:val="18"/>
        </w:rPr>
      </w:pPr>
      <w:r>
        <w:rPr>
          <w:rFonts w:ascii="Times New Roman"/>
          <w:b w:val="0"/>
          <w:bCs w:val="0"/>
          <w:kern w:val="2"/>
        </w:rPr>
        <w:br w:type="page"/>
      </w:r>
      <w:bookmarkStart w:id="154" w:name="_Toc92377140"/>
      <w:bookmarkStart w:id="155" w:name="_Toc24268"/>
      <w:bookmarkStart w:id="156" w:name="_Toc7953"/>
      <w:bookmarkStart w:id="157" w:name="_Toc123112238"/>
      <w:bookmarkStart w:id="158" w:name="_Toc32092"/>
      <w:bookmarkStart w:id="159" w:name="_Toc8791"/>
      <w:bookmarkStart w:id="160" w:name="_Toc83391975"/>
      <w:bookmarkStart w:id="161" w:name="_Toc141703890"/>
      <w:bookmarkStart w:id="162" w:name="_Toc3329"/>
      <w:bookmarkStart w:id="163" w:name="_Toc74065747"/>
      <w:bookmarkStart w:id="164" w:name="_Toc21237"/>
      <w:bookmarkStart w:id="165" w:name="_Toc123102457"/>
      <w:bookmarkStart w:id="166" w:name="_Toc5170"/>
      <w:bookmarkStart w:id="167" w:name="_Toc79392622"/>
      <w:bookmarkStart w:id="168" w:name="_Toc123051456"/>
      <w:bookmarkStart w:id="169" w:name="_Toc739"/>
      <w:bookmarkStart w:id="170" w:name="_Toc48649708"/>
      <w:bookmarkStart w:id="171" w:name="_Toc32584"/>
      <w:bookmarkStart w:id="172" w:name="_Toc139991740"/>
      <w:bookmarkStart w:id="173" w:name="_Toc17920"/>
      <w:bookmarkStart w:id="174" w:name="_Toc17198"/>
      <w:bookmarkStart w:id="175" w:name="_Toc29408"/>
      <w:bookmarkStart w:id="176" w:name="_Toc98560356"/>
      <w:bookmarkStart w:id="177" w:name="_Toc79154674"/>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54"/>
      <w:bookmarkEnd w:id="155"/>
      <w:bookmarkEnd w:id="156"/>
    </w:p>
    <w:p w14:paraId="69EB13B6">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14:paraId="1F4F4F0C">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14:paraId="4D7DDE47">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14:paraId="4D091490">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14:paraId="3EDFA11C">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14:paraId="3308BC38">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14:paraId="3DBA3181">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14:paraId="2EAA68E0">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14:paraId="26FB5146">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14:paraId="3508CB1D">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14:paraId="647CFC51">
      <w:pPr>
        <w:spacing w:line="360" w:lineRule="auto"/>
        <w:ind w:firstLine="360" w:firstLineChars="200"/>
        <w:rPr>
          <w:rFonts w:ascii="宋体" w:hAnsi="宋体"/>
          <w:bCs/>
          <w:sz w:val="18"/>
          <w:szCs w:val="18"/>
        </w:rPr>
      </w:pPr>
      <w:r>
        <w:rPr>
          <w:rFonts w:ascii="宋体" w:hAnsi="宋体"/>
          <w:bCs/>
          <w:sz w:val="18"/>
          <w:szCs w:val="18"/>
        </w:rPr>
        <w:t>1.产品成立公告</w:t>
      </w:r>
    </w:p>
    <w:p w14:paraId="34F8B057">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14:paraId="470B6F4C">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14:paraId="33B4C939">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14:paraId="7821B4FB">
      <w:pPr>
        <w:spacing w:line="360" w:lineRule="auto"/>
        <w:ind w:firstLine="360" w:firstLineChars="200"/>
        <w:rPr>
          <w:rFonts w:ascii="宋体" w:hAnsi="宋体"/>
          <w:bCs/>
          <w:sz w:val="18"/>
          <w:szCs w:val="18"/>
        </w:rPr>
      </w:pPr>
      <w:r>
        <w:rPr>
          <w:rFonts w:ascii="宋体" w:hAnsi="宋体"/>
          <w:bCs/>
          <w:sz w:val="18"/>
          <w:szCs w:val="18"/>
        </w:rPr>
        <w:t>3.定期报告</w:t>
      </w:r>
    </w:p>
    <w:p w14:paraId="6A24FAE9">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14:paraId="523435A3">
      <w:pPr>
        <w:spacing w:line="360" w:lineRule="auto"/>
        <w:ind w:firstLine="360" w:firstLineChars="200"/>
        <w:rPr>
          <w:rFonts w:ascii="宋体" w:hAnsi="宋体"/>
          <w:bCs/>
          <w:sz w:val="18"/>
          <w:szCs w:val="18"/>
        </w:rPr>
      </w:pPr>
      <w:r>
        <w:rPr>
          <w:rFonts w:ascii="宋体" w:hAnsi="宋体"/>
          <w:bCs/>
          <w:sz w:val="18"/>
          <w:szCs w:val="18"/>
        </w:rPr>
        <w:t>4.到期公告</w:t>
      </w:r>
    </w:p>
    <w:p w14:paraId="053C36C5">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14:paraId="09FAC14F">
      <w:pPr>
        <w:spacing w:line="360" w:lineRule="auto"/>
        <w:ind w:firstLine="360" w:firstLineChars="200"/>
        <w:rPr>
          <w:rFonts w:ascii="宋体" w:hAnsi="宋体"/>
          <w:bCs/>
          <w:sz w:val="18"/>
          <w:szCs w:val="18"/>
        </w:rPr>
      </w:pPr>
      <w:r>
        <w:rPr>
          <w:rFonts w:ascii="宋体" w:hAnsi="宋体"/>
          <w:bCs/>
          <w:sz w:val="18"/>
          <w:szCs w:val="18"/>
        </w:rPr>
        <w:t>5.开放日公告</w:t>
      </w:r>
    </w:p>
    <w:p w14:paraId="7EC26E35">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14:paraId="28C7B8C8">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14:paraId="5258C264">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工作日</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14:paraId="6AF5F0F8">
      <w:pPr>
        <w:spacing w:line="360" w:lineRule="auto"/>
        <w:ind w:firstLine="360" w:firstLineChars="200"/>
        <w:rPr>
          <w:rFonts w:ascii="宋体" w:hAnsi="宋体"/>
          <w:bCs/>
          <w:sz w:val="18"/>
          <w:szCs w:val="18"/>
        </w:rPr>
      </w:pPr>
      <w:r>
        <w:rPr>
          <w:rFonts w:ascii="宋体" w:hAnsi="宋体"/>
          <w:bCs/>
          <w:sz w:val="18"/>
          <w:szCs w:val="18"/>
        </w:rPr>
        <w:t>7.临时公告</w:t>
      </w:r>
    </w:p>
    <w:p w14:paraId="29089BBB">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14:paraId="4E14E89C">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14:paraId="21964F85">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14:paraId="0BA1A6D2">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14:paraId="77E5B7D3">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14:paraId="221D9D14">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14:paraId="0DF6001A">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14:paraId="01014441">
      <w:pPr>
        <w:spacing w:line="360" w:lineRule="auto"/>
        <w:rPr>
          <w:bCs/>
          <w:sz w:val="24"/>
        </w:rPr>
      </w:pPr>
    </w:p>
    <w:p w14:paraId="7A4A9E63">
      <w:pPr>
        <w:pStyle w:val="2"/>
        <w:spacing w:before="0" w:after="0" w:line="360" w:lineRule="auto"/>
        <w:jc w:val="center"/>
        <w:rPr>
          <w:rFonts w:ascii="Times New Roman"/>
          <w:b w:val="0"/>
          <w:sz w:val="30"/>
        </w:rPr>
      </w:pPr>
      <w:bookmarkStart w:id="178" w:name="_Toc79154675"/>
      <w:bookmarkStart w:id="179" w:name="_Toc8020"/>
      <w:bookmarkStart w:id="180" w:name="_Toc30149"/>
      <w:bookmarkStart w:id="181"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78"/>
      <w:bookmarkEnd w:id="179"/>
      <w:bookmarkEnd w:id="180"/>
      <w:bookmarkEnd w:id="181"/>
    </w:p>
    <w:p w14:paraId="21AA7245">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41548187">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14:paraId="648C9C07">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235C8A4F">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14:paraId="745AEA27">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4DDA806C">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14:paraId="492060EF">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14:paraId="61828EC1">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53EB825A">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2F3FE79A">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14:paraId="376DB393">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23451EED">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14:paraId="452C9AD9">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48B9471D">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14:paraId="43212635">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2E51DCB6">
      <w:pPr>
        <w:spacing w:line="360" w:lineRule="auto"/>
        <w:ind w:firstLine="360" w:firstLineChars="200"/>
        <w:rPr>
          <w:rFonts w:ascii="宋体" w:hAnsi="宋体"/>
          <w:sz w:val="18"/>
          <w:szCs w:val="18"/>
        </w:rPr>
      </w:pPr>
      <w:r>
        <w:rPr>
          <w:rFonts w:hint="eastAsia" w:ascii="宋体" w:hAnsi="宋体"/>
          <w:sz w:val="18"/>
          <w:szCs w:val="18"/>
        </w:rPr>
        <w:t>4.流动性风险</w:t>
      </w:r>
    </w:p>
    <w:p w14:paraId="3FD6E7A4">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6A18CFAC">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14:paraId="1ADB8CF3">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14:paraId="68F966FE">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14:paraId="416F4BFA">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14:paraId="57F7C84C">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14:paraId="6E39D26A">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6FFBDEA3">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14:paraId="6B27C4EE">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14:paraId="47BBC13C">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14:paraId="7C2D701D">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14:paraId="5F35B813">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14:paraId="194357C0">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14:paraId="6CA80FE1">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14:paraId="0964A6E1">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14:paraId="4CC1950E">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14:paraId="02EA0795">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14:paraId="7037A886">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14:paraId="60319371">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14:paraId="681E79ED">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14:paraId="32126E2F">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14:paraId="6861BA92">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14:paraId="76CF100F">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021A872B">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14:paraId="7E8E2DC7">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14:paraId="4FB86A17">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14:paraId="6D467AE9">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14:paraId="2FCBF0AF">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120EC9AE">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14:paraId="780EE3D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14:paraId="11C8BCCA">
            <w:pPr>
              <w:spacing w:line="280" w:lineRule="atLeast"/>
              <w:ind w:firstLine="422"/>
              <w:jc w:val="center"/>
              <w:rPr>
                <w:rFonts w:ascii="宋体" w:hAnsi="宋体" w:cs="Arial"/>
                <w:b/>
                <w:szCs w:val="21"/>
              </w:rPr>
            </w:pPr>
            <w:r>
              <w:rPr>
                <w:rFonts w:hint="eastAsia" w:ascii="宋体" w:hAnsi="宋体" w:cs="Arial"/>
                <w:b/>
                <w:szCs w:val="21"/>
              </w:rPr>
              <w:t>投资者确认栏</w:t>
            </w:r>
          </w:p>
          <w:p w14:paraId="350B576E">
            <w:pPr>
              <w:spacing w:line="360" w:lineRule="auto"/>
              <w:ind w:firstLine="361"/>
              <w:rPr>
                <w:b/>
                <w:sz w:val="18"/>
                <w:szCs w:val="18"/>
              </w:rPr>
            </w:pPr>
          </w:p>
        </w:tc>
      </w:tr>
      <w:tr w14:paraId="06C22FC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14:paraId="7EE47A98">
            <w:pPr>
              <w:spacing w:line="360" w:lineRule="auto"/>
              <w:jc w:val="left"/>
              <w:rPr>
                <w:b/>
                <w:sz w:val="18"/>
                <w:szCs w:val="18"/>
              </w:rPr>
            </w:pPr>
            <w:r>
              <w:rPr>
                <w:rFonts w:hint="eastAsia"/>
                <w:b/>
                <w:sz w:val="18"/>
                <w:szCs w:val="18"/>
              </w:rPr>
              <w:t>个人投资者适用</w:t>
            </w:r>
          </w:p>
        </w:tc>
        <w:tc>
          <w:tcPr>
            <w:tcW w:w="7371" w:type="dxa"/>
          </w:tcPr>
          <w:p w14:paraId="1D3B3EFA">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14:paraId="58E4E9D4">
            <w:pPr>
              <w:spacing w:line="360" w:lineRule="auto"/>
              <w:ind w:firstLine="361"/>
              <w:jc w:val="left"/>
              <w:rPr>
                <w:b/>
                <w:sz w:val="18"/>
                <w:szCs w:val="18"/>
              </w:rPr>
            </w:pPr>
          </w:p>
          <w:p w14:paraId="4D012F38">
            <w:pPr>
              <w:spacing w:line="360" w:lineRule="auto"/>
              <w:ind w:firstLine="360"/>
              <w:jc w:val="left"/>
              <w:rPr>
                <w:sz w:val="18"/>
                <w:szCs w:val="18"/>
              </w:rPr>
            </w:pPr>
            <w:r>
              <w:rPr>
                <w:rFonts w:hint="eastAsia"/>
                <w:sz w:val="18"/>
                <w:szCs w:val="18"/>
              </w:rPr>
              <w:t>日期：</w:t>
            </w:r>
          </w:p>
        </w:tc>
      </w:tr>
      <w:tr w14:paraId="2815ABF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14:paraId="3648E404">
            <w:pPr>
              <w:spacing w:line="360" w:lineRule="auto"/>
              <w:jc w:val="left"/>
              <w:rPr>
                <w:b/>
                <w:sz w:val="18"/>
                <w:szCs w:val="18"/>
              </w:rPr>
            </w:pPr>
            <w:r>
              <w:rPr>
                <w:rFonts w:hint="eastAsia"/>
                <w:b/>
                <w:sz w:val="18"/>
                <w:szCs w:val="18"/>
              </w:rPr>
              <w:t>机构投资者适用</w:t>
            </w:r>
          </w:p>
        </w:tc>
        <w:tc>
          <w:tcPr>
            <w:tcW w:w="7371" w:type="dxa"/>
          </w:tcPr>
          <w:p w14:paraId="6E579D54">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14:paraId="2388534A">
            <w:pPr>
              <w:spacing w:line="360" w:lineRule="auto"/>
              <w:ind w:firstLine="360"/>
              <w:jc w:val="left"/>
              <w:rPr>
                <w:rFonts w:cs="Arial"/>
                <w:sz w:val="18"/>
                <w:szCs w:val="18"/>
              </w:rPr>
            </w:pPr>
          </w:p>
          <w:p w14:paraId="1348BEA9">
            <w:pPr>
              <w:spacing w:line="360" w:lineRule="auto"/>
              <w:ind w:firstLine="360"/>
              <w:jc w:val="left"/>
              <w:rPr>
                <w:rFonts w:cs="Arial"/>
                <w:sz w:val="18"/>
                <w:szCs w:val="18"/>
              </w:rPr>
            </w:pPr>
            <w:r>
              <w:rPr>
                <w:rFonts w:hint="eastAsia" w:cs="Arial"/>
                <w:sz w:val="18"/>
                <w:szCs w:val="18"/>
              </w:rPr>
              <w:t>投资者法定代表人或授权代理人（签名/盖章/线上确认）：</w:t>
            </w:r>
          </w:p>
          <w:p w14:paraId="5EEF2C2B">
            <w:pPr>
              <w:spacing w:line="360" w:lineRule="auto"/>
              <w:ind w:firstLine="360"/>
              <w:jc w:val="left"/>
              <w:rPr>
                <w:sz w:val="18"/>
                <w:szCs w:val="18"/>
              </w:rPr>
            </w:pPr>
            <w:r>
              <w:rPr>
                <w:rFonts w:hint="eastAsia"/>
                <w:sz w:val="18"/>
                <w:szCs w:val="18"/>
              </w:rPr>
              <w:t>日期：</w:t>
            </w:r>
          </w:p>
        </w:tc>
      </w:tr>
    </w:tbl>
    <w:p w14:paraId="01ECEDCC">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14:paraId="17DCA63C">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14:paraId="52C2CCC9">
        <w:pPr>
          <w:pStyle w:val="14"/>
          <w:jc w:val="center"/>
        </w:pPr>
        <w:r>
          <w:fldChar w:fldCharType="begin"/>
        </w:r>
        <w:r>
          <w:instrText xml:space="preserve"> PAGE   \* MERGEFORMAT </w:instrText>
        </w:r>
        <w:r>
          <w:fldChar w:fldCharType="separate"/>
        </w:r>
        <w:r>
          <w:rPr>
            <w:lang w:val="zh-CN"/>
          </w:rPr>
          <w:t>3</w:t>
        </w:r>
        <w:r>
          <w:fldChar w:fldCharType="end"/>
        </w:r>
      </w:p>
    </w:sdtContent>
  </w:sdt>
  <w:p w14:paraId="05743F87">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7001B">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14:paraId="034A0430">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14:paraId="151D1718">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dit="readOnly" w:enforcement="1" w:cryptProviderType="rsaAES" w:cryptAlgorithmClass="hash" w:cryptAlgorithmType="typeAny" w:cryptAlgorithmSid="14" w:cryptSpinCount="100000" w:hash="LEhBznEj/90Ime5CXftt9kU7cCey0pmpL04tWvFH+AwaTQjWzeauc5FRg5lMo3jCxIFjSk5E8jYc+ov3fQAPXg==" w:salt="EWBtnVIAbUVeypKMTLA/9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1501"/>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3BD6"/>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97F91"/>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4F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A6C62"/>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4FB"/>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77FBD"/>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16D56"/>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024"/>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3A9D"/>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2CD3CD7"/>
    <w:rsid w:val="0356786B"/>
    <w:rsid w:val="046E31C1"/>
    <w:rsid w:val="056C4F65"/>
    <w:rsid w:val="068063ED"/>
    <w:rsid w:val="06F4696E"/>
    <w:rsid w:val="07245E56"/>
    <w:rsid w:val="07B375FA"/>
    <w:rsid w:val="07C8537C"/>
    <w:rsid w:val="091A2A4C"/>
    <w:rsid w:val="0A674F0A"/>
    <w:rsid w:val="0C023D8C"/>
    <w:rsid w:val="0C225D7B"/>
    <w:rsid w:val="0E0A69F0"/>
    <w:rsid w:val="0E202D33"/>
    <w:rsid w:val="0E9022D3"/>
    <w:rsid w:val="0E94232E"/>
    <w:rsid w:val="0F1306D5"/>
    <w:rsid w:val="10716B0D"/>
    <w:rsid w:val="11295396"/>
    <w:rsid w:val="117779D1"/>
    <w:rsid w:val="12F56293"/>
    <w:rsid w:val="163A1B23"/>
    <w:rsid w:val="163E2FB7"/>
    <w:rsid w:val="17622796"/>
    <w:rsid w:val="181C08FC"/>
    <w:rsid w:val="19F32D28"/>
    <w:rsid w:val="1A48157B"/>
    <w:rsid w:val="1AAA799F"/>
    <w:rsid w:val="1B9930ED"/>
    <w:rsid w:val="1BD70953"/>
    <w:rsid w:val="1BF87698"/>
    <w:rsid w:val="1D1260D5"/>
    <w:rsid w:val="1E585AB7"/>
    <w:rsid w:val="1E8075A1"/>
    <w:rsid w:val="1EB160C2"/>
    <w:rsid w:val="1FA97B1F"/>
    <w:rsid w:val="1FF145B9"/>
    <w:rsid w:val="2193546F"/>
    <w:rsid w:val="25D666CE"/>
    <w:rsid w:val="26F50BA9"/>
    <w:rsid w:val="27BD5E26"/>
    <w:rsid w:val="280E7F0B"/>
    <w:rsid w:val="282E38A8"/>
    <w:rsid w:val="285E4249"/>
    <w:rsid w:val="29026D00"/>
    <w:rsid w:val="29AF0175"/>
    <w:rsid w:val="2B9A4445"/>
    <w:rsid w:val="2BDF7704"/>
    <w:rsid w:val="2BE665FD"/>
    <w:rsid w:val="2EA644DF"/>
    <w:rsid w:val="2F3464D5"/>
    <w:rsid w:val="2F617642"/>
    <w:rsid w:val="2F8B145B"/>
    <w:rsid w:val="2FB532A0"/>
    <w:rsid w:val="3198116E"/>
    <w:rsid w:val="319C4BEA"/>
    <w:rsid w:val="338472B6"/>
    <w:rsid w:val="34C829B2"/>
    <w:rsid w:val="35381804"/>
    <w:rsid w:val="36146FAD"/>
    <w:rsid w:val="37C414AB"/>
    <w:rsid w:val="38051411"/>
    <w:rsid w:val="386A3F56"/>
    <w:rsid w:val="38777E2D"/>
    <w:rsid w:val="3A810EF7"/>
    <w:rsid w:val="3A842191"/>
    <w:rsid w:val="3ACF0F3F"/>
    <w:rsid w:val="3B7626CB"/>
    <w:rsid w:val="3BC9324A"/>
    <w:rsid w:val="3C3802E9"/>
    <w:rsid w:val="3DA51C15"/>
    <w:rsid w:val="3E586AB8"/>
    <w:rsid w:val="3E5C1B1D"/>
    <w:rsid w:val="3EA127C3"/>
    <w:rsid w:val="3EAE14E9"/>
    <w:rsid w:val="3FD261A6"/>
    <w:rsid w:val="403A056B"/>
    <w:rsid w:val="407C0C49"/>
    <w:rsid w:val="41396A16"/>
    <w:rsid w:val="41F507D6"/>
    <w:rsid w:val="42EB2F9C"/>
    <w:rsid w:val="45226963"/>
    <w:rsid w:val="472F43A7"/>
    <w:rsid w:val="477C2F5C"/>
    <w:rsid w:val="499C5ED6"/>
    <w:rsid w:val="49CF7D54"/>
    <w:rsid w:val="4AA5323D"/>
    <w:rsid w:val="4C2C356F"/>
    <w:rsid w:val="4D39606F"/>
    <w:rsid w:val="4E1B4560"/>
    <w:rsid w:val="4EC643F0"/>
    <w:rsid w:val="4F137BD5"/>
    <w:rsid w:val="4F226909"/>
    <w:rsid w:val="4F8E3D4D"/>
    <w:rsid w:val="50F87284"/>
    <w:rsid w:val="53063B85"/>
    <w:rsid w:val="533C1961"/>
    <w:rsid w:val="53B3493A"/>
    <w:rsid w:val="54560EDE"/>
    <w:rsid w:val="545B2A54"/>
    <w:rsid w:val="546A2A85"/>
    <w:rsid w:val="5537323C"/>
    <w:rsid w:val="55855837"/>
    <w:rsid w:val="55E83741"/>
    <w:rsid w:val="56254863"/>
    <w:rsid w:val="56503211"/>
    <w:rsid w:val="56AA58EF"/>
    <w:rsid w:val="570D32AC"/>
    <w:rsid w:val="58486899"/>
    <w:rsid w:val="598B567E"/>
    <w:rsid w:val="5C624734"/>
    <w:rsid w:val="5DDB68FD"/>
    <w:rsid w:val="5FE91ABC"/>
    <w:rsid w:val="60EB32EA"/>
    <w:rsid w:val="60F450FB"/>
    <w:rsid w:val="61CF16A9"/>
    <w:rsid w:val="61DF50C6"/>
    <w:rsid w:val="628E734C"/>
    <w:rsid w:val="62BD3A82"/>
    <w:rsid w:val="63AA1273"/>
    <w:rsid w:val="652B25DB"/>
    <w:rsid w:val="6580603B"/>
    <w:rsid w:val="66A34D18"/>
    <w:rsid w:val="67364084"/>
    <w:rsid w:val="679B508E"/>
    <w:rsid w:val="67B229F1"/>
    <w:rsid w:val="682A44E1"/>
    <w:rsid w:val="683F56D5"/>
    <w:rsid w:val="68C7223A"/>
    <w:rsid w:val="68EF6886"/>
    <w:rsid w:val="69867C07"/>
    <w:rsid w:val="69871E4C"/>
    <w:rsid w:val="69B55DD6"/>
    <w:rsid w:val="6AAD6877"/>
    <w:rsid w:val="6AF119DE"/>
    <w:rsid w:val="6B3F3089"/>
    <w:rsid w:val="6B4C22ED"/>
    <w:rsid w:val="6C2B2E22"/>
    <w:rsid w:val="6CC3189B"/>
    <w:rsid w:val="6EAA7DFD"/>
    <w:rsid w:val="6EBB2CD0"/>
    <w:rsid w:val="6EE25628"/>
    <w:rsid w:val="6FDD1093"/>
    <w:rsid w:val="6FFA325A"/>
    <w:rsid w:val="709C0126"/>
    <w:rsid w:val="70E22664"/>
    <w:rsid w:val="71B948C7"/>
    <w:rsid w:val="75697486"/>
    <w:rsid w:val="76022652"/>
    <w:rsid w:val="768501BE"/>
    <w:rsid w:val="76C8601E"/>
    <w:rsid w:val="77150144"/>
    <w:rsid w:val="78024344"/>
    <w:rsid w:val="79E61650"/>
    <w:rsid w:val="79FA55C2"/>
    <w:rsid w:val="7A6A180C"/>
    <w:rsid w:val="7B426088"/>
    <w:rsid w:val="7BEA1CFE"/>
    <w:rsid w:val="7D803772"/>
    <w:rsid w:val="7D80556D"/>
    <w:rsid w:val="7E3713F1"/>
    <w:rsid w:val="7E4F4A9F"/>
    <w:rsid w:val="7E510E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37214-9E52-4241-8DD2-9E9CD9442006}">
  <ds:schemaRefs/>
</ds:datastoreItem>
</file>

<file path=customXml/itemProps10.xml><?xml version="1.0" encoding="utf-8"?>
<ds:datastoreItem xmlns:ds="http://schemas.openxmlformats.org/officeDocument/2006/customXml" ds:itemID="{D902962D-C8CC-43BF-804A-CD60AE6D7475}">
  <ds:schemaRefs/>
</ds:datastoreItem>
</file>

<file path=customXml/itemProps11.xml><?xml version="1.0" encoding="utf-8"?>
<ds:datastoreItem xmlns:ds="http://schemas.openxmlformats.org/officeDocument/2006/customXml" ds:itemID="{E6D3D55C-3DD8-4C31-8069-E5508DD844FB}">
  <ds:schemaRefs/>
</ds:datastoreItem>
</file>

<file path=customXml/itemProps12.xml><?xml version="1.0" encoding="utf-8"?>
<ds:datastoreItem xmlns:ds="http://schemas.openxmlformats.org/officeDocument/2006/customXml" ds:itemID="{1990A2D8-324F-45D5-B9CD-07245ED2860B}">
  <ds:schemaRefs/>
</ds:datastoreItem>
</file>

<file path=customXml/itemProps13.xml><?xml version="1.0" encoding="utf-8"?>
<ds:datastoreItem xmlns:ds="http://schemas.openxmlformats.org/officeDocument/2006/customXml" ds:itemID="{7E5C9D84-6DB6-48FB-8632-D5279FC233C8}">
  <ds:schemaRefs/>
</ds:datastoreItem>
</file>

<file path=customXml/itemProps14.xml><?xml version="1.0" encoding="utf-8"?>
<ds:datastoreItem xmlns:ds="http://schemas.openxmlformats.org/officeDocument/2006/customXml" ds:itemID="{CF487381-D648-48A1-B1E4-A4540B0D3650}">
  <ds:schemaRefs/>
</ds:datastoreItem>
</file>

<file path=customXml/itemProps15.xml><?xml version="1.0" encoding="utf-8"?>
<ds:datastoreItem xmlns:ds="http://schemas.openxmlformats.org/officeDocument/2006/customXml" ds:itemID="{2108FF18-8EC8-4170-A536-1AA8E39CC797}">
  <ds:schemaRefs/>
</ds:datastoreItem>
</file>

<file path=customXml/itemProps16.xml><?xml version="1.0" encoding="utf-8"?>
<ds:datastoreItem xmlns:ds="http://schemas.openxmlformats.org/officeDocument/2006/customXml" ds:itemID="{1A3BDF38-4832-4575-A8AB-7A1679738229}">
  <ds:schemaRefs/>
</ds:datastoreItem>
</file>

<file path=customXml/itemProps17.xml><?xml version="1.0" encoding="utf-8"?>
<ds:datastoreItem xmlns:ds="http://schemas.openxmlformats.org/officeDocument/2006/customXml" ds:itemID="{A06CD169-7F5C-4082-81B2-6ECAA9AF6149}">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BEEE0313-55EB-45FA-BBBD-C0232D367255}">
  <ds:schemaRefs/>
</ds:datastoreItem>
</file>

<file path=customXml/itemProps4.xml><?xml version="1.0" encoding="utf-8"?>
<ds:datastoreItem xmlns:ds="http://schemas.openxmlformats.org/officeDocument/2006/customXml" ds:itemID="{9114D43D-ED98-4C7B-A3AE-26D78B80CA82}">
  <ds:schemaRefs/>
</ds:datastoreItem>
</file>

<file path=customXml/itemProps5.xml><?xml version="1.0" encoding="utf-8"?>
<ds:datastoreItem xmlns:ds="http://schemas.openxmlformats.org/officeDocument/2006/customXml" ds:itemID="{AC86F3EB-DB57-4B60-8A7E-BBB67A22EE0B}">
  <ds:schemaRefs/>
</ds:datastoreItem>
</file>

<file path=customXml/itemProps6.xml><?xml version="1.0" encoding="utf-8"?>
<ds:datastoreItem xmlns:ds="http://schemas.openxmlformats.org/officeDocument/2006/customXml" ds:itemID="{3A3C3A8D-C5E4-45AF-8B48-C3BF528808AD}">
  <ds:schemaRefs/>
</ds:datastoreItem>
</file>

<file path=customXml/itemProps7.xml><?xml version="1.0" encoding="utf-8"?>
<ds:datastoreItem xmlns:ds="http://schemas.openxmlformats.org/officeDocument/2006/customXml" ds:itemID="{EC45DDBE-A426-47CA-BC62-D025DE29F1BC}">
  <ds:schemaRefs/>
</ds:datastoreItem>
</file>

<file path=customXml/itemProps8.xml><?xml version="1.0" encoding="utf-8"?>
<ds:datastoreItem xmlns:ds="http://schemas.openxmlformats.org/officeDocument/2006/customXml" ds:itemID="{0A7AA9EF-3B8C-4BAA-9155-A6E3E5337D3C}">
  <ds:schemaRefs/>
</ds:datastoreItem>
</file>

<file path=customXml/itemProps9.xml><?xml version="1.0" encoding="utf-8"?>
<ds:datastoreItem xmlns:ds="http://schemas.openxmlformats.org/officeDocument/2006/customXml" ds:itemID="{24DDAF5F-E497-4A15-8EE8-E04A5CE4226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40</Pages>
  <Words>6021</Words>
  <Characters>6165</Characters>
  <Lines>204</Lines>
  <Paragraphs>57</Paragraphs>
  <TotalTime>11</TotalTime>
  <ScaleCrop>false</ScaleCrop>
  <LinksUpToDate>false</LinksUpToDate>
  <CharactersWithSpaces>6259</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滴滴哒</cp:lastModifiedBy>
  <cp:lastPrinted>2022-01-18T08:37:00Z</cp:lastPrinted>
  <dcterms:modified xsi:type="dcterms:W3CDTF">2025-09-15T11:29:25Z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AE677AC761444D5F8D82D22E89038171_13</vt:lpwstr>
  </property>
</Properties>
</file>