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平安理财灵活成长添利日开7天持有2号固收类理财产品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平安理财灵活成长添利日开7天持有2号固收类理财产品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平安理财灵活成长添利日开7天持有2号固收类理财产品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平安理财灵活成长添利日开7天持有2号固收类理财产品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平安理财灵活成长添利日开7天持有2号固收类理财产品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平安理财灵活成长添利日开7天持有2号固收类理财产品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Cs w:val="21"/>
              </w:rPr>
              <w:t>LZTG</w:t>
            </w:r>
            <w:r>
              <w:rPr>
                <w:rFonts w:hint="eastAsia" w:ascii="Arial" w:hAnsi="Arial" w:cs="Arial"/>
                <w:color w:val="000000"/>
                <w:szCs w:val="21"/>
                <w:lang w:val="en-US" w:eastAsia="zh-CN"/>
              </w:rPr>
              <w:t>007</w:t>
            </w:r>
            <w:r>
              <w:rPr>
                <w:rFonts w:hint="default" w:ascii="Arial" w:hAnsi="Arial" w:cs="Arial"/>
                <w:color w:val="000000"/>
                <w:szCs w:val="21"/>
              </w:rPr>
              <w:t>00</w:t>
            </w:r>
            <w:r>
              <w:rPr>
                <w:rFonts w:hint="eastAsia" w:ascii="Arial" w:hAnsi="Arial" w:cs="Arial"/>
                <w:color w:val="000000"/>
                <w:szCs w:val="21"/>
                <w:lang w:val="en-US" w:eastAsia="zh-CN"/>
              </w:rPr>
              <w:t>2</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平安理财有限责任公司，以下简称</w:t>
            </w:r>
            <w:r>
              <w:rPr>
                <w:rFonts w:hint="eastAsia" w:ascii="Arial" w:hAnsi="Arial" w:cs="Arial"/>
                <w:color w:val="000000"/>
                <w:sz w:val="22"/>
                <w:szCs w:val="22"/>
              </w:rPr>
              <w:t>“</w:t>
            </w:r>
            <w:r>
              <w:rPr>
                <w:rFonts w:hint="default"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平安银行股份有限公司，以下简称</w:t>
            </w:r>
            <w:r>
              <w:rPr>
                <w:rFonts w:hint="eastAsia" w:ascii="Arial" w:hAnsi="Arial" w:cs="Arial"/>
                <w:color w:val="000000"/>
                <w:sz w:val="22"/>
                <w:szCs w:val="22"/>
              </w:rPr>
              <w:t>“</w:t>
            </w:r>
            <w:r>
              <w:rPr>
                <w:rFonts w:hint="default" w:ascii="Arial" w:hAnsi="Arial" w:cs="Arial"/>
                <w:color w:val="000000"/>
                <w:sz w:val="22"/>
                <w:szCs w:val="22"/>
              </w:rPr>
              <w:t>平安银行</w:t>
            </w:r>
            <w:r>
              <w:rPr>
                <w:rFonts w:hint="eastAsia"/>
              </w:rPr>
              <w:t>”</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default"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【Z7003324000804</w:t>
            </w:r>
            <w:bookmarkStart w:id="4" w:name="_GoBack"/>
            <w:bookmarkEnd w:id="4"/>
            <w:r>
              <w:rPr>
                <w:rFonts w:hint="eastAsia" w:ascii="Arial" w:hAnsi="Arial" w:cs="Arial"/>
                <w:color w:val="000000"/>
                <w:sz w:val="22"/>
                <w:szCs w:val="22"/>
              </w:rPr>
              <w:t>】</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w:t>
            </w:r>
            <w:r>
              <w:rPr>
                <w:rFonts w:hint="eastAsia" w:ascii="Arial" w:hAnsi="Arial" w:cs="Arial"/>
                <w:color w:val="000000"/>
                <w:sz w:val="22"/>
                <w:szCs w:val="22"/>
              </w:rPr>
              <w:t>管理人</w:t>
            </w:r>
            <w:r>
              <w:rPr>
                <w:rFonts w:hint="default"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管理人</w:t>
            </w:r>
            <w:r>
              <w:rPr>
                <w:rFonts w:hint="default" w:ascii="Arial" w:hAnsi="Arial" w:cs="Arial"/>
                <w:color w:val="000000"/>
                <w:sz w:val="22"/>
                <w:szCs w:val="22"/>
              </w:rPr>
              <w:t>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w:t>
            </w:r>
            <w:r>
              <w:rPr>
                <w:rFonts w:hint="eastAsia" w:ascii="Arial" w:hAnsi="Arial" w:cs="Arial"/>
                <w:b/>
                <w:color w:val="000000"/>
                <w:sz w:val="22"/>
                <w:szCs w:val="22"/>
              </w:rPr>
              <w:t>“稳健型”、“平衡型”、“成长型”、“进取型”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（3）代销机构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（4）适合的投资者</w:t>
            </w:r>
          </w:p>
          <w:p>
            <w:pPr>
              <w:keepNext w:val="0"/>
              <w:keepLines w:val="0"/>
              <w:suppressLineNumbers w:val="0"/>
              <w:spacing w:before="0" w:beforeAutospacing="0" w:after="0" w:afterAutospacing="0" w:line="360" w:lineRule="auto"/>
              <w:ind w:left="105" w:leftChars="50" w:right="105" w:rightChars="50"/>
              <w:rPr>
                <w:rFonts w:hint="eastAsia" w:ascii="Arial" w:hAnsi="Arial" w:cs="Arial"/>
                <w:sz w:val="22"/>
                <w:szCs w:val="22"/>
              </w:rPr>
            </w:pPr>
            <w:r>
              <w:rPr>
                <w:rFonts w:hint="eastAsia" w:ascii="Arial" w:hAnsi="Arial" w:cs="Arial"/>
                <w:sz w:val="22"/>
                <w:szCs w:val="22"/>
              </w:rPr>
              <w:t>（5）销售费率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default" w:ascii="Arial" w:hAnsi="Arial" w:cs="Arial"/>
                <w:sz w:val="22"/>
                <w:szCs w:val="22"/>
              </w:rPr>
              <w:t>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eastAsia="宋体" w:cs="Arial"/>
                <w:kern w:val="2"/>
                <w:sz w:val="22"/>
                <w:szCs w:val="22"/>
                <w:lang w:val="en-US" w:eastAsia="zh-CN" w:bidi="ar"/>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r>
              <w:rPr>
                <w:rFonts w:hint="default" w:ascii="Arial" w:hAnsi="Arial" w:cs="Arial"/>
                <w:sz w:val="22"/>
                <w:szCs w:val="22"/>
              </w:rPr>
              <w:t>管理人有权调整发行规模上限，具体发行规模以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b/>
                <w:sz w:val="22"/>
                <w:szCs w:val="22"/>
              </w:rPr>
            </w:pPr>
            <w:r>
              <w:rPr>
                <w:rFonts w:hint="eastAsia"/>
                <w:b/>
                <w:sz w:val="22"/>
                <w:szCs w:val="22"/>
              </w:rPr>
              <w:t>本理财产品各类份额的业绩比较基准以管理人公布的份额公告为准。</w:t>
            </w:r>
          </w:p>
          <w:p>
            <w:pPr>
              <w:keepNext w:val="0"/>
              <w:keepLines w:val="0"/>
              <w:suppressLineNumbers w:val="0"/>
              <w:spacing w:before="0" w:beforeAutospacing="0" w:after="0" w:afterAutospacing="0" w:line="360" w:lineRule="auto"/>
              <w:ind w:left="105" w:leftChars="50" w:right="105" w:rightChars="50"/>
              <w:rPr>
                <w:rFonts w:hint="eastAsia"/>
                <w:b/>
                <w:sz w:val="22"/>
                <w:szCs w:val="22"/>
              </w:rPr>
            </w:pPr>
            <w:r>
              <w:rPr>
                <w:rFonts w:hint="eastAsia"/>
                <w:b/>
                <w:sz w:val="22"/>
                <w:szCs w:val="22"/>
              </w:rPr>
              <w:t>本理财产品以中短久期债券为基础仓位，密切关注债券市场和货币市场运行状况与风险收益特征，将不低于80%的资金投资于</w:t>
            </w:r>
            <w:r>
              <w:rPr>
                <w:rFonts w:hint="eastAsia" w:ascii="Arial" w:hAnsi="Arial" w:cs="Arial"/>
                <w:b/>
                <w:kern w:val="0"/>
                <w:sz w:val="22"/>
                <w:szCs w:val="22"/>
              </w:rPr>
              <w:t>固定收益</w:t>
            </w:r>
            <w:r>
              <w:rPr>
                <w:rFonts w:hint="eastAsia"/>
                <w:b/>
                <w:sz w:val="22"/>
                <w:szCs w:val="22"/>
              </w:rPr>
              <w:t>类资产，将不低于5%资金投资于现金或到期日在一年以内的国债、中央银行票据和政策性金融债券。其中</w:t>
            </w:r>
            <w:r>
              <w:rPr>
                <w:rFonts w:hint="eastAsia" w:ascii="Arial" w:hAnsi="Arial" w:cs="Arial"/>
                <w:b/>
                <w:kern w:val="0"/>
                <w:sz w:val="22"/>
                <w:szCs w:val="22"/>
              </w:rPr>
              <w:t>固定收益</w:t>
            </w:r>
            <w:r>
              <w:rPr>
                <w:rFonts w:hint="eastAsia"/>
                <w:b/>
                <w:sz w:val="22"/>
                <w:szCs w:val="22"/>
              </w:rPr>
              <w:t>类资产测算收益参考中债综合财富（1-3</w:t>
            </w:r>
            <w:r>
              <w:rPr>
                <w:rFonts w:hint="eastAsia"/>
                <w:b/>
                <w:sz w:val="22"/>
                <w:szCs w:val="22"/>
                <w:lang w:val="en-US" w:eastAsia="zh-CN"/>
              </w:rPr>
              <w:t>年</w:t>
            </w:r>
            <w:r>
              <w:rPr>
                <w:rFonts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日9:30</w:t>
            </w:r>
            <w:r>
              <w:rPr>
                <w:rFonts w:hint="eastAsia" w:ascii="Arial" w:hAnsi="Arial" w:cs="Arial"/>
                <w:sz w:val="22"/>
                <w:szCs w:val="22"/>
              </w:rPr>
              <w:t>（含）</w:t>
            </w:r>
            <w:r>
              <w:rPr>
                <w:rFonts w:hint="default" w:ascii="Arial" w:hAnsi="Arial" w:cs="Arial"/>
                <w:sz w:val="22"/>
                <w:szCs w:val="22"/>
              </w:rPr>
              <w:t xml:space="preserve"> -</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w:t>
            </w:r>
            <w:r>
              <w:rPr>
                <w:rFonts w:hint="default" w:ascii="Arial" w:hAnsi="Arial" w:cs="Arial"/>
                <w:sz w:val="22"/>
                <w:szCs w:val="22"/>
              </w:rPr>
              <w:t>不含</w:t>
            </w:r>
            <w:r>
              <w:rPr>
                <w:rFonts w:hint="eastAsia" w:ascii="Arial" w:hAnsi="Arial" w:cs="Arial"/>
                <w:sz w:val="22"/>
                <w:szCs w:val="22"/>
              </w:rPr>
              <w:t>）</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rPr>
              <w:t>4】</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9</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30</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7</w:t>
            </w:r>
            <w:r>
              <w:rPr>
                <w:rFonts w:hint="default" w:ascii="Arial" w:hAnsi="Arial" w:cs="Arial"/>
                <w:sz w:val="22"/>
                <w:szCs w:val="22"/>
              </w:rPr>
              <w:t>个自然日，最短持有期结束日为第T+</w:t>
            </w:r>
            <w:r>
              <w:rPr>
                <w:rFonts w:hint="eastAsia" w:ascii="Arial" w:hAnsi="Arial" w:cs="Arial"/>
                <w:sz w:val="22"/>
                <w:szCs w:val="22"/>
                <w:lang w:val="en-US" w:eastAsia="zh-CN"/>
              </w:rPr>
              <w:t>7</w:t>
            </w:r>
            <w:r>
              <w:rPr>
                <w:rFonts w:hint="default" w:ascii="Arial" w:hAnsi="Arial" w:cs="Arial"/>
                <w:sz w:val="22"/>
                <w:szCs w:val="22"/>
              </w:rPr>
              <w:t>个自然日，若第T+</w:t>
            </w:r>
            <w:r>
              <w:rPr>
                <w:rFonts w:hint="eastAsia" w:ascii="Arial" w:hAnsi="Arial" w:cs="Arial"/>
                <w:sz w:val="22"/>
                <w:szCs w:val="22"/>
                <w:lang w:val="en-US" w:eastAsia="zh-CN"/>
              </w:rPr>
              <w:t>7</w:t>
            </w:r>
            <w:r>
              <w:rPr>
                <w:rFonts w:hint="default" w:ascii="Arial" w:hAnsi="Arial" w:cs="Arial"/>
                <w:sz w:val="22"/>
                <w:szCs w:val="22"/>
              </w:rPr>
              <w:t>个自然日为非开放日则顺延至下一开放日。投资者可在认/申购份额确认后于最短持有期结束日（含）及后续每个开放日申请赎回。</w:t>
            </w:r>
          </w:p>
          <w:p>
            <w:pPr>
              <w:keepNext w:val="0"/>
              <w:keepLines w:val="0"/>
              <w:suppressLineNumbers w:val="0"/>
              <w:snapToGrid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7</w:t>
            </w:r>
            <w:r>
              <w:rPr>
                <w:rFonts w:hint="default" w:ascii="Arial" w:hAnsi="Arial" w:cs="Arial"/>
                <w:sz w:val="22"/>
                <w:szCs w:val="22"/>
              </w:rPr>
              <w:t>个自然日。具体以产品说明书相关约定为准。以上规则如有调整，以管理人公告为准。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2</w:t>
            </w:r>
            <w:r>
              <w:rPr>
                <w:rFonts w:hint="eastAsia" w:ascii="Arial" w:hAnsi="Arial" w:cs="Arial"/>
                <w:sz w:val="22"/>
                <w:szCs w:val="22"/>
              </w:rPr>
              <w:t>个交易日内转入投资者账户。详细内容见“四、产品交易规则”。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w:t>
            </w:r>
            <w:r>
              <w:rPr>
                <w:rFonts w:hint="eastAsia" w:ascii="Arial" w:hAnsi="Arial" w:cs="Arial"/>
                <w:b/>
                <w:sz w:val="22"/>
                <w:szCs w:val="22"/>
                <w:lang w:val="en-US" w:eastAsia="zh-CN"/>
              </w:rPr>
              <w:t>6</w:t>
            </w:r>
            <w:r>
              <w:rPr>
                <w:rFonts w:hint="eastAsia" w:ascii="Arial" w:hAnsi="Arial" w:cs="Arial"/>
                <w:b/>
                <w:sz w:val="22"/>
                <w:szCs w:val="22"/>
              </w:rPr>
              <w:t>:00。投资者通过不同销售服务机构办理申购、赎回业务的，可能会因不同销售服务机构的申购、赎回规则不同对权益产生影响。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w:t>
            </w:r>
            <w:r>
              <w:rPr>
                <w:rFonts w:hint="eastAsia" w:ascii="Arial" w:hAnsi="Arial" w:cs="Arial"/>
                <w:sz w:val="22"/>
                <w:szCs w:val="22"/>
              </w:rPr>
              <w:t>管理人</w:t>
            </w:r>
            <w:r>
              <w:rPr>
                <w:rFonts w:hint="default" w:ascii="Arial" w:hAnsi="Arial" w:cs="Arial"/>
                <w:sz w:val="22"/>
                <w:szCs w:val="22"/>
              </w:rPr>
              <w:t>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w:t>
            </w:r>
            <w:r>
              <w:rPr>
                <w:rFonts w:hint="eastAsia" w:ascii="Arial" w:hAnsi="Arial" w:cs="Arial"/>
                <w:sz w:val="22"/>
                <w:szCs w:val="22"/>
              </w:rPr>
              <w:t>管理人</w:t>
            </w:r>
            <w:r>
              <w:rPr>
                <w:rFonts w:hint="default"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w:t>
            </w:r>
            <w:r>
              <w:rPr>
                <w:rFonts w:hint="default" w:ascii="Arial" w:hAnsi="Arial" w:cs="Arial"/>
                <w:sz w:val="22"/>
                <w:szCs w:val="22"/>
              </w:rPr>
              <w:t>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w:t>
            </w:r>
            <w:r>
              <w:rPr>
                <w:rFonts w:hint="default" w:ascii="Arial" w:hAnsi="Arial" w:cs="Arial"/>
                <w:sz w:val="22"/>
                <w:szCs w:val="22"/>
              </w:rPr>
              <w:t>资金不计</w:t>
            </w:r>
            <w:r>
              <w:rPr>
                <w:rFonts w:hint="eastAsia" w:ascii="Arial" w:hAnsi="Arial" w:cs="Arial"/>
                <w:sz w:val="22"/>
                <w:szCs w:val="22"/>
              </w:rPr>
              <w:t>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若本理财产品所投资的金融</w:t>
            </w:r>
            <w:r>
              <w:rPr>
                <w:rFonts w:hint="eastAsia" w:ascii="Arial" w:hAnsi="Arial" w:cs="Arial"/>
                <w:sz w:val="22"/>
                <w:szCs w:val="22"/>
              </w:rPr>
              <w:t>资产</w:t>
            </w:r>
            <w:r>
              <w:rPr>
                <w:rFonts w:hint="default" w:ascii="Arial" w:hAnsi="Arial" w:cs="Arial"/>
                <w:sz w:val="22"/>
                <w:szCs w:val="22"/>
              </w:rPr>
              <w:t>到期不能全部偿付导致资产减值甚至本金大幅损失，</w:t>
            </w:r>
            <w:r>
              <w:rPr>
                <w:rFonts w:hint="eastAsia" w:ascii="Arial" w:hAnsi="Arial" w:cs="Arial"/>
                <w:sz w:val="22"/>
                <w:szCs w:val="22"/>
              </w:rPr>
              <w:t>管理人</w:t>
            </w:r>
            <w:r>
              <w:rPr>
                <w:rFonts w:hint="default" w:ascii="Arial" w:hAnsi="Arial" w:cs="Arial"/>
                <w:sz w:val="22"/>
                <w:szCs w:val="22"/>
              </w:rPr>
              <w:t>将首先按照本理财产品投资的实际回收资金</w:t>
            </w:r>
            <w:r>
              <w:rPr>
                <w:rFonts w:hint="eastAsia" w:ascii="Arial" w:hAnsi="Arial" w:cs="Arial"/>
                <w:sz w:val="22"/>
                <w:szCs w:val="22"/>
              </w:rPr>
              <w:t>按照协议约定顺序支付</w:t>
            </w:r>
            <w:r>
              <w:rPr>
                <w:rFonts w:hint="default" w:ascii="Arial" w:hAnsi="Arial" w:cs="Arial"/>
                <w:sz w:val="22"/>
                <w:szCs w:val="22"/>
              </w:rPr>
              <w:t>理财本金和收益（如有），差额部分向相关责任人</w:t>
            </w:r>
            <w:r>
              <w:rPr>
                <w:rFonts w:hint="eastAsia" w:ascii="Arial" w:hAnsi="Arial" w:cs="Arial"/>
                <w:sz w:val="22"/>
                <w:szCs w:val="22"/>
              </w:rPr>
              <w:t>追索</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将在</w:t>
            </w:r>
            <w:r>
              <w:rPr>
                <w:rFonts w:hint="eastAsia" w:ascii="Arial" w:hAnsi="Arial" w:cs="Arial"/>
                <w:sz w:val="22"/>
                <w:szCs w:val="22"/>
              </w:rPr>
              <w:t>取得追索</w:t>
            </w:r>
            <w:r>
              <w:rPr>
                <w:rFonts w:hint="default"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hint="default" w:ascii="Arial" w:hAnsi="Arial" w:cs="Arial"/>
                <w:sz w:val="22"/>
                <w:szCs w:val="22"/>
              </w:rPr>
              <w:t>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hint="default" w:ascii="Arial" w:hAnsi="Arial" w:cs="Arial"/>
                <w:sz w:val="22"/>
                <w:szCs w:val="22"/>
              </w:rPr>
              <w:t>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w:t>
            </w:r>
            <w:r>
              <w:rPr>
                <w:rFonts w:hint="eastAsia" w:ascii="Arial" w:hAnsi="Arial" w:cs="Arial"/>
                <w:sz w:val="22"/>
                <w:szCs w:val="22"/>
              </w:rPr>
              <w:t>管理人</w:t>
            </w:r>
            <w:r>
              <w:rPr>
                <w:rFonts w:hint="default" w:ascii="Arial" w:hAnsi="Arial" w:cs="Arial"/>
                <w:sz w:val="22"/>
                <w:szCs w:val="22"/>
              </w:rPr>
              <w:t>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hint="default" w:ascii="Arial" w:hAnsi="Arial" w:cs="Arial"/>
                <w:sz w:val="22"/>
                <w:szCs w:val="22"/>
              </w:rPr>
              <w:t>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w:t>
            </w:r>
            <w:r>
              <w:rPr>
                <w:rFonts w:hint="eastAsia" w:ascii="Arial" w:hAnsi="Arial" w:cs="Arial"/>
                <w:sz w:val="22"/>
                <w:szCs w:val="22"/>
              </w:rPr>
              <w:t>管理人</w:t>
            </w:r>
            <w:r>
              <w:rPr>
                <w:rFonts w:hint="default" w:ascii="Arial" w:hAnsi="Arial" w:cs="Arial"/>
                <w:sz w:val="22"/>
                <w:szCs w:val="22"/>
              </w:rPr>
              <w:t>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32" w:firstLineChars="200"/>
        <w:rPr>
          <w:rFonts w:ascii="Arial" w:hAnsi="Arial" w:cs="Arial"/>
          <w:color w:val="000000"/>
          <w:spacing w:val="-1"/>
          <w:sz w:val="22"/>
          <w:szCs w:val="22"/>
        </w:rPr>
      </w:pPr>
      <w:r>
        <w:rPr>
          <w:rFonts w:ascii="Arial" w:hAnsi="Arial" w:cs="Arial"/>
          <w:color w:val="000000"/>
          <w:spacing w:val="-2"/>
          <w:sz w:val="22"/>
          <w:szCs w:val="22"/>
        </w:rPr>
        <w:t>本理财产品</w:t>
      </w:r>
      <w:r>
        <w:rPr>
          <w:rFonts w:ascii="Arial" w:hAnsi="Arial" w:cs="Arial"/>
          <w:color w:val="000000"/>
          <w:spacing w:val="-1"/>
          <w:sz w:val="22"/>
          <w:szCs w:val="22"/>
        </w:rPr>
        <w:t>主</w:t>
      </w:r>
      <w:r>
        <w:rPr>
          <w:rFonts w:ascii="Arial" w:hAnsi="Arial" w:cs="Arial"/>
          <w:color w:val="000000"/>
          <w:spacing w:val="-2"/>
          <w:sz w:val="22"/>
          <w:szCs w:val="22"/>
        </w:rPr>
        <w:t>要</w:t>
      </w:r>
      <w:r>
        <w:rPr>
          <w:rFonts w:ascii="Arial" w:hAnsi="Arial" w:cs="Arial"/>
          <w:color w:val="000000"/>
          <w:spacing w:val="-1"/>
          <w:sz w:val="22"/>
          <w:szCs w:val="22"/>
        </w:rPr>
        <w:t>投资于以</w:t>
      </w:r>
      <w:r>
        <w:rPr>
          <w:rFonts w:ascii="Arial" w:hAnsi="Arial" w:cs="Arial"/>
          <w:color w:val="000000"/>
          <w:spacing w:val="-2"/>
          <w:sz w:val="22"/>
          <w:szCs w:val="22"/>
        </w:rPr>
        <w:t>下</w:t>
      </w:r>
      <w:r>
        <w:rPr>
          <w:rFonts w:ascii="Arial" w:hAnsi="Arial" w:cs="Arial"/>
          <w:color w:val="000000"/>
          <w:spacing w:val="-1"/>
          <w:sz w:val="22"/>
          <w:szCs w:val="22"/>
        </w:rPr>
        <w:t>符合</w:t>
      </w:r>
      <w:r>
        <w:rPr>
          <w:rFonts w:ascii="Arial" w:hAnsi="Arial" w:cs="Arial"/>
          <w:color w:val="000000"/>
          <w:spacing w:val="-2"/>
          <w:sz w:val="22"/>
          <w:szCs w:val="22"/>
        </w:rPr>
        <w:t>监</w:t>
      </w:r>
      <w:r>
        <w:rPr>
          <w:rFonts w:ascii="Arial" w:hAnsi="Arial" w:cs="Arial"/>
          <w:color w:val="000000"/>
          <w:spacing w:val="-1"/>
          <w:sz w:val="22"/>
          <w:szCs w:val="22"/>
        </w:rPr>
        <w:t>管要</w:t>
      </w:r>
      <w:r>
        <w:rPr>
          <w:rFonts w:ascii="Arial" w:hAnsi="Arial" w:cs="Arial"/>
          <w:color w:val="000000"/>
          <w:spacing w:val="-2"/>
          <w:sz w:val="22"/>
          <w:szCs w:val="22"/>
        </w:rPr>
        <w:t>求</w:t>
      </w:r>
      <w:r>
        <w:rPr>
          <w:rFonts w:ascii="Arial" w:hAnsi="Arial" w:cs="Arial"/>
          <w:color w:val="000000"/>
          <w:spacing w:val="-1"/>
          <w:sz w:val="22"/>
          <w:szCs w:val="22"/>
        </w:rPr>
        <w:t>的金融资产和金融工具：</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hint="eastAsia"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控制风险的前提下，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w:t>
      </w:r>
      <w:r>
        <w:rPr>
          <w:rFonts w:hint="eastAsia" w:ascii="Arial" w:hAnsi="Arial" w:cs="Arial"/>
          <w:b/>
          <w:color w:val="000000"/>
          <w:spacing w:val="4"/>
          <w:sz w:val="22"/>
          <w:szCs w:val="22"/>
          <w:lang w:val="en-US" w:eastAsia="zh-CN"/>
        </w:rPr>
        <w:t>五</w:t>
      </w:r>
      <w:r>
        <w:rPr>
          <w:rFonts w:hint="eastAsia" w:ascii="Arial" w:hAnsi="Arial" w:cs="Arial"/>
          <w:b/>
          <w:color w:val="000000"/>
          <w:spacing w:val="4"/>
          <w:sz w:val="22"/>
          <w:szCs w:val="22"/>
        </w:rPr>
        <w:t>）投资限制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p>
      <w:pPr>
        <w:pStyle w:val="20"/>
        <w:widowControl/>
        <w:spacing w:line="360" w:lineRule="auto"/>
        <w:ind w:firstLine="424" w:firstLineChars="193"/>
        <w:rPr>
          <w:rFonts w:ascii="Arial" w:hAnsi="Arial" w:cs="Arial"/>
          <w:sz w:val="22"/>
          <w:szCs w:val="22"/>
        </w:rPr>
      </w:pPr>
      <w:r>
        <w:rPr>
          <w:rFonts w:hint="eastAsia" w:ascii="Arial" w:hAnsi="Arial" w:cs="Arial"/>
          <w:sz w:val="22"/>
          <w:szCs w:val="22"/>
        </w:rPr>
        <w:t>本理财产品销售服务机构的基本信息详见本理财产品管理人公告。</w:t>
      </w:r>
    </w:p>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hint="eastAsia" w:ascii="Arial" w:hAnsi="Arial" w:cs="Arial"/>
          <w:b/>
          <w:sz w:val="22"/>
          <w:szCs w:val="22"/>
        </w:rPr>
        <w:t>最短持有期和最短持有期结束日</w:t>
      </w:r>
      <w:r>
        <w:rPr>
          <w:rFonts w:hint="eastAsia" w:ascii="Arial" w:hAnsi="Arial" w:cs="Arial"/>
          <w:b/>
          <w:sz w:val="22"/>
          <w:szCs w:val="22"/>
          <w:lang w:eastAsia="zh-CN"/>
        </w:rPr>
        <w:t>：</w:t>
      </w:r>
      <w:r>
        <w:rPr>
          <w:rFonts w:hint="eastAsia" w:ascii="Arial" w:hAnsi="Arial" w:cs="Arial"/>
          <w:snapToGrid w:val="0"/>
          <w:color w:val="000000"/>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7</w:t>
      </w:r>
      <w:r>
        <w:rPr>
          <w:rFonts w:hint="eastAsia" w:ascii="Arial" w:hAnsi="Arial" w:cs="Arial"/>
          <w:snapToGrid w:val="0"/>
          <w:color w:val="000000"/>
          <w:sz w:val="22"/>
          <w:szCs w:val="22"/>
        </w:rPr>
        <w:t>个自然日，最短持有期结束日为第T+</w:t>
      </w:r>
      <w:r>
        <w:rPr>
          <w:rFonts w:hint="eastAsia" w:ascii="Arial" w:hAnsi="Arial" w:cs="Arial"/>
          <w:sz w:val="22"/>
          <w:szCs w:val="22"/>
          <w:lang w:val="en-US" w:eastAsia="zh-CN"/>
        </w:rPr>
        <w:t>7</w:t>
      </w:r>
      <w:r>
        <w:rPr>
          <w:rFonts w:hint="eastAsia" w:ascii="Arial" w:hAnsi="Arial" w:cs="Arial"/>
          <w:snapToGrid w:val="0"/>
          <w:color w:val="000000"/>
          <w:sz w:val="22"/>
          <w:szCs w:val="22"/>
        </w:rPr>
        <w:t>个自然日，若第T+</w:t>
      </w:r>
      <w:r>
        <w:rPr>
          <w:rFonts w:hint="eastAsia" w:ascii="Arial" w:hAnsi="Arial" w:cs="Arial"/>
          <w:sz w:val="22"/>
          <w:szCs w:val="22"/>
          <w:lang w:val="en-US" w:eastAsia="zh-CN"/>
        </w:rPr>
        <w:t>7</w:t>
      </w:r>
      <w:r>
        <w:rPr>
          <w:rFonts w:hint="eastAsia" w:ascii="Arial" w:hAnsi="Arial" w:cs="Arial"/>
          <w:snapToGrid w:val="0"/>
          <w:color w:val="000000"/>
          <w:sz w:val="22"/>
          <w:szCs w:val="22"/>
        </w:rPr>
        <w:t>个自然日为非开放日则顺延至下一开放日。投资者可在认/申购份额确认后于最短持有期结束日（含）及后续每个开放日申请赎回。由于最短持有期结束日遇非开放日顺延至下一开放日等原因，投资者最短持有期实际上可能长于</w:t>
      </w:r>
      <w:r>
        <w:rPr>
          <w:rFonts w:hint="eastAsia" w:ascii="Arial" w:hAnsi="Arial" w:cs="Arial"/>
          <w:sz w:val="22"/>
          <w:szCs w:val="22"/>
          <w:lang w:val="en-US" w:eastAsia="zh-CN"/>
        </w:rPr>
        <w:t>7</w:t>
      </w:r>
      <w:r>
        <w:rPr>
          <w:rFonts w:hint="eastAsia" w:ascii="Arial" w:hAnsi="Arial" w:cs="Arial"/>
          <w:snapToGrid w:val="0"/>
          <w:color w:val="000000"/>
          <w:sz w:val="22"/>
          <w:szCs w:val="22"/>
        </w:rPr>
        <w:t>个自然日。具体以产品说明书相关约定为准。以上规则如有调整，以管理人公告为准。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lang w:eastAsia="zh-CN"/>
        </w:rPr>
        <w:t>（</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至下一开放日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w:t>
      </w:r>
      <w:r>
        <w:rPr>
          <w:rFonts w:hint="eastAsia" w:ascii="Arial" w:hAnsi="Arial" w:cs="Arial"/>
          <w:snapToGrid w:val="0"/>
          <w:color w:val="000000"/>
          <w:sz w:val="22"/>
          <w:szCs w:val="22"/>
          <w:lang w:val="en-US" w:eastAsia="zh-CN"/>
        </w:rPr>
        <w:t>2</w:t>
      </w:r>
      <w:r>
        <w:rPr>
          <w:rFonts w:hint="eastAsia" w:ascii="Arial" w:hAnsi="Arial" w:cs="Arial"/>
          <w:snapToGrid w:val="0"/>
          <w:color w:val="000000"/>
          <w:sz w:val="22"/>
          <w:szCs w:val="22"/>
        </w:rPr>
        <w:t>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1</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“未知价”原则，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“金额申购、份额赎回”原则，即申购以金额申请，赎回以份额申请。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w:t>
      </w:r>
      <w:r>
        <w:rPr>
          <w:rFonts w:hint="default" w:ascii="Arial" w:hAnsi="Arial" w:cs="Arial"/>
          <w:sz w:val="22"/>
          <w:szCs w:val="22"/>
        </w:rPr>
        <w:t>1</w:t>
      </w:r>
      <w:r>
        <w:rPr>
          <w:rFonts w:hint="eastAsia" w:ascii="Arial" w:hAnsi="Arial" w:cs="Arial"/>
          <w:sz w:val="22"/>
          <w:szCs w:val="22"/>
          <w:lang w:val="en-US" w:eastAsia="zh-CN"/>
        </w:rPr>
        <w:t>6</w:t>
      </w:r>
      <w:r>
        <w:rPr>
          <w:rFonts w:hint="eastAsia" w:ascii="Arial" w:hAnsi="Arial" w:cs="Arial"/>
          <w:sz w:val="22"/>
          <w:szCs w:val="22"/>
        </w:rPr>
        <w:t>：0</w:t>
      </w:r>
      <w:r>
        <w:rPr>
          <w:rFonts w:hint="default" w:ascii="Arial" w:hAnsi="Arial" w:cs="Arial"/>
          <w:sz w:val="22"/>
          <w:szCs w:val="22"/>
        </w:rPr>
        <w:t>0</w:t>
      </w:r>
      <w:r>
        <w:rPr>
          <w:rFonts w:hint="eastAsia" w:ascii="Arial" w:hAnsi="Arial" w:cs="Arial"/>
          <w:snapToGrid w:val="0"/>
          <w:color w:val="000000"/>
          <w:sz w:val="22"/>
          <w:szCs w:val="22"/>
        </w:rPr>
        <w:t>。投资者通过不同销售服务机构办理申购、赎回业务的，可能会因不同销售服务机构的申购、赎回规则不同对权益产生影响。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Arial" w:hAnsi="Arial" w:cs="Arial"/>
          <w:b/>
          <w:bCs w:val="0"/>
          <w:color w:val="000000"/>
          <w:sz w:val="22"/>
          <w:szCs w:val="22"/>
          <w:lang w:val="en-US"/>
        </w:rPr>
      </w:pPr>
      <w:r>
        <w:rPr>
          <w:rFonts w:hint="eastAsia" w:ascii="Arial" w:hAnsi="Arial" w:eastAsia="宋体" w:cs="Arial"/>
          <w:color w:val="000000"/>
          <w:kern w:val="2"/>
          <w:sz w:val="22"/>
          <w:szCs w:val="22"/>
          <w:lang w:val="en-US" w:eastAsia="zh-CN" w:bidi="ar"/>
        </w:rPr>
        <w:t>本理财产品份额净值的计算，按四舍五入法保留到小数点后</w:t>
      </w:r>
      <w:r>
        <w:rPr>
          <w:rFonts w:hint="default" w:ascii="Arial" w:hAnsi="Arial" w:eastAsia="宋体" w:cs="Arial"/>
          <w:color w:val="000000"/>
          <w:kern w:val="2"/>
          <w:sz w:val="22"/>
          <w:szCs w:val="22"/>
          <w:lang w:val="en-US" w:eastAsia="zh-CN" w:bidi="ar"/>
        </w:rPr>
        <w:t>4</w:t>
      </w:r>
      <w:r>
        <w:rPr>
          <w:rFonts w:hint="eastAsia" w:ascii="Arial" w:hAnsi="Arial" w:eastAsia="宋体" w:cs="Arial"/>
          <w:color w:val="000000"/>
          <w:kern w:val="2"/>
          <w:sz w:val="22"/>
          <w:szCs w:val="22"/>
          <w:lang w:val="en-US" w:eastAsia="zh-CN" w:bidi="ar"/>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证券投资基金的估值</w:t>
      </w:r>
    </w:p>
    <w:p>
      <w:pPr>
        <w:spacing w:line="360" w:lineRule="auto"/>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 xml:space="preserve">    1）非上市基金估值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2）上市基金估值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交易所上市流通的基金，按估值日其所在证券交易所的收盘价估值</w:t>
      </w:r>
      <w:r>
        <w:rPr>
          <w:rFonts w:ascii="Arial" w:hAnsi="Arial" w:cs="Arial"/>
          <w:color w:val="000000" w:themeColor="text1"/>
          <w:sz w:val="22"/>
          <w:szCs w:val="22"/>
          <w14:textFill>
            <w14:solidFill>
              <w14:schemeClr w14:val="tx1"/>
            </w14:solidFill>
          </w14:textFill>
        </w:rPr>
        <w:t xml:space="preserve">, </w:t>
      </w:r>
      <w:r>
        <w:rPr>
          <w:rFonts w:hint="eastAsia" w:ascii="Arial" w:hAnsi="Arial" w:cs="Arial"/>
          <w:color w:val="000000" w:themeColor="text1"/>
          <w:sz w:val="22"/>
          <w:szCs w:val="22"/>
          <w14:textFill>
            <w14:solidFill>
              <w14:schemeClr w14:val="tx1"/>
            </w14:solidFill>
          </w14:textFill>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交易所上市的开放式基金（</w:t>
      </w:r>
      <w:r>
        <w:rPr>
          <w:rFonts w:ascii="Arial" w:hAnsi="Arial" w:cs="Arial"/>
          <w:color w:val="000000" w:themeColor="text1"/>
          <w:sz w:val="22"/>
          <w:szCs w:val="22"/>
          <w14:textFill>
            <w14:solidFill>
              <w14:schemeClr w14:val="tx1"/>
            </w14:solidFill>
          </w14:textFill>
        </w:rPr>
        <w:t>LOF），按所投资基金估值日的份额净值估值；公募 REITs，</w:t>
      </w:r>
      <w:r>
        <w:rPr>
          <w:rFonts w:hint="eastAsia" w:ascii="Arial" w:hAnsi="Arial" w:cs="Arial"/>
          <w:color w:val="000000" w:themeColor="text1"/>
          <w:sz w:val="22"/>
          <w:szCs w:val="22"/>
          <w14:textFill>
            <w14:solidFill>
              <w14:schemeClr w14:val="tx1"/>
            </w14:solidFill>
          </w14:textFill>
        </w:rPr>
        <w:t>按监管机构或行业协会有关规定确定公允价值。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ascii="Arial" w:hAnsi="Arial" w:cs="Arial"/>
          <w:color w:val="000000" w:themeColor="text1"/>
          <w:sz w:val="22"/>
          <w:szCs w:val="22"/>
          <w14:textFill>
            <w14:solidFill>
              <w14:schemeClr w14:val="tx1"/>
            </w14:solidFill>
          </w14:textFill>
        </w:rPr>
        <w:t>3）如遇所投资基金不公布基金份额净值、进行折算或拆分、估值日无交易等特殊情</w:t>
      </w:r>
      <w:r>
        <w:rPr>
          <w:rFonts w:hint="eastAsia" w:ascii="Arial" w:hAnsi="Arial" w:cs="Arial"/>
          <w:color w:val="000000" w:themeColor="text1"/>
          <w:sz w:val="22"/>
          <w:szCs w:val="22"/>
          <w14:textFill>
            <w14:solidFill>
              <w14:schemeClr w14:val="tx1"/>
            </w14:solidFill>
          </w14:textFill>
        </w:rPr>
        <w:t>况，按照以下原则进行估值：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①以所投基金的基金份额净值估值的，若所投资基金管理人未公布估值日基金份额净值，按其最近公布的基金份额净值为基础估值。</w:t>
      </w:r>
    </w:p>
    <w:p>
      <w:pPr>
        <w:spacing w:line="360" w:lineRule="auto"/>
        <w:ind w:firstLine="440" w:firstLineChars="20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pStyle w:val="20"/>
        <w:spacing w:line="360" w:lineRule="auto"/>
        <w:ind w:firstLine="44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hint="eastAsia" w:ascii="Arial" w:hAnsi="Arial" w:cs="Arial"/>
          <w:color w:val="000000" w:themeColor="text1"/>
          <w:sz w:val="22"/>
          <w:szCs w:val="22"/>
          <w14:textFill>
            <w14:solidFill>
              <w14:schemeClr w14:val="tx1"/>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3）</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val="en-US"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26"/>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widowControl/>
        <w:autoSpaceDE w:val="0"/>
        <w:autoSpaceDN w:val="0"/>
        <w:adjustRightInd w:val="0"/>
        <w:spacing w:line="360" w:lineRule="auto"/>
        <w:ind w:firstLine="440" w:firstLineChars="200"/>
        <w:rPr>
          <w:rFonts w:ascii="Arial" w:hAnsi="Arial" w:cs="Arial"/>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sz w:val="22"/>
          <w:szCs w:val="22"/>
        </w:rPr>
        <w:t>认/申购费、赎回费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color w:val="000000"/>
          <w:sz w:val="22"/>
          <w:szCs w:val="22"/>
        </w:rPr>
      </w:pPr>
      <w:r>
        <w:rPr>
          <w:rFonts w:ascii="Arial" w:hAnsi="Arial" w:cs="Arial"/>
          <w:color w:val="000000"/>
          <w:sz w:val="22"/>
          <w:szCs w:val="22"/>
        </w:rPr>
        <w:t>费用调整</w:t>
      </w:r>
    </w:p>
    <w:p>
      <w:pPr>
        <w:spacing w:line="360" w:lineRule="auto"/>
        <w:ind w:firstLine="440" w:firstLineChars="200"/>
        <w:rPr>
          <w:rFonts w:ascii="Arial" w:hAnsi="Arial" w:cs="Arial"/>
          <w:sz w:val="22"/>
          <w:szCs w:val="22"/>
        </w:rPr>
      </w:pPr>
      <w:bookmarkStart w:id="0" w:name="TCSignMonth"/>
      <w:bookmarkEnd w:id="0"/>
      <w:bookmarkStart w:id="1" w:name="TAttachment"/>
      <w:bookmarkEnd w:id="1"/>
      <w:bookmarkStart w:id="2" w:name="TCSignYear"/>
      <w:bookmarkEnd w:id="2"/>
      <w:bookmarkStart w:id="3" w:name="TCSignDay"/>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napToGri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napToGrid w:val="0"/>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w:t>
      </w:r>
      <w:r>
        <w:rPr>
          <w:rFonts w:hint="eastAsia" w:ascii="Arial" w:hAnsi="Arial" w:cs="Arial"/>
          <w:sz w:val="22"/>
          <w:szCs w:val="22"/>
        </w:rPr>
        <w:t>产品</w:t>
      </w:r>
      <w:r>
        <w:rPr>
          <w:rFonts w:ascii="Arial" w:hAnsi="Arial" w:cs="Arial"/>
          <w:sz w:val="22"/>
          <w:szCs w:val="22"/>
        </w:rPr>
        <w:t>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平安理财灵活成长添利日开7天持有2号固收类理财产品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平安理财灵活成长添利日开7天持有2号固收类理财产品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平安理财灵活成长添利日开7天持有2号固收类理财产品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roman"/>
    <w:pitch w:val="default"/>
    <w:sig w:usb0="00000000" w:usb1="1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20</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5253E"/>
    <w:multiLevelType w:val="singleLevel"/>
    <w:tmpl w:val="80F5253E"/>
    <w:lvl w:ilvl="0" w:tentative="0">
      <w:start w:val="1"/>
      <w:numFmt w:val="decimal"/>
      <w:suff w:val="space"/>
      <w:lvlText w:val="%1."/>
      <w:lvlJc w:val="left"/>
    </w:lvl>
  </w:abstractNum>
  <w:abstractNum w:abstractNumId="1">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3">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4">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5">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8">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9">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10">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1">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2">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8"/>
  </w:num>
  <w:num w:numId="5">
    <w:abstractNumId w:val="24"/>
  </w:num>
  <w:num w:numId="6">
    <w:abstractNumId w:val="30"/>
  </w:num>
  <w:num w:numId="7">
    <w:abstractNumId w:val="14"/>
  </w:num>
  <w:num w:numId="8">
    <w:abstractNumId w:val="6"/>
  </w:num>
  <w:num w:numId="9">
    <w:abstractNumId w:val="16"/>
  </w:num>
  <w:num w:numId="10">
    <w:abstractNumId w:val="7"/>
  </w:num>
  <w:num w:numId="11">
    <w:abstractNumId w:val="28"/>
  </w:num>
  <w:num w:numId="12">
    <w:abstractNumId w:val="26"/>
  </w:num>
  <w:num w:numId="13">
    <w:abstractNumId w:val="29"/>
  </w:num>
  <w:num w:numId="14">
    <w:abstractNumId w:val="2"/>
  </w:num>
  <w:num w:numId="15">
    <w:abstractNumId w:val="9"/>
  </w:num>
  <w:num w:numId="16">
    <w:abstractNumId w:val="25"/>
  </w:num>
  <w:num w:numId="17">
    <w:abstractNumId w:val="17"/>
  </w:num>
  <w:num w:numId="18">
    <w:abstractNumId w:val="27"/>
  </w:num>
  <w:num w:numId="19">
    <w:abstractNumId w:val="11"/>
  </w:num>
  <w:num w:numId="20">
    <w:abstractNumId w:val="18"/>
  </w:num>
  <w:num w:numId="21">
    <w:abstractNumId w:val="12"/>
  </w:num>
  <w:num w:numId="22">
    <w:abstractNumId w:val="22"/>
  </w:num>
  <w:num w:numId="23">
    <w:abstractNumId w:val="1"/>
  </w:num>
  <w:num w:numId="24">
    <w:abstractNumId w:val="4"/>
  </w:num>
  <w:num w:numId="25">
    <w:abstractNumId w:val="20"/>
  </w:num>
  <w:num w:numId="26">
    <w:abstractNumId w:val="19"/>
  </w:num>
  <w:num w:numId="27">
    <w:abstractNumId w:val="10"/>
  </w:num>
  <w:num w:numId="28">
    <w:abstractNumId w:val="31"/>
  </w:num>
  <w:num w:numId="29">
    <w:abstractNumId w:val="21"/>
  </w:num>
  <w:num w:numId="30">
    <w:abstractNumId w:val="23"/>
  </w:num>
  <w:num w:numId="31">
    <w:abstractNumId w:val="0"/>
  </w:num>
  <w:num w:numId="32">
    <w:abstractNumId w:val="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3C2"/>
    <w:rsid w:val="0002744E"/>
    <w:rsid w:val="0003038E"/>
    <w:rsid w:val="0003116C"/>
    <w:rsid w:val="0003128B"/>
    <w:rsid w:val="000313F4"/>
    <w:rsid w:val="000316C3"/>
    <w:rsid w:val="0003193C"/>
    <w:rsid w:val="00031E7F"/>
    <w:rsid w:val="00032288"/>
    <w:rsid w:val="00032582"/>
    <w:rsid w:val="0003319F"/>
    <w:rsid w:val="00034AA1"/>
    <w:rsid w:val="000364B8"/>
    <w:rsid w:val="000367BD"/>
    <w:rsid w:val="00036990"/>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6FE4"/>
    <w:rsid w:val="000D71DC"/>
    <w:rsid w:val="000D767D"/>
    <w:rsid w:val="000D7EEB"/>
    <w:rsid w:val="000E16D3"/>
    <w:rsid w:val="000E1889"/>
    <w:rsid w:val="000E1B0A"/>
    <w:rsid w:val="000E20EE"/>
    <w:rsid w:val="000E264E"/>
    <w:rsid w:val="000E28F6"/>
    <w:rsid w:val="000E2BFC"/>
    <w:rsid w:val="000E314B"/>
    <w:rsid w:val="000E3BC6"/>
    <w:rsid w:val="000E3BD3"/>
    <w:rsid w:val="000E3C23"/>
    <w:rsid w:val="000E4AAD"/>
    <w:rsid w:val="000E520E"/>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742"/>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AE9"/>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620"/>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22"/>
    <w:rsid w:val="00192B8F"/>
    <w:rsid w:val="001931DF"/>
    <w:rsid w:val="00193333"/>
    <w:rsid w:val="00193425"/>
    <w:rsid w:val="00193624"/>
    <w:rsid w:val="001939AA"/>
    <w:rsid w:val="001939F3"/>
    <w:rsid w:val="0019450F"/>
    <w:rsid w:val="001949C3"/>
    <w:rsid w:val="00194D89"/>
    <w:rsid w:val="00196084"/>
    <w:rsid w:val="001960D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0BB1"/>
    <w:rsid w:val="001C1F6E"/>
    <w:rsid w:val="001C2476"/>
    <w:rsid w:val="001C289A"/>
    <w:rsid w:val="001C2C7B"/>
    <w:rsid w:val="001C368E"/>
    <w:rsid w:val="001C3725"/>
    <w:rsid w:val="001C388D"/>
    <w:rsid w:val="001C3975"/>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3C7"/>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67CF"/>
    <w:rsid w:val="00227A12"/>
    <w:rsid w:val="00230603"/>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5C38"/>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1C4A"/>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D0A08"/>
    <w:rsid w:val="002D0B59"/>
    <w:rsid w:val="002D0D03"/>
    <w:rsid w:val="002D1048"/>
    <w:rsid w:val="002D1615"/>
    <w:rsid w:val="002D1D97"/>
    <w:rsid w:val="002D227F"/>
    <w:rsid w:val="002D287B"/>
    <w:rsid w:val="002D3058"/>
    <w:rsid w:val="002D3F83"/>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057"/>
    <w:rsid w:val="002F6B7A"/>
    <w:rsid w:val="002F6BCB"/>
    <w:rsid w:val="002F784A"/>
    <w:rsid w:val="002F7ACB"/>
    <w:rsid w:val="002F7B61"/>
    <w:rsid w:val="00301369"/>
    <w:rsid w:val="0030161A"/>
    <w:rsid w:val="0030282A"/>
    <w:rsid w:val="00302E3E"/>
    <w:rsid w:val="00303224"/>
    <w:rsid w:val="00303338"/>
    <w:rsid w:val="00304BCE"/>
    <w:rsid w:val="00304D17"/>
    <w:rsid w:val="00304F39"/>
    <w:rsid w:val="00307273"/>
    <w:rsid w:val="003076E3"/>
    <w:rsid w:val="00307BD0"/>
    <w:rsid w:val="00310C28"/>
    <w:rsid w:val="00310F03"/>
    <w:rsid w:val="00312307"/>
    <w:rsid w:val="003127D6"/>
    <w:rsid w:val="00313396"/>
    <w:rsid w:val="003134B8"/>
    <w:rsid w:val="00313AE3"/>
    <w:rsid w:val="00314622"/>
    <w:rsid w:val="00314880"/>
    <w:rsid w:val="00314B4A"/>
    <w:rsid w:val="00314C47"/>
    <w:rsid w:val="0031519B"/>
    <w:rsid w:val="003155C8"/>
    <w:rsid w:val="003155DF"/>
    <w:rsid w:val="0031592A"/>
    <w:rsid w:val="00315A93"/>
    <w:rsid w:val="00315D84"/>
    <w:rsid w:val="003173FE"/>
    <w:rsid w:val="003174A3"/>
    <w:rsid w:val="00317F01"/>
    <w:rsid w:val="00320853"/>
    <w:rsid w:val="003208CF"/>
    <w:rsid w:val="00321131"/>
    <w:rsid w:val="00321B76"/>
    <w:rsid w:val="0032257E"/>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C45"/>
    <w:rsid w:val="00413C87"/>
    <w:rsid w:val="0041492A"/>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5A07"/>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B6D0A"/>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1D4"/>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03"/>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2D2"/>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0509"/>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5EB"/>
    <w:rsid w:val="005948EB"/>
    <w:rsid w:val="005949E0"/>
    <w:rsid w:val="00594DC2"/>
    <w:rsid w:val="00595055"/>
    <w:rsid w:val="00595CE5"/>
    <w:rsid w:val="0059735F"/>
    <w:rsid w:val="00597502"/>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8C9"/>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4E70"/>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3A4"/>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19E9"/>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14C"/>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0D68"/>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D91"/>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29A"/>
    <w:rsid w:val="007453BE"/>
    <w:rsid w:val="0074605C"/>
    <w:rsid w:val="007460E0"/>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164"/>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2DC"/>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7BD"/>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3EE6"/>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6EE"/>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8C5"/>
    <w:rsid w:val="008E1AA7"/>
    <w:rsid w:val="008E1D6C"/>
    <w:rsid w:val="008E2BEC"/>
    <w:rsid w:val="008E30D3"/>
    <w:rsid w:val="008E335D"/>
    <w:rsid w:val="008E3C35"/>
    <w:rsid w:val="008E4A92"/>
    <w:rsid w:val="008E4C3D"/>
    <w:rsid w:val="008E59C9"/>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7D"/>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1E9A"/>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622"/>
    <w:rsid w:val="009A2AA5"/>
    <w:rsid w:val="009A3AB6"/>
    <w:rsid w:val="009A3B22"/>
    <w:rsid w:val="009A46D9"/>
    <w:rsid w:val="009A4BE5"/>
    <w:rsid w:val="009A4C5B"/>
    <w:rsid w:val="009A58EE"/>
    <w:rsid w:val="009A6310"/>
    <w:rsid w:val="009A6A6F"/>
    <w:rsid w:val="009A6B7E"/>
    <w:rsid w:val="009A6BB9"/>
    <w:rsid w:val="009A6C48"/>
    <w:rsid w:val="009A6D1F"/>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743"/>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0D75"/>
    <w:rsid w:val="00A410C7"/>
    <w:rsid w:val="00A4117E"/>
    <w:rsid w:val="00A42C09"/>
    <w:rsid w:val="00A42FDC"/>
    <w:rsid w:val="00A43424"/>
    <w:rsid w:val="00A436F1"/>
    <w:rsid w:val="00A43A5E"/>
    <w:rsid w:val="00A4492C"/>
    <w:rsid w:val="00A44984"/>
    <w:rsid w:val="00A468CD"/>
    <w:rsid w:val="00A46F71"/>
    <w:rsid w:val="00A47BE7"/>
    <w:rsid w:val="00A50590"/>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252"/>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BD6"/>
    <w:rsid w:val="00BC7D14"/>
    <w:rsid w:val="00BD0060"/>
    <w:rsid w:val="00BD0400"/>
    <w:rsid w:val="00BD0FA5"/>
    <w:rsid w:val="00BD1D12"/>
    <w:rsid w:val="00BD357C"/>
    <w:rsid w:val="00BD396E"/>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0B4C"/>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7170"/>
    <w:rsid w:val="00D17E80"/>
    <w:rsid w:val="00D2038B"/>
    <w:rsid w:val="00D20E12"/>
    <w:rsid w:val="00D21682"/>
    <w:rsid w:val="00D226B6"/>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2B95"/>
    <w:rsid w:val="00D7407D"/>
    <w:rsid w:val="00D744BF"/>
    <w:rsid w:val="00D74A01"/>
    <w:rsid w:val="00D74AE5"/>
    <w:rsid w:val="00D74B3A"/>
    <w:rsid w:val="00D74E81"/>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015A"/>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2A1"/>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3BE"/>
    <w:rsid w:val="00EA678E"/>
    <w:rsid w:val="00EA6AD1"/>
    <w:rsid w:val="00EA6E62"/>
    <w:rsid w:val="00EB05A4"/>
    <w:rsid w:val="00EB073E"/>
    <w:rsid w:val="00EB09A1"/>
    <w:rsid w:val="00EB0B8D"/>
    <w:rsid w:val="00EB0D39"/>
    <w:rsid w:val="00EB0DE7"/>
    <w:rsid w:val="00EB2440"/>
    <w:rsid w:val="00EB2584"/>
    <w:rsid w:val="00EB3A34"/>
    <w:rsid w:val="00EB423D"/>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20A"/>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5E43"/>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B71D5"/>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08F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027F6C03"/>
    <w:rsid w:val="04885B91"/>
    <w:rsid w:val="09224A19"/>
    <w:rsid w:val="0B723C2D"/>
    <w:rsid w:val="0D5675D1"/>
    <w:rsid w:val="16DC6D62"/>
    <w:rsid w:val="18C47B47"/>
    <w:rsid w:val="1E423BA7"/>
    <w:rsid w:val="1F010C28"/>
    <w:rsid w:val="22180E8A"/>
    <w:rsid w:val="2B985009"/>
    <w:rsid w:val="2C8D61D2"/>
    <w:rsid w:val="2DA52D20"/>
    <w:rsid w:val="302E7EEB"/>
    <w:rsid w:val="331454D3"/>
    <w:rsid w:val="3D617E25"/>
    <w:rsid w:val="401C27DD"/>
    <w:rsid w:val="453D78B2"/>
    <w:rsid w:val="46515AEE"/>
    <w:rsid w:val="49460277"/>
    <w:rsid w:val="49957BE2"/>
    <w:rsid w:val="4DF0124F"/>
    <w:rsid w:val="55BE4E94"/>
    <w:rsid w:val="56DB46C1"/>
    <w:rsid w:val="611135E8"/>
    <w:rsid w:val="61BF2446"/>
    <w:rsid w:val="673C71ED"/>
    <w:rsid w:val="72D354FA"/>
    <w:rsid w:val="746A5AC6"/>
    <w:rsid w:val="76094174"/>
    <w:rsid w:val="7BD10A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24A4D3-329B-47C7-B50D-387083FAB045}">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12081</Words>
  <Characters>12202</Characters>
  <Lines>469</Lines>
  <Paragraphs>433</Paragraphs>
  <TotalTime>9</TotalTime>
  <ScaleCrop>false</ScaleCrop>
  <LinksUpToDate>false</LinksUpToDate>
  <CharactersWithSpaces>23850</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2023-12-07T06:58:00Z</dcterms:created>
  <dc:creator>PingAn</dc:creator>
  <cp:lastModifiedBy>EX-ZHAOWEI183</cp:lastModifiedBy>
  <cp:lastPrinted>2020-10-23T02:40:00Z</cp:lastPrinted>
  <dcterms:modified xsi:type="dcterms:W3CDTF">2024-09-25T07:36:27Z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19F8801834A04AA2B5B7C7FC9E169F4E</vt:lpwstr>
  </property>
</Properties>
</file>