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10523C">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7A8B5556">
      <w:pPr>
        <w:adjustRightInd w:val="0"/>
        <w:spacing w:line="360" w:lineRule="auto"/>
        <w:jc w:val="center"/>
        <w:rPr>
          <w:rStyle w:val="27"/>
          <w:rFonts w:ascii="宋体" w:hAnsi="宋体"/>
          <w:sz w:val="32"/>
          <w:szCs w:val="32"/>
        </w:rPr>
      </w:pPr>
    </w:p>
    <w:p w14:paraId="40C27027">
      <w:pPr>
        <w:adjustRightInd w:val="0"/>
        <w:spacing w:line="360" w:lineRule="auto"/>
        <w:jc w:val="center"/>
        <w:rPr>
          <w:rStyle w:val="27"/>
          <w:rFonts w:ascii="宋体" w:hAnsi="宋体"/>
          <w:sz w:val="32"/>
          <w:szCs w:val="32"/>
        </w:rPr>
      </w:pPr>
    </w:p>
    <w:p w14:paraId="4A3BE42A">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1E680558">
      <w:pPr>
        <w:adjustRightInd w:val="0"/>
        <w:spacing w:line="360" w:lineRule="auto"/>
        <w:jc w:val="center"/>
        <w:rPr>
          <w:rStyle w:val="27"/>
          <w:rFonts w:ascii="宋体" w:hAnsi="宋体"/>
          <w:sz w:val="32"/>
          <w:szCs w:val="32"/>
        </w:rPr>
      </w:pPr>
    </w:p>
    <w:p w14:paraId="06A6AF67">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【稳添利日盈日开固收类】</w:t>
      </w:r>
      <w:permEnd w:id="0"/>
      <w:r>
        <w:rPr>
          <w:rStyle w:val="27"/>
          <w:rFonts w:hint="eastAsia" w:ascii="黑体" w:hAnsi="黑体" w:eastAsia="黑体"/>
          <w:sz w:val="44"/>
          <w:szCs w:val="44"/>
        </w:rPr>
        <w:t>理财产品</w:t>
      </w:r>
    </w:p>
    <w:p w14:paraId="34C12D10">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563A6B44">
      <w:pPr>
        <w:adjustRightInd w:val="0"/>
        <w:spacing w:line="360" w:lineRule="auto"/>
        <w:jc w:val="center"/>
        <w:rPr>
          <w:rStyle w:val="27"/>
          <w:rFonts w:ascii="宋体" w:hAnsi="宋体"/>
          <w:sz w:val="32"/>
          <w:szCs w:val="32"/>
        </w:rPr>
      </w:pPr>
    </w:p>
    <w:p w14:paraId="141B0BD3">
      <w:pPr>
        <w:adjustRightInd w:val="0"/>
        <w:spacing w:line="360" w:lineRule="auto"/>
        <w:jc w:val="center"/>
        <w:rPr>
          <w:rStyle w:val="27"/>
          <w:rFonts w:ascii="黑体" w:hAnsi="黑体" w:eastAsia="黑体"/>
          <w:bCs w:val="0"/>
          <w:sz w:val="28"/>
          <w:szCs w:val="28"/>
        </w:rPr>
      </w:pPr>
    </w:p>
    <w:p w14:paraId="2D39AD8C">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14C581A5">
      <w:pPr>
        <w:adjustRightInd w:val="0"/>
        <w:spacing w:line="360" w:lineRule="auto"/>
        <w:jc w:val="center"/>
        <w:rPr>
          <w:rStyle w:val="27"/>
          <w:rFonts w:ascii="宋体" w:hAnsi="宋体"/>
          <w:sz w:val="32"/>
          <w:szCs w:val="32"/>
        </w:rPr>
      </w:pPr>
    </w:p>
    <w:p w14:paraId="2E71CBC3">
      <w:pPr>
        <w:adjustRightInd w:val="0"/>
        <w:spacing w:line="360" w:lineRule="auto"/>
        <w:jc w:val="center"/>
        <w:rPr>
          <w:rStyle w:val="27"/>
          <w:rFonts w:ascii="宋体" w:hAnsi="宋体"/>
          <w:sz w:val="32"/>
          <w:szCs w:val="32"/>
        </w:rPr>
      </w:pPr>
    </w:p>
    <w:p w14:paraId="26D244B5">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ascii="宋体" w:hAnsi="宋体" w:cs="Times New Roman"/>
          <w:sz w:val="32"/>
          <w:szCs w:val="32"/>
        </w:rPr>
        <w:t>2024</w:t>
      </w:r>
      <w:r>
        <w:rPr>
          <w:rStyle w:val="27"/>
          <w:rFonts w:hint="eastAsia" w:ascii="宋体" w:hAnsi="宋体" w:cs="Times New Roman"/>
          <w:sz w:val="32"/>
          <w:szCs w:val="32"/>
        </w:rPr>
        <w:t>】年【</w:t>
      </w:r>
      <w:r>
        <w:rPr>
          <w:rStyle w:val="27"/>
          <w:rFonts w:ascii="宋体" w:hAnsi="宋体" w:cs="Times New Roman"/>
          <w:sz w:val="32"/>
          <w:szCs w:val="32"/>
        </w:rPr>
        <w:t>1</w:t>
      </w:r>
      <w:r>
        <w:rPr>
          <w:rStyle w:val="27"/>
          <w:rFonts w:hint="eastAsia" w:ascii="宋体" w:hAnsi="宋体" w:cs="Times New Roman"/>
          <w:sz w:val="32"/>
          <w:szCs w:val="32"/>
          <w:lang w:val="en-US" w:eastAsia="zh-CN"/>
        </w:rPr>
        <w:t>2</w:t>
      </w:r>
      <w:r>
        <w:rPr>
          <w:rStyle w:val="27"/>
          <w:rFonts w:hint="eastAsia" w:ascii="宋体" w:hAnsi="宋体" w:cs="Times New Roman"/>
          <w:sz w:val="32"/>
          <w:szCs w:val="32"/>
        </w:rPr>
        <w:t>】月</w:t>
      </w:r>
      <w:permEnd w:id="1"/>
    </w:p>
    <w:p w14:paraId="4D0132DF">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34D49750">
          <w:pPr>
            <w:pStyle w:val="48"/>
            <w:spacing w:line="360" w:lineRule="auto"/>
            <w:jc w:val="center"/>
          </w:pPr>
          <w:permStart w:id="2" w:edGrp="everyone"/>
          <w:bookmarkStart w:id="0" w:name="_Toc78276587"/>
          <w:r>
            <w:rPr>
              <w:lang w:val="zh-CN"/>
            </w:rPr>
            <w:t>目录</w:t>
          </w:r>
        </w:p>
        <w:p w14:paraId="6C6B26CD">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"_Toc176187990"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_Toc176187990 \h </w:instrText>
          </w:r>
          <w:r>
            <w:fldChar w:fldCharType="separate"/>
          </w:r>
          <w:r>
            <w:t>3</w:t>
          </w:r>
          <w:r>
            <w:fldChar w:fldCharType="end"/>
          </w:r>
          <w:r>
            <w:fldChar w:fldCharType="end"/>
          </w:r>
        </w:p>
        <w:p w14:paraId="5263E1E5">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"_Toc176187991"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_Toc176187991 \h </w:instrText>
          </w:r>
          <w:r>
            <w:fldChar w:fldCharType="separate"/>
          </w:r>
          <w:r>
            <w:t>8</w:t>
          </w:r>
          <w:r>
            <w:fldChar w:fldCharType="end"/>
          </w:r>
          <w:r>
            <w:fldChar w:fldCharType="end"/>
          </w:r>
        </w:p>
        <w:p w14:paraId="3F750F19">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"_Toc176187992"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_Toc176187992 \h </w:instrText>
          </w:r>
          <w:r>
            <w:fldChar w:fldCharType="separate"/>
          </w:r>
          <w:r>
            <w:t>14</w:t>
          </w:r>
          <w:r>
            <w:fldChar w:fldCharType="end"/>
          </w:r>
          <w:r>
            <w:fldChar w:fldCharType="end"/>
          </w:r>
        </w:p>
        <w:p w14:paraId="33C11779">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"_Toc176187993"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_Toc176187993 \h </w:instrText>
          </w:r>
          <w:r>
            <w:fldChar w:fldCharType="separate"/>
          </w:r>
          <w:r>
            <w:t>16</w:t>
          </w:r>
          <w:r>
            <w:fldChar w:fldCharType="end"/>
          </w:r>
          <w:r>
            <w:fldChar w:fldCharType="end"/>
          </w:r>
        </w:p>
        <w:p w14:paraId="5FF3E0A2">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"_Toc176187994"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_Toc176187994 \h </w:instrText>
          </w:r>
          <w:r>
            <w:fldChar w:fldCharType="separate"/>
          </w:r>
          <w:r>
            <w:t>20</w:t>
          </w:r>
          <w:r>
            <w:fldChar w:fldCharType="end"/>
          </w:r>
          <w:r>
            <w:fldChar w:fldCharType="end"/>
          </w:r>
        </w:p>
        <w:p w14:paraId="6567BA9F">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"_Toc176187995"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_Toc176187995 \h </w:instrText>
          </w:r>
          <w:r>
            <w:fldChar w:fldCharType="separate"/>
          </w:r>
          <w:r>
            <w:t>23</w:t>
          </w:r>
          <w:r>
            <w:fldChar w:fldCharType="end"/>
          </w:r>
          <w:r>
            <w:fldChar w:fldCharType="end"/>
          </w:r>
        </w:p>
        <w:p w14:paraId="1814ACDB">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"_Toc176187996"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_Toc176187996 \h </w:instrText>
          </w:r>
          <w:r>
            <w:fldChar w:fldCharType="separate"/>
          </w:r>
          <w:r>
            <w:t>24</w:t>
          </w:r>
          <w:r>
            <w:fldChar w:fldCharType="end"/>
          </w:r>
          <w:r>
            <w:fldChar w:fldCharType="end"/>
          </w:r>
        </w:p>
        <w:p w14:paraId="5AEB895F">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"_Toc176187997"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_Toc176187997 \h </w:instrText>
          </w:r>
          <w:r>
            <w:fldChar w:fldCharType="separate"/>
          </w:r>
          <w:r>
            <w:t>28</w:t>
          </w:r>
          <w:r>
            <w:fldChar w:fldCharType="end"/>
          </w:r>
          <w:r>
            <w:fldChar w:fldCharType="end"/>
          </w:r>
        </w:p>
        <w:p w14:paraId="621DBC47">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"_Toc176187998"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_Toc176187998 \h </w:instrText>
          </w:r>
          <w:r>
            <w:fldChar w:fldCharType="separate"/>
          </w:r>
          <w:r>
            <w:t>29</w:t>
          </w:r>
          <w:r>
            <w:fldChar w:fldCharType="end"/>
          </w:r>
          <w:r>
            <w:fldChar w:fldCharType="end"/>
          </w:r>
        </w:p>
        <w:p w14:paraId="13A20076">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"_Toc176187999"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_Toc176187999 \h </w:instrText>
          </w:r>
          <w:r>
            <w:fldChar w:fldCharType="separate"/>
          </w:r>
          <w:r>
            <w:t>31</w:t>
          </w:r>
          <w:r>
            <w:fldChar w:fldCharType="end"/>
          </w:r>
          <w:r>
            <w:fldChar w:fldCharType="end"/>
          </w:r>
        </w:p>
        <w:p w14:paraId="05F267B5">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"_Toc176188000"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_Toc176188000 \h </w:instrText>
          </w:r>
          <w:r>
            <w:fldChar w:fldCharType="separate"/>
          </w:r>
          <w:r>
            <w:t>33</w:t>
          </w:r>
          <w:r>
            <w:fldChar w:fldCharType="end"/>
          </w:r>
          <w:r>
            <w:fldChar w:fldCharType="end"/>
          </w:r>
        </w:p>
        <w:p w14:paraId="345FAA7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"_Toc176188001"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_Toc176188001 \h </w:instrText>
          </w:r>
          <w:r>
            <w:fldChar w:fldCharType="separate"/>
          </w:r>
          <w:r>
            <w:t>35</w:t>
          </w:r>
          <w:r>
            <w:fldChar w:fldCharType="end"/>
          </w:r>
          <w:r>
            <w:fldChar w:fldCharType="end"/>
          </w:r>
        </w:p>
        <w:p w14:paraId="0DD9E7A6">
          <w:pPr>
            <w:spacing w:line="360" w:lineRule="auto"/>
          </w:pPr>
          <w:r>
            <w:fldChar w:fldCharType="end"/>
          </w:r>
        </w:p>
      </w:sdtContent>
    </w:sdt>
    <w:permEnd w:id="2"/>
    <w:p w14:paraId="2D8C31B7">
      <w:pPr>
        <w:rPr>
          <w:rFonts w:ascii="Times New Roman"/>
          <w:sz w:val="30"/>
        </w:rPr>
      </w:pPr>
    </w:p>
    <w:p w14:paraId="2A91852D">
      <w:pPr>
        <w:rPr>
          <w:rFonts w:ascii="Times New Roman"/>
          <w:sz w:val="30"/>
        </w:rPr>
      </w:pPr>
      <w:r>
        <w:rPr>
          <w:rFonts w:ascii="Times New Roman"/>
          <w:sz w:val="30"/>
        </w:rPr>
        <w:br w:type="page"/>
      </w:r>
    </w:p>
    <w:p w14:paraId="40E83FBE">
      <w:pPr>
        <w:pStyle w:val="2"/>
        <w:spacing w:before="0" w:after="0" w:line="360" w:lineRule="auto"/>
        <w:jc w:val="center"/>
        <w:rPr>
          <w:rFonts w:ascii="Times New Roman"/>
          <w:sz w:val="30"/>
        </w:rPr>
      </w:pPr>
      <w:bookmarkStart w:id="1" w:name="_Toc92377130"/>
      <w:bookmarkStart w:id="2" w:name="_Toc15989"/>
      <w:bookmarkStart w:id="3" w:name="_Toc103260528"/>
      <w:bookmarkStart w:id="4" w:name="_Toc17618799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14:paraId="75AD032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15C953C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2DB261A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5946122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64CA23B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5C4B0CB1">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023A681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w:t>
      </w:r>
      <w:r>
        <w:rPr>
          <w:rFonts w:hint="eastAsia" w:hAnsi="宋体"/>
          <w:bCs/>
          <w:kern w:val="2"/>
          <w:sz w:val="18"/>
          <w:szCs w:val="18"/>
          <w:lang w:bidi="ar"/>
        </w:rPr>
        <w:t>自然人、法人或者依法成立的其他组织</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14:paraId="6CC7C211">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1FB59A04">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576F585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6F2C396A">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37BBFCD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00BDF7F2">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10DE363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【稳添利日盈日开固收类】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524BE5B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【稳添利日盈日开固收类】</w:t>
      </w:r>
      <w:permEnd w:id="5"/>
      <w:r>
        <w:rPr>
          <w:rFonts w:hint="eastAsia" w:asciiTheme="majorEastAsia" w:hAnsiTheme="majorEastAsia" w:eastAsiaTheme="majorEastAsia"/>
          <w:bCs/>
          <w:sz w:val="18"/>
          <w:szCs w:val="18"/>
        </w:rPr>
        <w:t>理财产品投资协议书》，以及对该文件的有效修改或补充。</w:t>
      </w:r>
    </w:p>
    <w:p w14:paraId="667E6C2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【稳添利日盈日开固收类】</w:t>
      </w:r>
      <w:permEnd w:id="6"/>
      <w:r>
        <w:rPr>
          <w:rFonts w:hint="eastAsia" w:asciiTheme="majorEastAsia" w:hAnsiTheme="majorEastAsia" w:eastAsiaTheme="majorEastAsia"/>
          <w:bCs/>
          <w:sz w:val="18"/>
          <w:szCs w:val="18"/>
        </w:rPr>
        <w:t>理财产品产品说明书》，以及对该文件的有效修改或补充。</w:t>
      </w:r>
    </w:p>
    <w:p w14:paraId="385F6C4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【稳添利日盈日开固收类】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【稳添利日盈日开固收类】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14:paraId="55177FDC">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【稳添利日盈日开固收类】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【稳添利日盈日开固收类】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14:paraId="0549E93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【稳添利日盈日开固收类】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【稳添利日盈日开固收类】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14:paraId="626FC0EA">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723A377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31CEBC4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1CACC74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14:paraId="0915249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04AD204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1B9EBDE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14:paraId="53FD8B5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32D1CE4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325396B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07A4C06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14:paraId="4F6F657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6D95ED66">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3A785D3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6B32928A">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79EDE04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100182F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14:paraId="4CB3714A">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14:paraId="20CD54A5">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63435BF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18F2F12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14:paraId="337D790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14:paraId="3BAE1D2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14:paraId="3DB6F16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63A9D80B">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04313C9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2233AAE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78AFDFEE">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35590B7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14:paraId="15C825B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14:paraId="3115645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30D4F77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269A16D2">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567C5F6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2ED0825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4176467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1AD8CFE3">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14:paraId="6DA785C1">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14:paraId="1E519A03">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39283826">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261C9A0E">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2FC5F41D">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7D1FFC0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3280D15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14:paraId="55F76D1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14:paraId="002139C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14:paraId="7FB4CB4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14:paraId="05A8BF4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14:paraId="22C256E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50A9C15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14:paraId="0617075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14:paraId="786F67E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0DC93B4D">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3C915448">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057E9092">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5C41F8D2">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78EDCB75">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22BC0F01">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578036B5">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19DD05A6">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6B7B99F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799FC772">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14:paraId="3DD69B3B">
      <w:pPr>
        <w:widowControl/>
        <w:spacing w:line="360" w:lineRule="auto"/>
        <w:jc w:val="left"/>
        <w:rPr>
          <w:rFonts w:ascii="宋体" w:hAnsi="宋体"/>
          <w:color w:val="000000"/>
          <w:kern w:val="0"/>
          <w:sz w:val="28"/>
          <w:szCs w:val="28"/>
        </w:rPr>
      </w:pPr>
      <w:r>
        <w:rPr>
          <w:rFonts w:hAnsi="宋体"/>
          <w:sz w:val="28"/>
          <w:szCs w:val="28"/>
        </w:rPr>
        <w:br w:type="page"/>
      </w:r>
    </w:p>
    <w:p w14:paraId="1225A4FB">
      <w:pPr>
        <w:pStyle w:val="2"/>
        <w:spacing w:before="0" w:after="0" w:line="360" w:lineRule="auto"/>
        <w:jc w:val="center"/>
        <w:rPr>
          <w:rFonts w:hAnsi="宋体"/>
          <w:sz w:val="28"/>
          <w:szCs w:val="28"/>
        </w:rPr>
      </w:pPr>
      <w:bookmarkStart w:id="5" w:name="_Toc103260529"/>
      <w:bookmarkStart w:id="6" w:name="_Toc3887"/>
      <w:bookmarkStart w:id="7" w:name="_Toc176187991"/>
      <w:bookmarkStart w:id="8" w:name="_Toc92377131"/>
      <w:bookmarkStart w:id="9" w:name="_Toc79154665"/>
      <w:r>
        <w:rPr>
          <w:rFonts w:hint="eastAsia" w:hAnsi="宋体"/>
          <w:sz w:val="28"/>
          <w:szCs w:val="28"/>
        </w:rPr>
        <w:t>第二条  理财产品基本情况</w:t>
      </w:r>
      <w:bookmarkEnd w:id="5"/>
      <w:bookmarkEnd w:id="6"/>
      <w:bookmarkEnd w:id="7"/>
      <w:bookmarkEnd w:id="8"/>
      <w:bookmarkEnd w:id="9"/>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14:paraId="63166C8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14:paraId="691098C9">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center"/>
          </w:tcPr>
          <w:p w14:paraId="27494EA7">
            <w:pPr>
              <w:spacing w:line="360" w:lineRule="auto"/>
              <w:jc w:val="left"/>
              <w:rPr>
                <w:rFonts w:ascii="宋体" w:hAnsi="宋体"/>
                <w:bCs/>
                <w:sz w:val="18"/>
                <w:szCs w:val="18"/>
              </w:rPr>
            </w:pPr>
            <w:r>
              <w:rPr>
                <w:rFonts w:hint="eastAsia" w:ascii="宋体" w:hAnsi="宋体"/>
                <w:bCs/>
                <w:sz w:val="18"/>
                <w:szCs w:val="18"/>
              </w:rPr>
              <w:t>【兴银理财稳添利日盈27号日开固收类理财产品】</w:t>
            </w:r>
          </w:p>
        </w:tc>
      </w:tr>
      <w:tr w14:paraId="69EC158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14:paraId="18E4BA2C">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14:paraId="3A74C78D">
            <w:pPr>
              <w:spacing w:line="360" w:lineRule="auto"/>
              <w:jc w:val="left"/>
              <w:rPr>
                <w:rFonts w:ascii="宋体" w:hAnsi="宋体"/>
                <w:color w:val="auto"/>
                <w:kern w:val="0"/>
                <w:sz w:val="22"/>
              </w:rPr>
            </w:pPr>
            <w:r>
              <w:rPr>
                <w:rFonts w:hint="eastAsia" w:asciiTheme="majorEastAsia" w:hAnsiTheme="majorEastAsia" w:eastAsiaTheme="majorEastAsia"/>
                <w:bCs/>
                <w:color w:val="auto"/>
                <w:sz w:val="18"/>
                <w:szCs w:val="18"/>
              </w:rPr>
              <w:t>【兴银稳添利日盈27号</w:t>
            </w:r>
            <w:r>
              <w:rPr>
                <w:rFonts w:hint="eastAsia" w:asciiTheme="majorEastAsia" w:hAnsiTheme="majorEastAsia" w:eastAsiaTheme="majorEastAsia"/>
                <w:bCs/>
                <w:color w:val="auto"/>
                <w:sz w:val="18"/>
                <w:szCs w:val="18"/>
                <w:lang w:eastAsia="zh-CN"/>
              </w:rPr>
              <w:t>H】</w:t>
            </w:r>
            <w:r>
              <w:rPr>
                <w:rFonts w:hint="eastAsia" w:hAnsi="宋体"/>
                <w:color w:val="auto"/>
                <w:sz w:val="18"/>
                <w:szCs w:val="18"/>
              </w:rPr>
              <w:t>（适用</w:t>
            </w:r>
            <w:r>
              <w:rPr>
                <w:rFonts w:hint="eastAsia" w:asciiTheme="minorEastAsia" w:hAnsiTheme="minorEastAsia"/>
                <w:color w:val="auto"/>
                <w:sz w:val="18"/>
                <w:szCs w:val="18"/>
              </w:rPr>
              <w:t>【</w:t>
            </w:r>
            <w:r>
              <w:rPr>
                <w:rFonts w:hint="eastAsia" w:asciiTheme="minorEastAsia" w:hAnsiTheme="minorEastAsia"/>
                <w:color w:val="auto"/>
                <w:sz w:val="18"/>
                <w:szCs w:val="18"/>
                <w:lang w:eastAsia="zh-CN"/>
              </w:rPr>
              <w:t>H】</w:t>
            </w:r>
            <w:r>
              <w:rPr>
                <w:rFonts w:hint="eastAsia" w:asciiTheme="minorEastAsia" w:hAnsiTheme="minorEastAsia"/>
                <w:color w:val="auto"/>
                <w:sz w:val="18"/>
                <w:szCs w:val="18"/>
              </w:rPr>
              <w:t>类</w:t>
            </w:r>
            <w:r>
              <w:rPr>
                <w:rFonts w:hint="eastAsia" w:hAnsi="宋体"/>
                <w:color w:val="auto"/>
                <w:sz w:val="18"/>
                <w:szCs w:val="18"/>
              </w:rPr>
              <w:t>份额）</w:t>
            </w:r>
          </w:p>
        </w:tc>
      </w:tr>
      <w:tr w14:paraId="76032A7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43B599A4">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vAlign w:val="center"/>
          </w:tcPr>
          <w:p w14:paraId="2A17AF23">
            <w:pPr>
              <w:rPr>
                <w:rFonts w:ascii="宋体" w:hAnsi="宋体"/>
                <w:b/>
                <w:color w:val="auto"/>
                <w:sz w:val="18"/>
                <w:szCs w:val="18"/>
              </w:rPr>
            </w:pPr>
            <w:r>
              <w:rPr>
                <w:rFonts w:hint="eastAsia" w:hAnsi="宋体"/>
                <w:color w:val="auto"/>
                <w:sz w:val="18"/>
                <w:szCs w:val="18"/>
              </w:rPr>
              <w:t>【Z7002024002831】投资者可依</w:t>
            </w:r>
            <w:r>
              <w:rPr>
                <w:rFonts w:hint="eastAsia" w:ascii="宋体" w:hAnsi="宋体"/>
                <w:color w:val="auto"/>
                <w:sz w:val="18"/>
                <w:szCs w:val="18"/>
              </w:rPr>
              <w:t>据理财产品登记编码在中国理财网(www.chinawealth.com.cn）查询产品信息。</w:t>
            </w:r>
          </w:p>
        </w:tc>
      </w:tr>
      <w:tr w14:paraId="118C0C3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77713B53">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14:paraId="38BDFEEF">
            <w:pPr>
              <w:spacing w:line="360" w:lineRule="auto"/>
              <w:jc w:val="left"/>
              <w:rPr>
                <w:rFonts w:ascii="宋体" w:hAnsi="宋体"/>
                <w:bCs/>
                <w:color w:val="auto"/>
                <w:sz w:val="18"/>
                <w:szCs w:val="18"/>
              </w:rPr>
            </w:pPr>
            <w:r>
              <w:rPr>
                <w:rFonts w:ascii="宋体" w:hAnsi="宋体"/>
                <w:bCs/>
                <w:color w:val="auto"/>
                <w:sz w:val="18"/>
                <w:szCs w:val="18"/>
              </w:rPr>
              <w:t>【</w:t>
            </w:r>
            <w:r>
              <w:rPr>
                <w:rFonts w:hint="eastAsia" w:ascii="宋体" w:hAnsi="宋体"/>
                <w:bCs/>
                <w:color w:val="auto"/>
                <w:sz w:val="18"/>
                <w:szCs w:val="18"/>
              </w:rPr>
              <w:t>9K923270</w:t>
            </w:r>
            <w:r>
              <w:rPr>
                <w:rFonts w:ascii="宋体" w:hAnsi="宋体"/>
                <w:bCs/>
                <w:color w:val="auto"/>
                <w:sz w:val="18"/>
                <w:szCs w:val="18"/>
              </w:rPr>
              <w:t>】</w:t>
            </w:r>
          </w:p>
        </w:tc>
      </w:tr>
      <w:tr w14:paraId="4D171C4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14:paraId="73E682EF">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14:paraId="1D5694BF">
            <w:pPr>
              <w:spacing w:line="360" w:lineRule="auto"/>
              <w:jc w:val="left"/>
              <w:rPr>
                <w:rFonts w:hAnsi="宋体"/>
                <w:color w:val="auto"/>
                <w:sz w:val="18"/>
                <w:szCs w:val="18"/>
              </w:rPr>
            </w:pPr>
            <w:r>
              <w:rPr>
                <w:rFonts w:ascii="宋体" w:hAnsi="宋体"/>
                <w:bCs/>
                <w:color w:val="auto"/>
                <w:sz w:val="18"/>
                <w:szCs w:val="18"/>
              </w:rPr>
              <w:t>【</w:t>
            </w:r>
            <w:r>
              <w:rPr>
                <w:rFonts w:hint="eastAsia" w:ascii="宋体" w:hAnsi="宋体"/>
                <w:bCs/>
                <w:color w:val="auto"/>
                <w:sz w:val="18"/>
                <w:szCs w:val="18"/>
              </w:rPr>
              <w:t>9K92327</w:t>
            </w:r>
            <w:r>
              <w:rPr>
                <w:rFonts w:hint="eastAsia" w:ascii="宋体" w:hAnsi="宋体"/>
                <w:bCs/>
                <w:color w:val="auto"/>
                <w:sz w:val="18"/>
                <w:szCs w:val="18"/>
                <w:lang w:eastAsia="zh-CN"/>
              </w:rPr>
              <w:t>H】</w:t>
            </w:r>
            <w:r>
              <w:rPr>
                <w:rFonts w:hint="eastAsia" w:hAnsi="宋体"/>
                <w:color w:val="auto"/>
                <w:sz w:val="18"/>
                <w:szCs w:val="18"/>
              </w:rPr>
              <w:t>（适用</w:t>
            </w:r>
            <w:r>
              <w:rPr>
                <w:rFonts w:hint="eastAsia" w:asciiTheme="minorEastAsia" w:hAnsiTheme="minorEastAsia"/>
                <w:color w:val="auto"/>
                <w:sz w:val="18"/>
                <w:szCs w:val="18"/>
              </w:rPr>
              <w:t>【</w:t>
            </w:r>
            <w:r>
              <w:rPr>
                <w:rFonts w:hint="eastAsia" w:asciiTheme="minorEastAsia" w:hAnsiTheme="minorEastAsia"/>
                <w:color w:val="auto"/>
                <w:sz w:val="18"/>
                <w:szCs w:val="18"/>
                <w:lang w:eastAsia="zh-CN"/>
              </w:rPr>
              <w:t>H】</w:t>
            </w:r>
            <w:r>
              <w:rPr>
                <w:rFonts w:hint="eastAsia" w:asciiTheme="minorEastAsia" w:hAnsiTheme="minorEastAsia"/>
                <w:color w:val="auto"/>
                <w:sz w:val="18"/>
                <w:szCs w:val="18"/>
              </w:rPr>
              <w:t>类</w:t>
            </w:r>
            <w:r>
              <w:rPr>
                <w:rFonts w:hint="eastAsia" w:hAnsi="宋体"/>
                <w:color w:val="auto"/>
                <w:sz w:val="18"/>
                <w:szCs w:val="18"/>
              </w:rPr>
              <w:t>份额）</w:t>
            </w:r>
          </w:p>
        </w:tc>
      </w:tr>
      <w:tr w14:paraId="5E68405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14:paraId="66B719C8">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14:paraId="02842A0B">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4CB7061B">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14:paraId="00CBE2A0">
            <w:pPr>
              <w:spacing w:line="360" w:lineRule="auto"/>
              <w:rPr>
                <w:rFonts w:ascii="宋体" w:hAnsi="宋体"/>
                <w:bCs/>
                <w:sz w:val="18"/>
                <w:szCs w:val="18"/>
              </w:rPr>
            </w:pPr>
            <w:r>
              <w:rPr>
                <w:rFonts w:hint="eastAsia" w:ascii="宋体" w:hAnsi="宋体"/>
                <w:bCs/>
                <w:sz w:val="18"/>
                <w:szCs w:val="18"/>
              </w:rPr>
              <w:t>（1）销售名称</w:t>
            </w:r>
          </w:p>
          <w:p w14:paraId="13F98787">
            <w:pPr>
              <w:spacing w:line="360" w:lineRule="auto"/>
              <w:rPr>
                <w:rFonts w:ascii="宋体" w:hAnsi="宋体"/>
                <w:bCs/>
                <w:sz w:val="18"/>
                <w:szCs w:val="18"/>
              </w:rPr>
            </w:pPr>
            <w:r>
              <w:rPr>
                <w:rFonts w:hint="eastAsia" w:ascii="宋体" w:hAnsi="宋体"/>
                <w:bCs/>
                <w:sz w:val="18"/>
                <w:szCs w:val="18"/>
              </w:rPr>
              <w:t>（2）收费方式</w:t>
            </w:r>
          </w:p>
          <w:p w14:paraId="29E6F7DA">
            <w:pPr>
              <w:spacing w:line="360" w:lineRule="auto"/>
              <w:rPr>
                <w:rFonts w:ascii="宋体" w:hAnsi="宋体"/>
                <w:bCs/>
                <w:sz w:val="18"/>
                <w:szCs w:val="18"/>
              </w:rPr>
            </w:pPr>
            <w:r>
              <w:rPr>
                <w:rFonts w:hint="eastAsia" w:ascii="宋体" w:hAnsi="宋体"/>
                <w:bCs/>
                <w:sz w:val="18"/>
                <w:szCs w:val="18"/>
              </w:rPr>
              <w:t>（3）销售服务费</w:t>
            </w:r>
          </w:p>
          <w:p w14:paraId="5B516307">
            <w:pPr>
              <w:spacing w:line="360" w:lineRule="auto"/>
              <w:rPr>
                <w:rFonts w:ascii="宋体" w:hAnsi="宋体"/>
                <w:bCs/>
                <w:sz w:val="18"/>
                <w:szCs w:val="18"/>
              </w:rPr>
            </w:pPr>
            <w:r>
              <w:rPr>
                <w:rFonts w:hint="eastAsia" w:ascii="宋体" w:hAnsi="宋体"/>
                <w:bCs/>
                <w:sz w:val="18"/>
                <w:szCs w:val="18"/>
              </w:rPr>
              <w:t>（4）销售代码</w:t>
            </w:r>
          </w:p>
          <w:p w14:paraId="7BE863E4">
            <w:pPr>
              <w:spacing w:line="360" w:lineRule="auto"/>
              <w:rPr>
                <w:rFonts w:ascii="宋体" w:hAnsi="宋体"/>
                <w:bCs/>
                <w:sz w:val="18"/>
                <w:szCs w:val="18"/>
              </w:rPr>
            </w:pPr>
            <w:r>
              <w:rPr>
                <w:rFonts w:hint="eastAsia" w:ascii="宋体" w:hAnsi="宋体"/>
                <w:bCs/>
                <w:sz w:val="18"/>
                <w:szCs w:val="18"/>
              </w:rPr>
              <w:t>（5）销售对象</w:t>
            </w:r>
          </w:p>
          <w:p w14:paraId="6B95E2F5">
            <w:pPr>
              <w:spacing w:line="360" w:lineRule="auto"/>
              <w:rPr>
                <w:rFonts w:ascii="宋体" w:hAnsi="宋体"/>
                <w:bCs/>
                <w:sz w:val="18"/>
                <w:szCs w:val="18"/>
              </w:rPr>
            </w:pPr>
            <w:r>
              <w:rPr>
                <w:rFonts w:hint="eastAsia" w:ascii="宋体" w:hAnsi="宋体"/>
                <w:bCs/>
                <w:sz w:val="18"/>
                <w:szCs w:val="18"/>
              </w:rPr>
              <w:t>（6）销售起点金额（认购、申购的起点金额）</w:t>
            </w:r>
          </w:p>
          <w:p w14:paraId="3296E271">
            <w:pPr>
              <w:spacing w:line="360" w:lineRule="auto"/>
              <w:rPr>
                <w:rFonts w:ascii="宋体" w:hAnsi="宋体"/>
                <w:bCs/>
                <w:sz w:val="18"/>
                <w:szCs w:val="18"/>
              </w:rPr>
            </w:pPr>
            <w:r>
              <w:rPr>
                <w:rFonts w:hint="eastAsia" w:ascii="宋体" w:hAnsi="宋体"/>
                <w:bCs/>
                <w:sz w:val="18"/>
                <w:szCs w:val="18"/>
              </w:rPr>
              <w:t>（7）投资者认购、申购和赎回的数量限制</w:t>
            </w:r>
          </w:p>
          <w:p w14:paraId="1A47CCF0">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4A9C2534">
            <w:pPr>
              <w:spacing w:line="360" w:lineRule="auto"/>
              <w:rPr>
                <w:rFonts w:ascii="宋体" w:hAnsi="宋体"/>
                <w:bCs/>
                <w:sz w:val="18"/>
                <w:szCs w:val="18"/>
              </w:rPr>
            </w:pPr>
            <w:r>
              <w:rPr>
                <w:rFonts w:hint="eastAsia" w:ascii="宋体" w:hAnsi="宋体"/>
                <w:bCs/>
                <w:sz w:val="18"/>
                <w:szCs w:val="18"/>
              </w:rPr>
              <w:t>（9）分别计算和公告产品份额净值</w:t>
            </w:r>
          </w:p>
          <w:p w14:paraId="6741B745">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7CBC677B">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14:paraId="14B4AE8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6B0BEB1">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14:paraId="26496717">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14:paraId="4CF731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92883ED">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14:paraId="0CE3B27A">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511CB8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7BD468F">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14:paraId="50CFF1F7">
            <w:pPr>
              <w:spacing w:line="360" w:lineRule="auto"/>
              <w:rPr>
                <w:rFonts w:ascii="宋体" w:hAnsi="宋体"/>
                <w:bCs/>
                <w:sz w:val="18"/>
                <w:szCs w:val="18"/>
              </w:rPr>
            </w:pPr>
            <w:r>
              <w:rPr>
                <w:rFonts w:hint="eastAsia" w:ascii="宋体" w:hAnsi="宋体"/>
                <w:bCs/>
                <w:sz w:val="18"/>
                <w:szCs w:val="18"/>
              </w:rPr>
              <w:t>开放式</w:t>
            </w:r>
          </w:p>
        </w:tc>
      </w:tr>
      <w:tr w14:paraId="51CA11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19B5199">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14:paraId="5847B5F2">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14:paraId="0D2A24A3">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14:paraId="2E6509C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51E8590">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14:paraId="36FA7689">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14:paraId="1A0845D7">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14:paraId="507B24F8">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14:paraId="331B99F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E8DAB1D">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14:paraId="75C96E7D">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7388ADE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11C9BDD">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14:paraId="43481659">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702BA1C1">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23A22BC5">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14:paraId="5B2EB31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B29074F">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14:paraId="067304C1">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14:paraId="1A8A7456">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2FC76183">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4580A37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0D2B087">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14:paraId="2C7A7C08">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02A12244">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sz w:val="18"/>
                <w:szCs w:val="18"/>
              </w:rPr>
              <w:t>注：当销售机构销售产品风险评级为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14:paraId="192702A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3B987AE">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14:paraId="2168C9E8">
            <w:pPr>
              <w:spacing w:line="360" w:lineRule="auto"/>
              <w:jc w:val="left"/>
              <w:rPr>
                <w:rFonts w:ascii="宋体" w:hAnsi="宋体"/>
                <w:sz w:val="18"/>
                <w:szCs w:val="18"/>
              </w:rPr>
            </w:pPr>
            <w:r>
              <w:rPr>
                <w:rFonts w:hint="eastAsia" w:ascii="宋体" w:hAnsi="宋体"/>
                <w:sz w:val="18"/>
                <w:szCs w:val="18"/>
              </w:rPr>
              <w:t>□ 直销适用</w:t>
            </w:r>
          </w:p>
          <w:p w14:paraId="6C1D8BE0">
            <w:pPr>
              <w:spacing w:line="360" w:lineRule="auto"/>
              <w:jc w:val="left"/>
              <w:rPr>
                <w:rFonts w:ascii="宋体" w:hAnsi="宋体"/>
                <w:sz w:val="18"/>
                <w:szCs w:val="18"/>
              </w:rPr>
            </w:pPr>
            <w:r>
              <w:rPr>
                <w:rFonts w:hint="eastAsia" w:ascii="宋体" w:hAnsi="宋体"/>
                <w:sz w:val="18"/>
                <w:szCs w:val="18"/>
              </w:rPr>
              <w:t>本产品由产品管理人销售。</w:t>
            </w:r>
          </w:p>
          <w:p w14:paraId="7E71E922">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7606739E">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12D5AA3E">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30CD75C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A23ECC9">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14:paraId="04B6D29C">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373D5B0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125CA9CC">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14:paraId="4175ECB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2785467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2AD3A82">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14:paraId="7386D76C">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规模为【1</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lang w:val="en-US" w:eastAsia="zh-CN"/>
              </w:rPr>
              <w:t>5</w:t>
            </w:r>
            <w:r>
              <w:rPr>
                <w:rFonts w:hint="eastAsia" w:asciiTheme="majorEastAsia" w:hAnsiTheme="majorEastAsia" w:eastAsiaTheme="majorEastAsia"/>
                <w:bCs/>
                <w:sz w:val="18"/>
                <w:szCs w:val="18"/>
              </w:rPr>
              <w:t>】亿元，最小成立规模为【/】亿元。</w:t>
            </w:r>
          </w:p>
          <w:p w14:paraId="5C920AB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7519685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1A097FF">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14:paraId="30D2142E">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14:paraId="0C67499A">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14:paraId="1D64A5AA">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14:paraId="1EC347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7F00571">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14:paraId="25C36395">
            <w:pPr>
              <w:spacing w:line="360" w:lineRule="auto"/>
              <w:rPr>
                <w:rFonts w:asciiTheme="minorEastAsia" w:hAnsiTheme="minorEastAsia"/>
                <w:bCs/>
                <w:sz w:val="18"/>
                <w:szCs w:val="18"/>
              </w:rPr>
            </w:pPr>
            <w:r>
              <w:rPr>
                <w:rFonts w:asciiTheme="minorEastAsia" w:hAnsiTheme="minorEastAsia"/>
                <w:bCs/>
                <w:sz w:val="18"/>
                <w:szCs w:val="18"/>
              </w:rPr>
              <w:t>1.本产品认购期/募集期为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w:t>
            </w:r>
            <w:r>
              <w:rPr>
                <w:rFonts w:cs="Times New Roman" w:asciiTheme="minorEastAsia" w:hAnsiTheme="minorEastAsia"/>
                <w:sz w:val="18"/>
                <w:szCs w:val="18"/>
              </w:rPr>
              <w:t>4</w:t>
            </w:r>
            <w:r>
              <w:rPr>
                <w:rFonts w:hint="eastAsia" w:cs="Times New Roman" w:asciiTheme="minorEastAsia" w:hAnsiTheme="minorEastAsia"/>
                <w:sz w:val="18"/>
                <w:szCs w:val="18"/>
              </w:rPr>
              <w:t>】年【</w:t>
            </w:r>
            <w:r>
              <w:rPr>
                <w:rFonts w:cs="Times New Roman" w:asciiTheme="minorEastAsia" w:hAnsiTheme="minorEastAsia"/>
                <w:sz w:val="18"/>
                <w:szCs w:val="18"/>
              </w:rPr>
              <w:t>1</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31</w:t>
            </w:r>
            <w:r>
              <w:rPr>
                <w:rFonts w:hint="eastAsia" w:cs="Times New Roman" w:asciiTheme="minorEastAsia" w:hAnsiTheme="minorEastAsia"/>
                <w:sz w:val="18"/>
                <w:szCs w:val="18"/>
              </w:rPr>
              <w:t>】日【9</w:t>
            </w:r>
            <w:r>
              <w:rPr>
                <w:rFonts w:cs="Times New Roman" w:asciiTheme="minorEastAsia" w:hAnsiTheme="minorEastAsia"/>
                <w:sz w:val="18"/>
                <w:szCs w:val="18"/>
              </w:rPr>
              <w:t>:</w:t>
            </w:r>
            <w:r>
              <w:rPr>
                <w:rFonts w:hint="eastAsia" w:cs="Times New Roman" w:asciiTheme="minorEastAsia" w:hAnsiTheme="minorEastAsia"/>
                <w:sz w:val="18"/>
                <w:szCs w:val="18"/>
              </w:rPr>
              <w:t>00】至【202</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01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08</w:t>
            </w:r>
            <w:r>
              <w:rPr>
                <w:rFonts w:hint="eastAsia" w:cs="Times New Roman" w:asciiTheme="minorEastAsia" w:hAnsiTheme="minorEastAsia"/>
                <w:sz w:val="18"/>
                <w:szCs w:val="18"/>
              </w:rPr>
              <w:t>】日【17:00】</w:t>
            </w:r>
            <w:r>
              <w:rPr>
                <w:rFonts w:asciiTheme="majorEastAsia" w:hAnsiTheme="majorEastAsia" w:eastAsiaTheme="majorEastAsia"/>
                <w:sz w:val="18"/>
                <w:szCs w:val="18"/>
              </w:rPr>
              <w:t>。</w:t>
            </w:r>
          </w:p>
          <w:p w14:paraId="253FB1F8">
            <w:pPr>
              <w:spacing w:line="360" w:lineRule="auto"/>
              <w:rPr>
                <w:rFonts w:ascii="宋体" w:hAnsi="宋体"/>
                <w:bCs/>
                <w:sz w:val="18"/>
                <w:szCs w:val="18"/>
              </w:rPr>
            </w:pPr>
            <w:r>
              <w:rPr>
                <w:rFonts w:ascii="宋体" w:hAnsi="宋体"/>
                <w:bCs/>
                <w:sz w:val="18"/>
                <w:szCs w:val="18"/>
              </w:rPr>
              <w:t>2</w:t>
            </w:r>
            <w:r>
              <w:rPr>
                <w:rFonts w:asciiTheme="minorEastAsia" w:hAnsiTheme="minorEastAsia"/>
                <w:bCs/>
                <w:sz w:val="18"/>
                <w:szCs w:val="18"/>
              </w:rPr>
              <w:t>.</w:t>
            </w:r>
            <w:r>
              <w:rPr>
                <w:rFonts w:hint="eastAsia" w:ascii="宋体" w:hAnsi="宋体"/>
                <w:bCs/>
                <w:sz w:val="18"/>
                <w:szCs w:val="18"/>
              </w:rPr>
              <w:t>投资者在认购期</w:t>
            </w:r>
            <w:r>
              <w:rPr>
                <w:rFonts w:ascii="宋体" w:hAnsi="宋体"/>
                <w:bCs/>
                <w:sz w:val="18"/>
                <w:szCs w:val="18"/>
              </w:rPr>
              <w:t>/募集</w:t>
            </w:r>
            <w:r>
              <w:rPr>
                <w:rFonts w:hint="eastAsia" w:ascii="宋体" w:hAnsi="宋体"/>
                <w:sz w:val="18"/>
                <w:szCs w:val="18"/>
              </w:rPr>
              <w:t>期内认购</w:t>
            </w:r>
            <w:r>
              <w:rPr>
                <w:rFonts w:hint="eastAsia" w:ascii="宋体" w:hAnsi="宋体"/>
                <w:bCs/>
                <w:sz w:val="18"/>
                <w:szCs w:val="18"/>
              </w:rPr>
              <w:t>本</w:t>
            </w:r>
            <w:r>
              <w:rPr>
                <w:rFonts w:hint="eastAsia" w:ascii="宋体" w:hAnsi="宋体"/>
                <w:sz w:val="18"/>
                <w:szCs w:val="18"/>
              </w:rPr>
              <w:t>理财</w:t>
            </w:r>
            <w:r>
              <w:rPr>
                <w:rFonts w:hint="eastAsia" w:ascii="宋体" w:hAnsi="宋体"/>
                <w:bCs/>
                <w:sz w:val="18"/>
                <w:szCs w:val="18"/>
              </w:rPr>
              <w:t>产品后，</w:t>
            </w:r>
            <w:r>
              <w:rPr>
                <w:rFonts w:hint="eastAsia" w:ascii="宋体" w:hAnsi="宋体"/>
                <w:sz w:val="18"/>
                <w:szCs w:val="18"/>
              </w:rPr>
              <w:t>理财</w:t>
            </w:r>
            <w:r>
              <w:rPr>
                <w:rFonts w:hint="eastAsia" w:ascii="宋体" w:hAnsi="宋体"/>
                <w:bCs/>
                <w:sz w:val="18"/>
                <w:szCs w:val="18"/>
              </w:rPr>
              <w:t>资金将在成立日开始进行投资。</w:t>
            </w:r>
          </w:p>
          <w:p w14:paraId="7FBA1FD0">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14:paraId="6E2875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47D477D3">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14:paraId="7544BE1C">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0A4750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CF2D5F7">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14:paraId="34CD7AD0">
            <w:pPr>
              <w:spacing w:line="360" w:lineRule="auto"/>
              <w:rPr>
                <w:rFonts w:asciiTheme="minorEastAsia" w:hAnsiTheme="minorEastAsia"/>
                <w:bCs/>
                <w:sz w:val="18"/>
                <w:szCs w:val="18"/>
              </w:rPr>
            </w:pPr>
            <w:r>
              <w:rPr>
                <w:rFonts w:asciiTheme="minorEastAsia" w:hAnsiTheme="minorEastAsia"/>
                <w:bCs/>
                <w:sz w:val="18"/>
                <w:szCs w:val="18"/>
              </w:rPr>
              <w:t>1.本产品的</w:t>
            </w:r>
            <w:r>
              <w:rPr>
                <w:rFonts w:hint="eastAsia" w:asciiTheme="minorEastAsia" w:hAnsiTheme="minorEastAsia"/>
                <w:bCs/>
                <w:sz w:val="18"/>
                <w:szCs w:val="18"/>
              </w:rPr>
              <w:t>计划成立日为</w:t>
            </w:r>
            <w:r>
              <w:rPr>
                <w:rFonts w:asciiTheme="minorEastAsia" w:hAnsiTheme="minorEastAsia"/>
                <w:bCs/>
                <w:sz w:val="18"/>
                <w:szCs w:val="18"/>
              </w:rPr>
              <w:t>：</w:t>
            </w:r>
            <w:r>
              <w:rPr>
                <w:rFonts w:hint="eastAsia" w:cs="Times New Roman" w:asciiTheme="minorEastAsia" w:hAnsiTheme="minorEastAsia"/>
                <w:sz w:val="18"/>
                <w:szCs w:val="18"/>
              </w:rPr>
              <w:t>【202</w:t>
            </w:r>
            <w:r>
              <w:rPr>
                <w:rFonts w:hint="eastAsia" w:cs="Times New Roman" w:asciiTheme="minorEastAsia" w:hAnsiTheme="minorEastAsia"/>
                <w:sz w:val="18"/>
                <w:szCs w:val="18"/>
                <w:lang w:val="en-US" w:eastAsia="zh-CN"/>
              </w:rPr>
              <w:t>5</w:t>
            </w:r>
            <w:r>
              <w:rPr>
                <w:rFonts w:hint="eastAsia" w:cs="Times New Roman" w:asciiTheme="minorEastAsia" w:hAnsiTheme="minorEastAsia"/>
                <w:sz w:val="18"/>
                <w:szCs w:val="18"/>
              </w:rPr>
              <w:t>】年【</w:t>
            </w:r>
            <w:r>
              <w:rPr>
                <w:rFonts w:hint="eastAsia" w:cs="Times New Roman" w:asciiTheme="minorEastAsia" w:hAnsiTheme="minorEastAsia"/>
                <w:sz w:val="18"/>
                <w:szCs w:val="18"/>
                <w:lang w:val="en-US" w:eastAsia="zh-CN"/>
              </w:rPr>
              <w:t>01</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09</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14:paraId="2D9028AE">
            <w:pPr>
              <w:spacing w:line="360" w:lineRule="auto"/>
              <w:rPr>
                <w:rFonts w:asciiTheme="majorEastAsia" w:hAnsiTheme="majorEastAsia" w:eastAsiaTheme="majorEastAsia"/>
                <w:bCs/>
                <w:sz w:val="18"/>
                <w:szCs w:val="18"/>
              </w:rPr>
            </w:pPr>
            <w:r>
              <w:rPr>
                <w:rFonts w:asciiTheme="minorEastAsia" w:hAnsiTheme="minorEastAsia"/>
                <w:bCs/>
                <w:sz w:val="18"/>
                <w:szCs w:val="18"/>
              </w:rPr>
              <w:t>2.产品管理人有权根据实际募集情况提前或延后产品成立日期，并相应调整其他产品要素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33C092A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6E09BAF8">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14:paraId="26755206">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14:paraId="7A16AFB0">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14:paraId="7D63358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384DD35F">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14:paraId="2A0F5ED9">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asciiTheme="majorEastAsia" w:hAnsiTheme="majorEastAsia" w:eastAsiaTheme="majorEastAsia"/>
                <w:sz w:val="18"/>
                <w:szCs w:val="18"/>
              </w:rPr>
              <w:t>。</w:t>
            </w:r>
          </w:p>
          <w:p w14:paraId="04C50671">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459425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85B1E05">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14:paraId="4113ADD4">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14:paraId="519F1A05">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14:paraId="40F93EFC">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14:paraId="22A2DFFD">
            <w:pPr>
              <w:spacing w:line="360" w:lineRule="auto"/>
              <w:rPr>
                <w:rFonts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0EBC9A90">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14:paraId="550B5186">
            <w:pPr>
              <w:spacing w:line="360" w:lineRule="auto"/>
              <w:rPr>
                <w:rFonts w:asciiTheme="minorEastAsia" w:hAnsiTheme="minorEastAsia"/>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14:paraId="40E25581">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14:paraId="73338BA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14:paraId="1441924F">
                  <w:pPr>
                    <w:spacing w:line="360" w:lineRule="auto"/>
                    <w:jc w:val="center"/>
                    <w:rPr>
                      <w:rFonts w:asciiTheme="minorEastAsia" w:hAnsiTheme="minorEastAsia"/>
                      <w:b/>
                      <w:bCs/>
                      <w:sz w:val="18"/>
                      <w:szCs w:val="18"/>
                    </w:rPr>
                  </w:pPr>
                  <w:r>
                    <w:rPr>
                      <w:rFonts w:hint="eastAsia" w:asciiTheme="majorEastAsia" w:hAnsiTheme="majorEastAsia" w:eastAsiaTheme="majorEastAsia"/>
                      <w:b/>
                      <w:bCs/>
                      <w:sz w:val="18"/>
                      <w:szCs w:val="18"/>
                    </w:rPr>
                    <w:t>申购申请日</w:t>
                  </w:r>
                </w:p>
              </w:tc>
              <w:tc>
                <w:tcPr>
                  <w:tcW w:w="1701" w:type="dxa"/>
                  <w:vAlign w:val="center"/>
                </w:tcPr>
                <w:p w14:paraId="60C66856">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申购日</w:t>
                  </w:r>
                </w:p>
              </w:tc>
              <w:tc>
                <w:tcPr>
                  <w:tcW w:w="1984" w:type="dxa"/>
                  <w:vAlign w:val="center"/>
                </w:tcPr>
                <w:p w14:paraId="5A58D86F">
                  <w:pPr>
                    <w:spacing w:line="360" w:lineRule="auto"/>
                    <w:jc w:val="center"/>
                    <w:rPr>
                      <w:rFonts w:asciiTheme="minorEastAsia" w:hAnsiTheme="minorEastAsia"/>
                      <w:b/>
                      <w:bCs/>
                      <w:sz w:val="18"/>
                      <w:szCs w:val="18"/>
                    </w:rPr>
                  </w:pPr>
                  <w:r>
                    <w:rPr>
                      <w:rFonts w:hint="eastAsia" w:cs="Times New Roman" w:asciiTheme="minorEastAsia" w:hAnsiTheme="minorEastAsia"/>
                      <w:b/>
                      <w:bCs/>
                      <w:sz w:val="18"/>
                      <w:szCs w:val="18"/>
                    </w:rPr>
                    <w:t>申购确认日</w:t>
                  </w:r>
                </w:p>
              </w:tc>
              <w:tc>
                <w:tcPr>
                  <w:tcW w:w="1985" w:type="dxa"/>
                  <w:vAlign w:val="center"/>
                </w:tcPr>
                <w:p w14:paraId="6E380F4A">
                  <w:pPr>
                    <w:spacing w:line="360" w:lineRule="auto"/>
                    <w:jc w:val="center"/>
                    <w:rPr>
                      <w:rFonts w:cs="Times New Roman" w:asciiTheme="minorEastAsia" w:hAnsiTheme="minorEastAsia"/>
                      <w:b/>
                      <w:bCs/>
                      <w:sz w:val="18"/>
                      <w:szCs w:val="18"/>
                    </w:rPr>
                  </w:pPr>
                  <w:r>
                    <w:rPr>
                      <w:rFonts w:hint="eastAsia" w:cs="Times New Roman" w:asciiTheme="minorEastAsia" w:hAnsiTheme="minorEastAsia"/>
                      <w:b/>
                      <w:bCs/>
                      <w:sz w:val="18"/>
                      <w:szCs w:val="18"/>
                    </w:rPr>
                    <w:t>申购确认方式</w:t>
                  </w:r>
                </w:p>
              </w:tc>
            </w:tr>
            <w:tr w14:paraId="048D24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4028E769">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【0：00】</w:t>
                  </w:r>
                  <w:r>
                    <w:rPr>
                      <w:rFonts w:hint="eastAsia" w:asciiTheme="majorEastAsia" w:hAnsiTheme="majorEastAsia" w:eastAsiaTheme="majorEastAsia"/>
                      <w:bCs/>
                      <w:sz w:val="18"/>
                      <w:szCs w:val="18"/>
                    </w:rPr>
                    <w:t xml:space="preserve">-【17：00】 </w:t>
                  </w:r>
                </w:p>
              </w:tc>
              <w:tc>
                <w:tcPr>
                  <w:tcW w:w="1701" w:type="dxa"/>
                  <w:vAlign w:val="center"/>
                </w:tcPr>
                <w:p w14:paraId="009BE20C">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申购申请日当日</w:t>
                  </w:r>
                </w:p>
              </w:tc>
              <w:tc>
                <w:tcPr>
                  <w:tcW w:w="1984" w:type="dxa"/>
                  <w:vAlign w:val="center"/>
                </w:tcPr>
                <w:p w14:paraId="1ED7847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restart"/>
                </w:tcPr>
                <w:p w14:paraId="6DD652EB">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产品管理人在申购确认日对投资者的申购申请的有效性进行确认，并登记理财份额。</w:t>
                  </w:r>
                </w:p>
              </w:tc>
            </w:tr>
            <w:tr w14:paraId="02BE8B9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7A20ACC3">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【17：00】</w:t>
                  </w:r>
                  <w:r>
                    <w:rPr>
                      <w:rFonts w:hint="eastAsia" w:asciiTheme="majorEastAsia" w:hAnsiTheme="majorEastAsia" w:eastAsiaTheme="majorEastAsia"/>
                      <w:bCs/>
                      <w:sz w:val="18"/>
                      <w:szCs w:val="18"/>
                    </w:rPr>
                    <w:t xml:space="preserve">-【24：00】 </w:t>
                  </w:r>
                </w:p>
              </w:tc>
              <w:tc>
                <w:tcPr>
                  <w:tcW w:w="1701" w:type="dxa"/>
                  <w:vAlign w:val="center"/>
                </w:tcPr>
                <w:p w14:paraId="5C2E8927">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14:paraId="4D890B15">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14:paraId="787BA164">
                  <w:pPr>
                    <w:spacing w:line="360" w:lineRule="auto"/>
                    <w:jc w:val="left"/>
                    <w:rPr>
                      <w:rFonts w:asciiTheme="majorEastAsia" w:hAnsiTheme="majorEastAsia" w:eastAsiaTheme="majorEastAsia"/>
                      <w:bCs/>
                      <w:sz w:val="18"/>
                      <w:szCs w:val="18"/>
                    </w:rPr>
                  </w:pPr>
                </w:p>
              </w:tc>
            </w:tr>
            <w:tr w14:paraId="672676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573FB2ED">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非开放日 </w:t>
                  </w:r>
                </w:p>
              </w:tc>
              <w:tc>
                <w:tcPr>
                  <w:tcW w:w="1701" w:type="dxa"/>
                  <w:vAlign w:val="center"/>
                </w:tcPr>
                <w:p w14:paraId="114137E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申购申请日后的下一个开放日</w:t>
                  </w:r>
                </w:p>
              </w:tc>
              <w:tc>
                <w:tcPr>
                  <w:tcW w:w="1984" w:type="dxa"/>
                  <w:vAlign w:val="center"/>
                </w:tcPr>
                <w:p w14:paraId="49706A5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申购日后的下一个开放日</w:t>
                  </w:r>
                </w:p>
              </w:tc>
              <w:tc>
                <w:tcPr>
                  <w:tcW w:w="1985" w:type="dxa"/>
                  <w:vMerge w:val="continue"/>
                </w:tcPr>
                <w:p w14:paraId="6BCC288D">
                  <w:pPr>
                    <w:spacing w:line="360" w:lineRule="auto"/>
                    <w:jc w:val="left"/>
                    <w:rPr>
                      <w:rFonts w:asciiTheme="majorEastAsia" w:hAnsiTheme="majorEastAsia" w:eastAsiaTheme="majorEastAsia"/>
                      <w:bCs/>
                      <w:sz w:val="18"/>
                      <w:szCs w:val="18"/>
                    </w:rPr>
                  </w:pPr>
                </w:p>
              </w:tc>
            </w:tr>
          </w:tbl>
          <w:p w14:paraId="4ECF19ED">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14:paraId="706B9E59">
            <w:pPr>
              <w:spacing w:line="360" w:lineRule="auto"/>
              <w:rPr>
                <w:rFonts w:asciiTheme="minorEastAsia" w:hAnsiTheme="minorEastAsia"/>
                <w:sz w:val="18"/>
                <w:szCs w:val="18"/>
              </w:rPr>
            </w:pPr>
            <w:r>
              <w:rPr>
                <w:rFonts w:hint="eastAsia" w:asciiTheme="minorEastAsia" w:hAnsiTheme="minorEastAsia"/>
                <w:sz w:val="18"/>
                <w:szCs w:val="18"/>
              </w:rPr>
              <w:t>（1）赎回的时间</w:t>
            </w:r>
          </w:p>
          <w:p w14:paraId="30787B7A">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14:paraId="0E650CCC">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14:paraId="2B68E4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14:paraId="26A271EA">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14:paraId="79EF7540">
                  <w:pPr>
                    <w:spacing w:line="360" w:lineRule="auto"/>
                    <w:jc w:val="left"/>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14:paraId="185FB690">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14:paraId="3D1AB0B9">
                  <w:pPr>
                    <w:spacing w:line="360" w:lineRule="auto"/>
                    <w:jc w:val="left"/>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14:paraId="793190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14:paraId="7C901F8E">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0：00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p>
              </w:tc>
              <w:tc>
                <w:tcPr>
                  <w:tcW w:w="1701" w:type="dxa"/>
                  <w:tcBorders>
                    <w:bottom w:val="single" w:color="auto" w:sz="12" w:space="0"/>
                  </w:tcBorders>
                  <w:vAlign w:val="center"/>
                </w:tcPr>
                <w:p w14:paraId="0B5D57A9">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14:paraId="55E41796">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14:paraId="6E1AA636">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14:paraId="4785983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14:paraId="722F9A6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开放日内非交易时间：</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17：00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-【24：00】</w:t>
                  </w:r>
                </w:p>
              </w:tc>
              <w:tc>
                <w:tcPr>
                  <w:tcW w:w="1701" w:type="dxa"/>
                  <w:tcBorders>
                    <w:top w:val="single" w:color="auto" w:sz="12" w:space="0"/>
                    <w:bottom w:val="single" w:color="auto" w:sz="12" w:space="0"/>
                  </w:tcBorders>
                  <w:vAlign w:val="center"/>
                </w:tcPr>
                <w:p w14:paraId="33EDDEFD">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14:paraId="461703A2">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14:paraId="5D22B50B">
                  <w:pPr>
                    <w:spacing w:line="360" w:lineRule="auto"/>
                    <w:rPr>
                      <w:rFonts w:cs="Times New Roman" w:asciiTheme="minorEastAsia" w:hAnsiTheme="minorEastAsia" w:eastAsiaTheme="minorEastAsia"/>
                      <w:bCs/>
                      <w:kern w:val="0"/>
                      <w:sz w:val="18"/>
                      <w:szCs w:val="18"/>
                    </w:rPr>
                  </w:pPr>
                </w:p>
              </w:tc>
            </w:tr>
            <w:tr w14:paraId="0B1955F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14:paraId="01C0B349">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w:t>
                  </w:r>
                  <w:r>
                    <w:rPr>
                      <w:rFonts w:asciiTheme="majorEastAsia" w:hAnsiTheme="majorEastAsia" w:eastAsiaTheme="majorEastAsia"/>
                      <w:bCs/>
                      <w:sz w:val="18"/>
                      <w:szCs w:val="18"/>
                    </w:rPr>
                    <w:t>开放</w:t>
                  </w:r>
                  <w:r>
                    <w:rPr>
                      <w:rFonts w:hint="eastAsia" w:asciiTheme="majorEastAsia" w:hAnsiTheme="majorEastAsia" w:eastAsiaTheme="majorEastAsia"/>
                      <w:bCs/>
                      <w:sz w:val="18"/>
                      <w:szCs w:val="18"/>
                    </w:rPr>
                    <w:t>日</w:t>
                  </w:r>
                </w:p>
              </w:tc>
              <w:tc>
                <w:tcPr>
                  <w:tcW w:w="1701" w:type="dxa"/>
                  <w:tcBorders>
                    <w:top w:val="single" w:color="auto" w:sz="12" w:space="0"/>
                  </w:tcBorders>
                  <w:vAlign w:val="center"/>
                </w:tcPr>
                <w:p w14:paraId="5EF2A220">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14:paraId="0BDD60EC">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14:paraId="523FB6C1">
                  <w:pPr>
                    <w:spacing w:line="360" w:lineRule="auto"/>
                    <w:rPr>
                      <w:rFonts w:cs="Times New Roman" w:asciiTheme="minorEastAsia" w:hAnsiTheme="minorEastAsia" w:eastAsiaTheme="minorEastAsia"/>
                      <w:bCs/>
                      <w:kern w:val="0"/>
                      <w:sz w:val="18"/>
                      <w:szCs w:val="18"/>
                    </w:rPr>
                  </w:pPr>
                </w:p>
              </w:tc>
            </w:tr>
          </w:tbl>
          <w:p w14:paraId="4E3369DE">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日后【1】个开放日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14:paraId="1C64AC61">
            <w:pPr>
              <w:spacing w:line="360" w:lineRule="auto"/>
              <w:rPr>
                <w:rFonts w:asciiTheme="minorEastAsia" w:hAnsiTheme="minorEastAsia" w:eastAsia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14:paraId="4538DBED">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注：关于代理销售机构的实际工作服务时段的提示</w:t>
            </w:r>
          </w:p>
          <w:p w14:paraId="740493EB">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sz w:val="18"/>
                <w:szCs w:val="18"/>
              </w:rPr>
              <w:t>以</w:t>
            </w:r>
            <w:r>
              <w:rPr>
                <w:rFonts w:hint="eastAsia" w:ascii="黑体" w:hAnsi="黑体" w:eastAsia="黑体"/>
                <w:bCs/>
                <w:sz w:val="18"/>
                <w:szCs w:val="18"/>
              </w:rPr>
              <w:t>代理销售机构的展示</w:t>
            </w:r>
            <w:r>
              <w:rPr>
                <w:rFonts w:ascii="黑体" w:hAnsi="黑体" w:eastAsia="黑体"/>
                <w:bCs/>
                <w:sz w:val="18"/>
                <w:szCs w:val="18"/>
              </w:rPr>
              <w:t>为准</w:t>
            </w:r>
            <w:r>
              <w:rPr>
                <w:rFonts w:hint="eastAsia" w:ascii="黑体" w:hAnsi="黑体" w:eastAsia="黑体"/>
                <w:bCs/>
                <w:sz w:val="18"/>
                <w:szCs w:val="18"/>
              </w:rPr>
              <w:t>。</w:t>
            </w:r>
          </w:p>
          <w:p w14:paraId="5B32D8C7">
            <w:pPr>
              <w:spacing w:line="360" w:lineRule="auto"/>
              <w:rPr>
                <w:rFonts w:ascii="黑体" w:hAnsi="黑体" w:eastAsia="黑体"/>
                <w:sz w:val="18"/>
                <w:szCs w:val="18"/>
              </w:rPr>
            </w:pPr>
            <w:r>
              <w:rPr>
                <w:rFonts w:hint="eastAsia" w:ascii="黑体" w:hAnsi="黑体" w:eastAsia="黑体"/>
                <w:bCs/>
                <w:sz w:val="18"/>
                <w:szCs w:val="18"/>
              </w:rPr>
              <w:t>②代理销售机构的实际工作服务时段，最早不得早于销售文件约定</w:t>
            </w:r>
            <w:r>
              <w:rPr>
                <w:rFonts w:ascii="黑体" w:hAnsi="黑体" w:eastAsia="黑体"/>
                <w:bCs/>
                <w:sz w:val="18"/>
                <w:szCs w:val="18"/>
              </w:rPr>
              <w:t>的</w:t>
            </w:r>
            <w:r>
              <w:rPr>
                <w:rFonts w:hint="eastAsia" w:ascii="黑体" w:hAnsi="黑体" w:eastAsia="黑体"/>
                <w:bCs/>
                <w:sz w:val="18"/>
                <w:szCs w:val="18"/>
              </w:rPr>
              <w:t>起始时点、最晚不得晚于销售文件</w:t>
            </w:r>
            <w:r>
              <w:rPr>
                <w:rFonts w:ascii="黑体" w:hAnsi="黑体" w:eastAsia="黑体"/>
                <w:bCs/>
                <w:sz w:val="18"/>
                <w:szCs w:val="18"/>
              </w:rPr>
              <w:t>约定的</w:t>
            </w:r>
            <w:r>
              <w:rPr>
                <w:rFonts w:hint="eastAsia" w:ascii="黑体" w:hAnsi="黑体" w:eastAsia="黑体"/>
                <w:bCs/>
                <w:sz w:val="18"/>
                <w:szCs w:val="18"/>
              </w:rPr>
              <w:t>终止时点</w:t>
            </w:r>
            <w:r>
              <w:rPr>
                <w:rFonts w:ascii="黑体" w:hAnsi="黑体" w:eastAsia="黑体"/>
                <w:bCs/>
                <w:sz w:val="18"/>
                <w:szCs w:val="18"/>
              </w:rPr>
              <w:t>。</w:t>
            </w:r>
          </w:p>
        </w:tc>
      </w:tr>
      <w:tr w14:paraId="7FC41D8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033B09B6">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14:paraId="556767D8">
            <w:pPr>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color w:val="auto"/>
                <w:sz w:val="18"/>
                <w:szCs w:val="18"/>
              </w:rPr>
              <w:t>每笔</w:t>
            </w:r>
            <w:r>
              <w:rPr>
                <w:rFonts w:hint="eastAsia" w:asciiTheme="majorEastAsia" w:hAnsiTheme="majorEastAsia" w:eastAsiaTheme="majorEastAsia"/>
                <w:bCs/>
                <w:color w:val="auto"/>
                <w:sz w:val="18"/>
                <w:szCs w:val="18"/>
              </w:rPr>
              <w:t>购买起点金额为【1</w:t>
            </w:r>
            <w:r>
              <w:rPr>
                <w:rFonts w:asciiTheme="majorEastAsia" w:hAnsiTheme="majorEastAsia" w:eastAsiaTheme="majorEastAsia"/>
                <w:bCs/>
                <w:color w:val="auto"/>
                <w:sz w:val="18"/>
                <w:szCs w:val="18"/>
              </w:rPr>
              <w:t>】元；超出起点金额的部分以【</w:t>
            </w:r>
            <w:r>
              <w:rPr>
                <w:rFonts w:hint="eastAsia" w:asciiTheme="majorEastAsia" w:hAnsiTheme="majorEastAsia" w:eastAsiaTheme="majorEastAsia"/>
                <w:bCs/>
                <w:color w:val="auto"/>
                <w:sz w:val="18"/>
                <w:szCs w:val="18"/>
              </w:rPr>
              <w:t>0</w:t>
            </w:r>
            <w:r>
              <w:rPr>
                <w:rFonts w:asciiTheme="majorEastAsia" w:hAnsiTheme="majorEastAsia" w:eastAsiaTheme="majorEastAsia"/>
                <w:bCs/>
                <w:color w:val="auto"/>
                <w:sz w:val="18"/>
                <w:szCs w:val="18"/>
              </w:rPr>
              <w:t>.01】元的整数</w:t>
            </w:r>
            <w:r>
              <w:rPr>
                <w:rFonts w:hint="eastAsia" w:asciiTheme="majorEastAsia" w:hAnsiTheme="majorEastAsia" w:eastAsiaTheme="majorEastAsia"/>
                <w:bCs/>
                <w:color w:val="auto"/>
                <w:sz w:val="18"/>
                <w:szCs w:val="18"/>
              </w:rPr>
              <w:t>倍递增。</w:t>
            </w:r>
            <w:r>
              <w:rPr>
                <w:rFonts w:hint="eastAsia" w:hAnsi="宋体"/>
                <w:bCs/>
                <w:color w:val="auto"/>
                <w:sz w:val="18"/>
                <w:szCs w:val="18"/>
              </w:rPr>
              <w:t>（适用【</w:t>
            </w:r>
            <w:r>
              <w:rPr>
                <w:rFonts w:hint="eastAsia" w:hAnsi="宋体"/>
                <w:bCs/>
                <w:color w:val="auto"/>
                <w:sz w:val="18"/>
                <w:szCs w:val="18"/>
                <w:lang w:eastAsia="zh-CN"/>
              </w:rPr>
              <w:t>H】</w:t>
            </w:r>
            <w:r>
              <w:rPr>
                <w:rFonts w:hint="eastAsia" w:hAnsi="宋体"/>
                <w:bCs/>
                <w:color w:val="auto"/>
                <w:sz w:val="18"/>
                <w:szCs w:val="18"/>
              </w:rPr>
              <w:t>类</w:t>
            </w:r>
            <w:r>
              <w:rPr>
                <w:rFonts w:hAnsi="宋体"/>
                <w:bCs/>
                <w:color w:val="auto"/>
                <w:sz w:val="18"/>
                <w:szCs w:val="18"/>
              </w:rPr>
              <w:t>份额</w:t>
            </w:r>
            <w:r>
              <w:rPr>
                <w:rFonts w:hint="eastAsia" w:asciiTheme="majorEastAsia" w:hAnsiTheme="majorEastAsia" w:eastAsiaTheme="majorEastAsia"/>
                <w:bCs/>
                <w:color w:val="auto"/>
                <w:sz w:val="18"/>
                <w:szCs w:val="18"/>
              </w:rPr>
              <w:t>）</w:t>
            </w:r>
          </w:p>
          <w:p w14:paraId="15E98291">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14:paraId="6FFAA2CA">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14:paraId="0658B127">
            <w:pPr>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14:paraId="324CD5B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F739867">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14:paraId="23CD64FB">
            <w:pPr>
              <w:pStyle w:val="34"/>
              <w:spacing w:line="360" w:lineRule="auto"/>
              <w:rPr>
                <w:rFonts w:asciiTheme="minorEastAsia" w:hAnsiTheme="minorEastAsia" w:eastAsiaTheme="minorEastAsia"/>
                <w:color w:val="auto"/>
                <w:sz w:val="18"/>
                <w:szCs w:val="18"/>
              </w:rPr>
            </w:pPr>
            <w:r>
              <w:rPr>
                <w:rFonts w:hint="eastAsia" w:hAnsi="宋体"/>
                <w:bCs/>
                <w:sz w:val="18"/>
                <w:szCs w:val="18"/>
              </w:rPr>
              <w:t>（适</w:t>
            </w:r>
            <w:r>
              <w:rPr>
                <w:rFonts w:hint="eastAsia" w:hAnsi="宋体"/>
                <w:bCs/>
                <w:color w:val="auto"/>
                <w:sz w:val="18"/>
                <w:szCs w:val="18"/>
              </w:rPr>
              <w:t>用【</w:t>
            </w:r>
            <w:r>
              <w:rPr>
                <w:rFonts w:hint="eastAsia" w:hAnsi="宋体"/>
                <w:bCs/>
                <w:color w:val="auto"/>
                <w:sz w:val="18"/>
                <w:szCs w:val="18"/>
                <w:lang w:eastAsia="zh-CN"/>
              </w:rPr>
              <w:t>H】</w:t>
            </w:r>
            <w:r>
              <w:rPr>
                <w:rFonts w:hint="eastAsia" w:hAnsi="宋体"/>
                <w:bCs/>
                <w:color w:val="auto"/>
                <w:sz w:val="18"/>
                <w:szCs w:val="18"/>
              </w:rPr>
              <w:t>类</w:t>
            </w:r>
            <w:r>
              <w:rPr>
                <w:rFonts w:hAnsi="宋体"/>
                <w:bCs/>
                <w:color w:val="auto"/>
                <w:sz w:val="18"/>
                <w:szCs w:val="18"/>
              </w:rPr>
              <w:t>份额</w:t>
            </w:r>
            <w:r>
              <w:rPr>
                <w:rFonts w:hint="eastAsia" w:hAnsi="宋体"/>
                <w:bCs/>
                <w:sz w:val="18"/>
                <w:szCs w:val="18"/>
              </w:rPr>
              <w:t>）</w:t>
            </w:r>
          </w:p>
          <w:p w14:paraId="047C9C42">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2EC96AAD">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】。如需突破上限，请与产品管理人或销售机构客户经理联系。</w:t>
            </w:r>
          </w:p>
          <w:p w14:paraId="15D100FA">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6E814613">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14:paraId="1C21E79E">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】，符合产品管理人流动性管理的稳定资金除外。</w:t>
            </w:r>
          </w:p>
          <w:p w14:paraId="49DD3BAF">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1AA61AB7">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23BCF28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14:paraId="6A61EDCD">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14:paraId="3B486DC0">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14:paraId="39788FF5">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5ABEF972">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11F9EC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14:paraId="1B3CA291">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14:paraId="633B2E0A">
            <w:pPr>
              <w:pStyle w:val="34"/>
              <w:spacing w:line="360" w:lineRule="auto"/>
              <w:rPr>
                <w:rFonts w:asciiTheme="majorEastAsia" w:hAnsiTheme="majorEastAsia" w:eastAsiaTheme="majorEastAsia"/>
                <w:bCs/>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14:paraId="502590E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3C3DA5FA">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14:paraId="40848F72">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27804C7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14:paraId="388BC6FE">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14:paraId="4F05D9C2">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1DA760D3">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14:paraId="2266E800">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14:paraId="614976E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1C7C2128">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14:paraId="116E730D">
            <w:pPr>
              <w:spacing w:line="360" w:lineRule="auto"/>
              <w:jc w:val="left"/>
              <w:rPr>
                <w:rFonts w:hAnsi="宋体"/>
                <w:bCs/>
                <w:sz w:val="18"/>
                <w:szCs w:val="18"/>
              </w:rPr>
            </w:pPr>
            <w:r>
              <w:rPr>
                <w:rFonts w:hint="eastAsia" w:hAnsi="宋体"/>
                <w:bCs/>
                <w:sz w:val="18"/>
                <w:szCs w:val="18"/>
              </w:rPr>
              <w:t>（适用</w:t>
            </w:r>
            <w:r>
              <w:rPr>
                <w:rFonts w:hint="eastAsia" w:hAnsi="宋体"/>
                <w:bCs/>
                <w:color w:val="auto"/>
                <w:sz w:val="18"/>
                <w:szCs w:val="18"/>
              </w:rPr>
              <w:t>【</w:t>
            </w:r>
            <w:r>
              <w:rPr>
                <w:rFonts w:hint="eastAsia" w:hAnsi="宋体"/>
                <w:bCs/>
                <w:color w:val="auto"/>
                <w:sz w:val="18"/>
                <w:szCs w:val="18"/>
                <w:lang w:eastAsia="zh-CN"/>
              </w:rPr>
              <w:t>H】</w:t>
            </w:r>
            <w:r>
              <w:rPr>
                <w:rFonts w:hint="eastAsia" w:hAnsi="宋体"/>
                <w:bCs/>
                <w:color w:val="auto"/>
                <w:sz w:val="18"/>
                <w:szCs w:val="18"/>
              </w:rPr>
              <w:t>类</w:t>
            </w:r>
            <w:r>
              <w:rPr>
                <w:rFonts w:hAnsi="宋体"/>
                <w:bCs/>
                <w:color w:val="auto"/>
                <w:sz w:val="18"/>
                <w:szCs w:val="18"/>
              </w:rPr>
              <w:t>份额</w:t>
            </w:r>
            <w:r>
              <w:rPr>
                <w:rFonts w:hint="eastAsia" w:hAnsi="宋体"/>
                <w:bCs/>
                <w:sz w:val="18"/>
                <w:szCs w:val="18"/>
              </w:rPr>
              <w:t>）</w:t>
            </w:r>
          </w:p>
          <w:p w14:paraId="727841C7">
            <w:pPr>
              <w:spacing w:line="360" w:lineRule="auto"/>
              <w:jc w:val="left"/>
              <w:rPr>
                <w:rFonts w:ascii="宋体" w:hAnsi="宋体"/>
                <w:bCs/>
                <w:sz w:val="18"/>
                <w:szCs w:val="18"/>
              </w:rPr>
            </w:pPr>
            <w:r>
              <w:rPr>
                <w:rFonts w:ascii="宋体" w:hAnsi="宋体"/>
                <w:bCs/>
                <w:sz w:val="18"/>
                <w:szCs w:val="18"/>
              </w:rPr>
              <w:t>1.业绩比较基准的设置</w:t>
            </w:r>
          </w:p>
          <w:p w14:paraId="67CBF0DA">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产品管理人设置业绩比较基准。</w:t>
            </w:r>
          </w:p>
          <w:p w14:paraId="2E5FCE7F">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cs="仿宋_GB2312" w:asciiTheme="majorEastAsia" w:hAnsiTheme="majorEastAsia" w:eastAsiaTheme="majorEastAsia"/>
                <w:kern w:val="0"/>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14:paraId="6F842F10">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r>
              <w:rPr>
                <w:rFonts w:hint="eastAsia" w:asciiTheme="majorEastAsia" w:hAnsiTheme="majorEastAsia"/>
                <w:bCs/>
                <w:color w:val="auto"/>
                <w:sz w:val="18"/>
              </w:rPr>
              <w:t>：</w:t>
            </w:r>
            <w:r>
              <w:rPr>
                <w:rFonts w:hint="eastAsia" w:asciiTheme="majorEastAsia" w:hAnsiTheme="majorEastAsia"/>
                <w:bCs/>
                <w:color w:val="auto"/>
                <w:sz w:val="18"/>
                <w:lang w:val="en-US" w:eastAsia="zh-CN"/>
              </w:rPr>
              <w:t>H类份额：</w:t>
            </w:r>
            <w:r>
              <w:rPr>
                <w:rFonts w:hint="eastAsia" w:asciiTheme="majorEastAsia" w:hAnsiTheme="majorEastAsia"/>
                <w:bCs/>
                <w:color w:val="auto"/>
                <w:sz w:val="18"/>
              </w:rPr>
              <w:t>年化</w:t>
            </w:r>
            <w:r>
              <w:rPr>
                <w:rFonts w:hint="eastAsia" w:asciiTheme="majorEastAsia" w:hAnsiTheme="majorEastAsia" w:eastAsiaTheme="majorEastAsia"/>
                <w:bCs/>
                <w:color w:val="auto"/>
                <w:sz w:val="18"/>
                <w:szCs w:val="18"/>
              </w:rPr>
              <w:t>【</w:t>
            </w:r>
            <w:bookmarkStart w:id="194" w:name="_GoBack"/>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20</w:t>
            </w:r>
            <w:r>
              <w:rPr>
                <w:rFonts w:hint="eastAsia"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lang w:val="en-US" w:eastAsia="zh-CN"/>
              </w:rPr>
              <w:t>30</w:t>
            </w:r>
            <w:r>
              <w:rPr>
                <w:rFonts w:hint="eastAsia" w:asciiTheme="majorEastAsia" w:hAnsiTheme="majorEastAsia" w:eastAsiaTheme="majorEastAsia"/>
                <w:bCs/>
                <w:color w:val="auto"/>
                <w:sz w:val="18"/>
                <w:szCs w:val="18"/>
              </w:rPr>
              <w:t>%</w:t>
            </w:r>
            <w:bookmarkEnd w:id="194"/>
            <w:r>
              <w:rPr>
                <w:rFonts w:hint="eastAsia" w:asciiTheme="majorEastAsia" w:hAnsiTheme="majorEastAsia" w:eastAsiaTheme="majorEastAsia"/>
                <w:bCs/>
                <w:color w:val="auto"/>
                <w:sz w:val="18"/>
                <w:szCs w:val="18"/>
              </w:rPr>
              <w:t>】</w:t>
            </w:r>
            <w:r>
              <w:rPr>
                <w:rFonts w:hint="eastAsia" w:ascii="宋体" w:hAnsi="宋体"/>
                <w:bCs/>
                <w:color w:val="auto"/>
                <w:sz w:val="18"/>
                <w:szCs w:val="18"/>
              </w:rPr>
              <w:t>。</w:t>
            </w:r>
          </w:p>
          <w:p w14:paraId="7F1ADEB3">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 产品管理人不设置业绩比较基准。</w:t>
            </w:r>
          </w:p>
          <w:p w14:paraId="135B871E">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3EA1FE7A">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14:paraId="62AB826F">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6F04ED2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4F8AB549">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14:paraId="366A9C09">
            <w:pPr>
              <w:spacing w:line="360" w:lineRule="auto"/>
              <w:jc w:val="left"/>
              <w:rPr>
                <w:rFonts w:ascii="宋体" w:hAnsi="宋体"/>
                <w:bCs/>
                <w:sz w:val="18"/>
                <w:szCs w:val="18"/>
              </w:rPr>
            </w:pPr>
            <w:r>
              <w:rPr>
                <w:rFonts w:hint="eastAsia" w:ascii="宋体" w:hAnsi="宋体"/>
                <w:bCs/>
                <w:sz w:val="18"/>
                <w:szCs w:val="18"/>
              </w:rPr>
              <w:t>（适用</w:t>
            </w:r>
            <w:r>
              <w:rPr>
                <w:rFonts w:hint="eastAsia" w:ascii="宋体" w:hAnsi="宋体"/>
                <w:bCs/>
                <w:color w:val="auto"/>
                <w:sz w:val="18"/>
                <w:szCs w:val="18"/>
              </w:rPr>
              <w:t>【</w:t>
            </w:r>
            <w:r>
              <w:rPr>
                <w:rFonts w:hint="eastAsia" w:ascii="宋体" w:hAnsi="宋体"/>
                <w:bCs/>
                <w:color w:val="auto"/>
                <w:sz w:val="18"/>
                <w:szCs w:val="18"/>
                <w:lang w:eastAsia="zh-CN"/>
              </w:rPr>
              <w:t>H】</w:t>
            </w:r>
            <w:r>
              <w:rPr>
                <w:rFonts w:hint="eastAsia" w:ascii="宋体" w:hAnsi="宋体"/>
                <w:bCs/>
                <w:color w:val="auto"/>
                <w:sz w:val="18"/>
                <w:szCs w:val="18"/>
              </w:rPr>
              <w:t>类</w:t>
            </w:r>
            <w:r>
              <w:rPr>
                <w:rFonts w:hint="eastAsia" w:ascii="宋体" w:hAnsi="宋体"/>
                <w:bCs/>
                <w:sz w:val="18"/>
                <w:szCs w:val="18"/>
              </w:rPr>
              <w:t>份额）</w:t>
            </w:r>
          </w:p>
          <w:p w14:paraId="7259D630">
            <w:pPr>
              <w:spacing w:line="360" w:lineRule="auto"/>
              <w:jc w:val="left"/>
              <w:rPr>
                <w:rFonts w:ascii="宋体" w:hAnsi="宋体"/>
                <w:bCs/>
                <w:sz w:val="18"/>
                <w:szCs w:val="18"/>
              </w:rPr>
            </w:pPr>
            <w:r>
              <w:rPr>
                <w:rFonts w:ascii="宋体" w:hAnsi="宋体"/>
                <w:bCs/>
                <w:sz w:val="18"/>
                <w:szCs w:val="18"/>
              </w:rPr>
              <w:t>1.业绩报酬计提基准的设置</w:t>
            </w:r>
          </w:p>
          <w:p w14:paraId="7656FA21">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14:paraId="342FC23A">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14:paraId="779DB73D">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14:paraId="59500DDD">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199891CD">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14:paraId="02862176">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14:paraId="54352BA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14:paraId="6D731965">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14:paraId="360C71BD">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2539F7A9">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709F38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DAAB42B">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14:paraId="5155FDC5">
            <w:pPr>
              <w:spacing w:line="360" w:lineRule="auto"/>
              <w:jc w:val="left"/>
              <w:rPr>
                <w:rFonts w:cs="黑体" w:asciiTheme="minorEastAsia" w:hAnsiTheme="minorEastAsia" w:eastAsiaTheme="minorEastAsia"/>
                <w:bCs/>
                <w:sz w:val="18"/>
                <w:szCs w:val="18"/>
              </w:rPr>
            </w:pPr>
            <w:r>
              <w:rPr>
                <w:rFonts w:hint="eastAsia" w:cs="黑体" w:asciiTheme="minorEastAsia" w:hAnsiTheme="minorEastAsia" w:eastAsiaTheme="minorEastAsia"/>
                <w:bCs/>
                <w:sz w:val="18"/>
                <w:szCs w:val="18"/>
              </w:rPr>
              <w:t>（适用</w:t>
            </w:r>
            <w:r>
              <w:rPr>
                <w:rFonts w:hint="eastAsia" w:cs="黑体" w:asciiTheme="minorEastAsia" w:hAnsiTheme="minorEastAsia" w:eastAsiaTheme="minorEastAsia"/>
                <w:bCs/>
                <w:color w:val="auto"/>
                <w:sz w:val="18"/>
                <w:szCs w:val="18"/>
              </w:rPr>
              <w:t>【</w:t>
            </w:r>
            <w:r>
              <w:rPr>
                <w:rFonts w:hint="eastAsia" w:cs="黑体" w:asciiTheme="minorEastAsia" w:hAnsiTheme="minorEastAsia" w:eastAsiaTheme="minorEastAsia"/>
                <w:bCs/>
                <w:color w:val="auto"/>
                <w:sz w:val="18"/>
                <w:szCs w:val="18"/>
                <w:lang w:eastAsia="zh-CN"/>
              </w:rPr>
              <w:t>H】</w:t>
            </w:r>
            <w:r>
              <w:rPr>
                <w:rFonts w:hint="eastAsia" w:cs="黑体" w:asciiTheme="minorEastAsia" w:hAnsiTheme="minorEastAsia" w:eastAsiaTheme="minorEastAsia"/>
                <w:bCs/>
                <w:sz w:val="18"/>
                <w:szCs w:val="18"/>
              </w:rPr>
              <w:t>类份额）</w:t>
            </w:r>
          </w:p>
          <w:p w14:paraId="0C294514">
            <w:pPr>
              <w:spacing w:line="360" w:lineRule="auto"/>
              <w:jc w:val="left"/>
              <w:rPr>
                <w:rFonts w:ascii="黑体" w:hAnsi="黑体" w:eastAsia="黑体" w:cs="黑体"/>
                <w:bCs/>
                <w:sz w:val="18"/>
                <w:szCs w:val="18"/>
              </w:rPr>
            </w:pPr>
            <w:r>
              <w:rPr>
                <w:rFonts w:ascii="黑体" w:hAnsi="黑体" w:eastAsia="黑体" w:cs="黑体"/>
                <w:bCs/>
                <w:sz w:val="18"/>
                <w:szCs w:val="18"/>
              </w:rPr>
              <w:t>1.</w:t>
            </w:r>
            <w:r>
              <w:rPr>
                <w:rFonts w:hint="eastAsia" w:ascii="黑体" w:hAnsi="黑体" w:eastAsia="黑体" w:cs="黑体"/>
                <w:bCs/>
                <w:sz w:val="18"/>
                <w:szCs w:val="18"/>
              </w:rPr>
              <w:t>理财产品的费率标准</w:t>
            </w:r>
          </w:p>
          <w:p w14:paraId="394B52CB">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1）认购费：</w:t>
            </w:r>
            <w:r>
              <w:rPr>
                <w:rFonts w:hint="eastAsia" w:ascii="黑体" w:hAnsi="黑体" w:eastAsia="黑体" w:cs="黑体"/>
                <w:bCs/>
                <w:sz w:val="18"/>
                <w:szCs w:val="18"/>
              </w:rPr>
              <w:t>【/】。</w:t>
            </w:r>
          </w:p>
          <w:p w14:paraId="03C4DFF9">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2）申购费：</w:t>
            </w:r>
            <w:r>
              <w:rPr>
                <w:rFonts w:hint="eastAsia" w:ascii="黑体" w:hAnsi="黑体" w:eastAsia="黑体" w:cs="黑体"/>
                <w:bCs/>
                <w:sz w:val="18"/>
                <w:szCs w:val="18"/>
              </w:rPr>
              <w:t>【/】。</w:t>
            </w:r>
          </w:p>
          <w:p w14:paraId="2B626477">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3）赎回费：</w:t>
            </w:r>
            <w:r>
              <w:rPr>
                <w:rFonts w:hint="eastAsia" w:ascii="黑体" w:hAnsi="黑体" w:eastAsia="黑体" w:cs="黑体"/>
                <w:bCs/>
                <w:sz w:val="18"/>
                <w:szCs w:val="18"/>
              </w:rPr>
              <w:t>【/】。</w:t>
            </w:r>
          </w:p>
          <w:p w14:paraId="11257703">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4）销售服</w:t>
            </w:r>
            <w:r>
              <w:rPr>
                <w:rFonts w:hint="eastAsia" w:ascii="黑体" w:hAnsi="黑体" w:eastAsia="黑体" w:cs="黑体"/>
                <w:bCs/>
                <w:sz w:val="18"/>
                <w:szCs w:val="18"/>
              </w:rPr>
              <w:t>务费：</w:t>
            </w:r>
            <w:r>
              <w:rPr>
                <w:rFonts w:ascii="黑体" w:hAnsi="黑体" w:eastAsia="黑体" w:cs="黑体"/>
                <w:bCs/>
                <w:sz w:val="18"/>
                <w:szCs w:val="18"/>
              </w:rPr>
              <w:t>年化费率</w:t>
            </w:r>
            <w:r>
              <w:rPr>
                <w:rFonts w:hint="eastAsia" w:ascii="黑体" w:hAnsi="黑体" w:eastAsia="黑体" w:cs="黑体"/>
                <w:bCs/>
                <w:sz w:val="18"/>
                <w:szCs w:val="18"/>
              </w:rPr>
              <w:t>【0.30%】。</w:t>
            </w:r>
          </w:p>
          <w:p w14:paraId="0D7C7041">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5）投资管理费：</w:t>
            </w:r>
            <w:r>
              <w:rPr>
                <w:rFonts w:hint="eastAsia" w:ascii="黑体" w:hAnsi="黑体" w:eastAsia="黑体" w:cs="黑体"/>
                <w:bCs/>
                <w:sz w:val="18"/>
                <w:szCs w:val="18"/>
              </w:rPr>
              <w:t>年化</w:t>
            </w:r>
            <w:r>
              <w:rPr>
                <w:rFonts w:ascii="黑体" w:hAnsi="黑体" w:eastAsia="黑体" w:cs="黑体"/>
                <w:bCs/>
                <w:sz w:val="18"/>
                <w:szCs w:val="18"/>
              </w:rPr>
              <w:t>费率</w:t>
            </w:r>
            <w:r>
              <w:rPr>
                <w:rFonts w:hint="eastAsia" w:ascii="黑体" w:hAnsi="黑体" w:eastAsia="黑体" w:cs="黑体"/>
                <w:bCs/>
                <w:sz w:val="18"/>
                <w:szCs w:val="18"/>
              </w:rPr>
              <w:t>【0.30%</w:t>
            </w:r>
            <w:r>
              <w:rPr>
                <w:rFonts w:ascii="黑体" w:hAnsi="黑体" w:eastAsia="黑体" w:cs="黑体"/>
                <w:bCs/>
                <w:sz w:val="18"/>
                <w:szCs w:val="18"/>
              </w:rPr>
              <w:t>】</w:t>
            </w:r>
            <w:r>
              <w:rPr>
                <w:rFonts w:hint="eastAsia" w:ascii="黑体" w:hAnsi="黑体" w:eastAsia="黑体" w:cs="黑体"/>
                <w:bCs/>
                <w:sz w:val="18"/>
                <w:szCs w:val="18"/>
              </w:rPr>
              <w:t>。</w:t>
            </w:r>
          </w:p>
          <w:p w14:paraId="188F2B99">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6）产品托管费：</w:t>
            </w:r>
            <w:r>
              <w:rPr>
                <w:rFonts w:hint="eastAsia" w:ascii="黑体" w:hAnsi="黑体" w:eastAsia="黑体" w:cs="黑体"/>
                <w:bCs/>
                <w:sz w:val="18"/>
                <w:szCs w:val="18"/>
              </w:rPr>
              <w:t>年化</w:t>
            </w:r>
            <w:r>
              <w:rPr>
                <w:rFonts w:ascii="黑体" w:hAnsi="黑体" w:eastAsia="黑体" w:cs="黑体"/>
                <w:bCs/>
                <w:sz w:val="18"/>
                <w:szCs w:val="18"/>
              </w:rPr>
              <w:t>费率</w:t>
            </w:r>
            <w:r>
              <w:rPr>
                <w:rFonts w:hint="eastAsia" w:ascii="黑体" w:hAnsi="黑体" w:eastAsia="黑体" w:cs="黑体"/>
                <w:bCs/>
                <w:sz w:val="18"/>
                <w:szCs w:val="18"/>
              </w:rPr>
              <w:t>【0.03%】。</w:t>
            </w:r>
          </w:p>
          <w:p w14:paraId="0683008D">
            <w:pPr>
              <w:widowControl/>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7）超额业绩报酬：</w:t>
            </w:r>
          </w:p>
          <w:p w14:paraId="0F1615DD">
            <w:pPr>
              <w:widowControl/>
              <w:autoSpaceDE w:val="0"/>
              <w:autoSpaceDN w:val="0"/>
              <w:adjustRightInd w:val="0"/>
              <w:spacing w:line="360" w:lineRule="auto"/>
              <w:jc w:val="left"/>
              <w:rPr>
                <w:rFonts w:ascii="宋体" w:hAnsi="宋体" w:cs="黑体"/>
                <w:bCs/>
                <w:sz w:val="18"/>
                <w:szCs w:val="18"/>
              </w:rPr>
            </w:pPr>
            <w:r>
              <w:rPr>
                <w:rFonts w:ascii="宋体" w:hAnsi="宋体" w:cs="黑体"/>
                <w:bCs/>
                <w:sz w:val="18"/>
                <w:szCs w:val="18"/>
              </w:rPr>
              <w:t>本产品不收取超额业绩报酬</w:t>
            </w:r>
            <w:r>
              <w:rPr>
                <w:rFonts w:hint="eastAsia" w:ascii="宋体" w:hAnsi="宋体" w:cs="黑体"/>
                <w:bCs/>
                <w:sz w:val="18"/>
                <w:szCs w:val="18"/>
              </w:rPr>
              <w:t>。</w:t>
            </w:r>
          </w:p>
          <w:p w14:paraId="70BBA40C">
            <w:pPr>
              <w:autoSpaceDE w:val="0"/>
              <w:autoSpaceDN w:val="0"/>
              <w:adjustRightInd w:val="0"/>
              <w:spacing w:line="360" w:lineRule="auto"/>
              <w:jc w:val="left"/>
              <w:rPr>
                <w:rFonts w:ascii="黑体" w:hAnsi="黑体" w:eastAsia="黑体"/>
                <w:bCs/>
                <w:sz w:val="18"/>
                <w:szCs w:val="18"/>
              </w:rPr>
            </w:pPr>
            <w:r>
              <w:rPr>
                <w:rFonts w:ascii="黑体" w:hAnsi="黑体" w:eastAsia="黑体" w:cs="黑体"/>
                <w:bCs/>
                <w:sz w:val="18"/>
                <w:szCs w:val="18"/>
              </w:rPr>
              <w:t>2.</w:t>
            </w:r>
            <w:r>
              <w:rPr>
                <w:rFonts w:hint="eastAsia" w:ascii="黑体" w:hAnsi="黑体" w:eastAsia="黑体" w:cs="黑体"/>
                <w:bCs/>
                <w:sz w:val="18"/>
                <w:szCs w:val="18"/>
              </w:rPr>
              <w:t>产品管理人</w:t>
            </w:r>
            <w:r>
              <w:rPr>
                <w:rFonts w:ascii="黑体" w:hAnsi="黑体" w:eastAsia="黑体" w:cs="黑体"/>
                <w:bCs/>
                <w:sz w:val="18"/>
                <w:szCs w:val="18"/>
              </w:rPr>
              <w:t>保留变更</w:t>
            </w:r>
            <w:r>
              <w:rPr>
                <w:rFonts w:hint="eastAsia" w:ascii="黑体" w:hAnsi="黑体" w:eastAsia="黑体" w:cs="黑体"/>
                <w:bCs/>
                <w:sz w:val="18"/>
                <w:szCs w:val="18"/>
              </w:rPr>
              <w:t>上述</w:t>
            </w:r>
            <w:r>
              <w:rPr>
                <w:rFonts w:ascii="黑体" w:hAnsi="黑体" w:eastAsia="黑体" w:cs="黑体"/>
                <w:bCs/>
                <w:sz w:val="18"/>
                <w:szCs w:val="18"/>
              </w:rPr>
              <w:t>理财产品</w:t>
            </w:r>
            <w:r>
              <w:rPr>
                <w:rFonts w:hint="eastAsia" w:ascii="黑体" w:hAnsi="黑体" w:eastAsia="黑体" w:cs="黑体"/>
                <w:bCs/>
                <w:sz w:val="18"/>
                <w:szCs w:val="18"/>
              </w:rPr>
              <w:t>收取</w:t>
            </w:r>
            <w:r>
              <w:rPr>
                <w:rFonts w:ascii="黑体" w:hAnsi="黑体" w:eastAsia="黑体" w:cs="黑体"/>
                <w:bCs/>
                <w:sz w:val="18"/>
                <w:szCs w:val="18"/>
              </w:rPr>
              <w:t>费率</w:t>
            </w:r>
            <w:r>
              <w:rPr>
                <w:rFonts w:hint="eastAsia" w:ascii="黑体" w:hAnsi="黑体" w:eastAsia="黑体" w:cs="黑体"/>
                <w:bCs/>
                <w:sz w:val="18"/>
                <w:szCs w:val="18"/>
              </w:rPr>
              <w:t>标准</w:t>
            </w:r>
            <w:r>
              <w:rPr>
                <w:rFonts w:ascii="黑体" w:hAnsi="黑体" w:eastAsia="黑体" w:cs="黑体"/>
                <w:bCs/>
                <w:sz w:val="18"/>
                <w:szCs w:val="18"/>
              </w:rPr>
              <w:t>的权利</w:t>
            </w:r>
            <w:r>
              <w:rPr>
                <w:rFonts w:hint="eastAsia" w:ascii="黑体" w:hAnsi="黑体" w:eastAsia="黑体" w:cs="黑体"/>
                <w:bCs/>
                <w:sz w:val="18"/>
                <w:szCs w:val="18"/>
              </w:rPr>
              <w:t>。</w:t>
            </w:r>
          </w:p>
        </w:tc>
      </w:tr>
      <w:tr w14:paraId="633190F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2617BACB">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14:paraId="22DBC632">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68BE338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51B480BD">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14:paraId="62A405D7">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6CB0CFC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14:paraId="72828681">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14:paraId="5DF33143">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30526FAD">
      <w:pPr>
        <w:pStyle w:val="34"/>
        <w:spacing w:line="360" w:lineRule="auto"/>
        <w:rPr>
          <w:rFonts w:hAnsi="宋体"/>
          <w:sz w:val="18"/>
          <w:szCs w:val="18"/>
        </w:rPr>
      </w:pPr>
    </w:p>
    <w:p w14:paraId="663B3397">
      <w:pPr>
        <w:widowControl/>
        <w:spacing w:line="360" w:lineRule="auto"/>
        <w:jc w:val="left"/>
        <w:rPr>
          <w:rFonts w:ascii="宋体" w:hAnsi="宋体"/>
          <w:color w:val="000000"/>
          <w:kern w:val="0"/>
          <w:sz w:val="18"/>
          <w:szCs w:val="18"/>
        </w:rPr>
      </w:pPr>
      <w:r>
        <w:rPr>
          <w:rFonts w:hAnsi="宋体"/>
          <w:sz w:val="18"/>
          <w:szCs w:val="18"/>
        </w:rPr>
        <w:br w:type="page"/>
      </w:r>
    </w:p>
    <w:p w14:paraId="161CDB6E">
      <w:pPr>
        <w:pStyle w:val="2"/>
        <w:spacing w:before="0" w:after="0" w:line="360" w:lineRule="auto"/>
        <w:jc w:val="center"/>
        <w:rPr>
          <w:rFonts w:ascii="Times New Roman"/>
          <w:sz w:val="30"/>
        </w:rPr>
      </w:pPr>
      <w:bookmarkStart w:id="10" w:name="_Toc103260530"/>
      <w:bookmarkStart w:id="11" w:name="_Toc79154666"/>
      <w:bookmarkStart w:id="12" w:name="_Toc22117"/>
      <w:bookmarkStart w:id="13" w:name="_Toc92377132"/>
      <w:bookmarkStart w:id="14" w:name="_Toc176187992"/>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14:paraId="492AB3B0">
      <w:pPr>
        <w:pStyle w:val="34"/>
        <w:spacing w:line="360" w:lineRule="auto"/>
        <w:ind w:firstLine="361" w:firstLineChars="200"/>
        <w:rPr>
          <w:rFonts w:asciiTheme="minorEastAsia" w:hAnsiTheme="minorEastAsia" w:eastAsiaTheme="minorEastAsia"/>
          <w:b/>
          <w:color w:val="auto"/>
          <w:sz w:val="18"/>
          <w:szCs w:val="18"/>
        </w:rPr>
      </w:pPr>
      <w:bookmarkStart w:id="16" w:name="_Hlt88031774"/>
      <w:bookmarkEnd w:id="16"/>
      <w:bookmarkStart w:id="17" w:name="_Hlt88031741"/>
      <w:r>
        <w:rPr>
          <w:rFonts w:hint="eastAsia" w:asciiTheme="minorEastAsia" w:hAnsiTheme="minorEastAsia" w:eastAsiaTheme="minorEastAsia"/>
          <w:b/>
          <w:color w:val="auto"/>
          <w:sz w:val="18"/>
          <w:szCs w:val="18"/>
        </w:rPr>
        <w:t>（一）理财产品的认购</w:t>
      </w:r>
    </w:p>
    <w:p w14:paraId="3B818BB5">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认购的时间</w:t>
      </w:r>
    </w:p>
    <w:p w14:paraId="7A959EA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0A58AC87">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2.认购</w:t>
      </w:r>
      <w:r>
        <w:rPr>
          <w:rFonts w:hint="eastAsia" w:asciiTheme="minorEastAsia" w:hAnsiTheme="minorEastAsia" w:eastAsiaTheme="minorEastAsia"/>
          <w:b/>
          <w:color w:val="auto"/>
          <w:sz w:val="18"/>
          <w:szCs w:val="18"/>
        </w:rPr>
        <w:t>的方式</w:t>
      </w:r>
    </w:p>
    <w:p w14:paraId="25E7F17F">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2FD1E1A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650FDDA8">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销售机构线上渠道认购的，应根据销售机构</w:t>
      </w:r>
      <w:r>
        <w:rPr>
          <w:rFonts w:hint="eastAsia" w:asciiTheme="minorEastAsia" w:hAnsiTheme="minorEastAsia"/>
          <w:bCs/>
          <w:color w:val="auto"/>
          <w:sz w:val="18"/>
          <w:szCs w:val="18"/>
        </w:rPr>
        <w:t>线上渠道的具体要求执行。</w:t>
      </w:r>
    </w:p>
    <w:p w14:paraId="636CDF05">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3.</w:t>
      </w:r>
      <w:r>
        <w:rPr>
          <w:rFonts w:hint="eastAsia" w:asciiTheme="minorEastAsia" w:hAnsiTheme="minorEastAsia" w:eastAsiaTheme="minorEastAsia"/>
          <w:b/>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58510F0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1D711790">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198F76B7">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182A8558">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6823D1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31FCF657">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365E8D84">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14:paraId="5F79AC4E">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6F3B909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p>
    <w:p w14:paraId="2C88634E">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w:t>
      </w:r>
      <w:r>
        <w:rPr>
          <w:rFonts w:asciiTheme="minorEastAsia" w:hAnsiTheme="minorEastAsia" w:eastAsiaTheme="minorEastAsia"/>
          <w:b/>
          <w:color w:val="auto"/>
          <w:sz w:val="18"/>
          <w:szCs w:val="18"/>
        </w:rPr>
        <w:t>认购的价格</w:t>
      </w:r>
    </w:p>
    <w:p w14:paraId="345029FF">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502CEAE0">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0BF45D74">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1205FED4">
      <w:pPr>
        <w:pStyle w:val="34"/>
        <w:spacing w:line="360" w:lineRule="auto"/>
        <w:ind w:firstLine="361" w:firstLineChars="200"/>
        <w:rPr>
          <w:rFonts w:asciiTheme="minorEastAsia" w:hAnsiTheme="minorEastAsia"/>
          <w:b/>
          <w:bCs/>
          <w:sz w:val="18"/>
          <w:szCs w:val="18"/>
        </w:rPr>
      </w:pPr>
      <w:r>
        <w:rPr>
          <w:rFonts w:asciiTheme="minorEastAsia" w:hAnsiTheme="minorEastAsia" w:eastAsiaTheme="minorEastAsia"/>
          <w:b/>
          <w:color w:val="auto"/>
          <w:sz w:val="18"/>
          <w:szCs w:val="18"/>
        </w:rPr>
        <w:t>6.认购份额的计算</w:t>
      </w:r>
    </w:p>
    <w:p w14:paraId="0C26E54A">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1AF2AE43">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6DF830F8">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2E171A9F">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2B7C214B">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0269CDDD">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.认购的起点和递增金额</w:t>
      </w:r>
    </w:p>
    <w:p w14:paraId="2B62221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59596E80">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384643A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322E29EC">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9.募集期认购资金利息的处理</w:t>
      </w:r>
    </w:p>
    <w:p w14:paraId="776124B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14:paraId="45D750C2">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（二）认购的原则</w:t>
      </w:r>
    </w:p>
    <w:p w14:paraId="202F2D5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5E4D5B3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66204E5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（三）拒绝或暂停认购的情形</w:t>
      </w:r>
    </w:p>
    <w:p w14:paraId="4F4DDC1D">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7D63A6E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3CD8C42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25599F8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693DF0D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5B61620A">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（四）日期遇非工作日的调整</w:t>
      </w:r>
    </w:p>
    <w:p w14:paraId="36E9CBF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1E4297D7">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eastAsiaTheme="minorEastAsia"/>
          <w:b/>
          <w:color w:val="auto"/>
          <w:sz w:val="18"/>
          <w:szCs w:val="18"/>
        </w:rPr>
        <w:t>（五）投资者持有理财份额的限额和理财产品总规模限额</w:t>
      </w:r>
    </w:p>
    <w:p w14:paraId="5AB3214E">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489BD2CE">
      <w:pPr>
        <w:spacing w:line="360" w:lineRule="auto"/>
        <w:ind w:firstLine="360" w:firstLineChars="200"/>
        <w:rPr>
          <w:rFonts w:asciiTheme="minorEastAsia" w:hAnsiTheme="minorEastAsia"/>
          <w:bCs/>
          <w:sz w:val="18"/>
          <w:szCs w:val="18"/>
        </w:rPr>
      </w:pPr>
    </w:p>
    <w:p w14:paraId="23843805">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5253F141">
      <w:pPr>
        <w:pStyle w:val="2"/>
        <w:spacing w:before="0" w:after="0" w:line="360" w:lineRule="auto"/>
        <w:jc w:val="center"/>
        <w:rPr>
          <w:rFonts w:ascii="Times New Roman"/>
          <w:sz w:val="30"/>
        </w:rPr>
      </w:pPr>
      <w:bookmarkStart w:id="18" w:name="_Toc27778"/>
      <w:bookmarkStart w:id="19" w:name="_Toc103260531"/>
      <w:bookmarkStart w:id="20" w:name="_Toc176187993"/>
      <w:bookmarkStart w:id="21" w:name="_Toc92377133"/>
      <w:bookmarkStart w:id="22"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14:paraId="6E9FADD8">
      <w:pPr>
        <w:spacing w:line="360" w:lineRule="auto"/>
        <w:ind w:firstLine="420" w:firstLineChars="200"/>
      </w:pPr>
    </w:p>
    <w:p w14:paraId="2204CB0C">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（一）理财产品的申购</w:t>
      </w:r>
    </w:p>
    <w:p w14:paraId="7A83C6B3">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申购的时间</w:t>
      </w:r>
    </w:p>
    <w:p w14:paraId="5038573A">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14:paraId="18DE9AEF">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2.申购的方式</w:t>
      </w:r>
    </w:p>
    <w:p w14:paraId="4C6D2F31">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7473D4DC">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478D73A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51C71A20">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32E23D66">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31F56FBE">
      <w:pPr>
        <w:pStyle w:val="34"/>
        <w:spacing w:line="360" w:lineRule="auto"/>
        <w:ind w:firstLine="360" w:firstLineChars="200"/>
        <w:rPr>
          <w:rFonts w:asciiTheme="minorEastAsia" w:hAnsiTheme="minorEastAsia" w:eastAsiaTheme="minorEastAsia"/>
          <w:bCs/>
          <w:color w:val="auto"/>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14:paraId="3B9FDD8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的价格</w:t>
      </w:r>
    </w:p>
    <w:p w14:paraId="1D5B07A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14:paraId="1B63E6A8">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申购的</w:t>
      </w:r>
      <w:r>
        <w:rPr>
          <w:rFonts w:asciiTheme="minorEastAsia" w:hAnsiTheme="minorEastAsia" w:eastAsiaTheme="minorEastAsia"/>
          <w:b/>
          <w:color w:val="auto"/>
          <w:sz w:val="18"/>
          <w:szCs w:val="18"/>
        </w:rPr>
        <w:t>费用</w:t>
      </w:r>
    </w:p>
    <w:p w14:paraId="2D077C08">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1AF19BAF">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申购份额计算</w:t>
      </w:r>
    </w:p>
    <w:p w14:paraId="286B7E26">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54308F8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14:paraId="26FEDB2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14:paraId="61304937">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14:paraId="237C133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14:paraId="666F356D">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申购的起点和递增金额</w:t>
      </w:r>
    </w:p>
    <w:p w14:paraId="7D41D5B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26ED58F4">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521E88FF">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075FED55">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（二）理财产品的赎回</w:t>
      </w:r>
    </w:p>
    <w:p w14:paraId="2003A676">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赎回的时间</w:t>
      </w:r>
    </w:p>
    <w:p w14:paraId="68357EA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14:paraId="221D008D">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2.赎回的方式</w:t>
      </w:r>
    </w:p>
    <w:p w14:paraId="137E55F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13D433BC">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5634AAFE">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43A02D9C">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3.</w:t>
      </w:r>
      <w:r>
        <w:rPr>
          <w:rFonts w:hint="eastAsia" w:asciiTheme="minorEastAsia" w:hAnsiTheme="minorEastAsia" w:eastAsiaTheme="minorEastAsia"/>
          <w:b/>
          <w:color w:val="auto"/>
          <w:sz w:val="18"/>
          <w:szCs w:val="18"/>
        </w:rPr>
        <w:t>赎回的确认</w:t>
      </w:r>
    </w:p>
    <w:p w14:paraId="083CE933">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61B71221">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14:paraId="6940E012">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4</w:t>
      </w:r>
      <w:r>
        <w:rPr>
          <w:rFonts w:hint="eastAsia" w:asciiTheme="minorEastAsia" w:hAnsiTheme="minorEastAsia" w:eastAsiaTheme="minorEastAsia"/>
          <w:b/>
          <w:color w:val="auto"/>
          <w:sz w:val="18"/>
          <w:szCs w:val="18"/>
        </w:rPr>
        <w:t>.赎回</w:t>
      </w:r>
      <w:r>
        <w:rPr>
          <w:rFonts w:asciiTheme="minorEastAsia" w:hAnsiTheme="minorEastAsia" w:eastAsiaTheme="minorEastAsia"/>
          <w:b/>
          <w:color w:val="auto"/>
          <w:sz w:val="18"/>
          <w:szCs w:val="18"/>
        </w:rPr>
        <w:t>的价格</w:t>
      </w:r>
    </w:p>
    <w:p w14:paraId="6DCB733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14:paraId="7D46880D">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赎回的</w:t>
      </w:r>
      <w:r>
        <w:rPr>
          <w:rFonts w:asciiTheme="minorEastAsia" w:hAnsiTheme="minorEastAsia" w:eastAsiaTheme="minorEastAsia"/>
          <w:b/>
          <w:color w:val="auto"/>
          <w:sz w:val="18"/>
          <w:szCs w:val="18"/>
        </w:rPr>
        <w:t>费用</w:t>
      </w:r>
    </w:p>
    <w:p w14:paraId="28AFF305">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14:paraId="77F4DEFF">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赎回金额计算</w:t>
      </w:r>
    </w:p>
    <w:p w14:paraId="0DEF03F0">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5844616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14:paraId="546BFFE3">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14:paraId="5C448F9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14:paraId="3ECB5228">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45DCE786">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赎回</w:t>
      </w:r>
      <w:r>
        <w:rPr>
          <w:rFonts w:asciiTheme="minorEastAsia" w:hAnsiTheme="minorEastAsia" w:eastAsiaTheme="minorEastAsia"/>
          <w:b/>
          <w:color w:val="auto"/>
          <w:sz w:val="18"/>
          <w:szCs w:val="18"/>
        </w:rPr>
        <w:t>的数量限制</w:t>
      </w:r>
    </w:p>
    <w:p w14:paraId="46BEA0F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14:paraId="61C24124">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（三）申购与赎回的原则</w:t>
      </w:r>
    </w:p>
    <w:p w14:paraId="68DB84A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147CD88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14:paraId="194FF72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2F0A1CD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14:paraId="3790E915">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（四）拒绝或暂停申购的情形</w:t>
      </w:r>
    </w:p>
    <w:p w14:paraId="4A92FDFA">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52F031B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0B25B67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2DEB8B0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6916432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124F2538">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52B33AF6">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00BC884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0B62FCC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1CE8423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37820CA9">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（五）暂停赎回或延缓支付赎回款项的情形</w:t>
      </w:r>
    </w:p>
    <w:p w14:paraId="4F0FCCD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2A3C3CE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630A35F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3504004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7C26F1F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73D615FE">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5A3B9F1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0C9AB63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102B738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5493E6B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2BF0FAD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4FE62ED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2F951409">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（六）巨额赎回的情形及</w:t>
      </w:r>
      <w:r>
        <w:rPr>
          <w:rFonts w:asciiTheme="minorEastAsia" w:hAnsiTheme="minorEastAsia" w:eastAsiaTheme="minorEastAsia"/>
          <w:b/>
          <w:color w:val="auto"/>
          <w:sz w:val="18"/>
          <w:szCs w:val="18"/>
        </w:rPr>
        <w:t>处理方式</w:t>
      </w:r>
    </w:p>
    <w:p w14:paraId="23DC52FA">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巨额赎回的认定</w:t>
      </w:r>
    </w:p>
    <w:p w14:paraId="0503117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2A80C4C6">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巨额赎回的处理方式</w:t>
      </w:r>
    </w:p>
    <w:p w14:paraId="5A530914">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w:t>
      </w:r>
      <w:r>
        <w:rPr>
          <w:rFonts w:asciiTheme="minorEastAsia" w:hAnsiTheme="minorEastAsia"/>
          <w:bCs/>
          <w:sz w:val="18"/>
          <w:szCs w:val="18"/>
        </w:rPr>
        <w:t>3</w:t>
      </w:r>
      <w:r>
        <w:rPr>
          <w:rFonts w:hint="eastAsia" w:asciiTheme="minorEastAsia" w:hAnsiTheme="minorEastAsia"/>
          <w:bCs/>
          <w:sz w:val="18"/>
          <w:szCs w:val="18"/>
        </w:rPr>
        <w:t>）理财产品连续两个开放日（含）发生因巨额赎回导致拒绝赎回情况的，产品管理人可暂停接受投资者的赎回申请。投资者根据产品管理人披露的开放日可重新进行申购和赎回。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）法律法规规定或监管机构规定的其他措施。</w:t>
      </w:r>
    </w:p>
    <w:p w14:paraId="4474E41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巨额赎回的公告</w:t>
      </w:r>
    </w:p>
    <w:p w14:paraId="72D358A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3AA66C57">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（七）日期遇非工作日的调整</w:t>
      </w:r>
    </w:p>
    <w:p w14:paraId="167F354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643D9A80">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（八）投资者持有理财份额的限额和理财产品总规模限额</w:t>
      </w:r>
    </w:p>
    <w:p w14:paraId="0568A054">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7F3090D9">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14:paraId="78BB2CFA">
      <w:pPr>
        <w:pStyle w:val="2"/>
        <w:spacing w:before="0" w:after="0" w:line="360" w:lineRule="auto"/>
        <w:jc w:val="center"/>
        <w:rPr>
          <w:rFonts w:ascii="Times New Roman"/>
          <w:sz w:val="30"/>
        </w:rPr>
      </w:pPr>
      <w:bookmarkStart w:id="23" w:name="_Toc29948"/>
      <w:bookmarkStart w:id="24" w:name="_Toc90742688"/>
      <w:bookmarkStart w:id="25" w:name="_Toc103260532"/>
      <w:bookmarkStart w:id="26" w:name="_Toc6714"/>
      <w:bookmarkStart w:id="27" w:name="_Toc27189"/>
      <w:bookmarkStart w:id="28" w:name="_Toc24347"/>
      <w:bookmarkStart w:id="29" w:name="_Toc7151"/>
      <w:bookmarkStart w:id="30" w:name="_Toc90742390"/>
      <w:bookmarkStart w:id="31" w:name="_Toc79154668"/>
      <w:bookmarkStart w:id="32" w:name="_Toc176187994"/>
      <w:bookmarkStart w:id="33" w:name="_Toc90742321"/>
      <w:bookmarkStart w:id="34" w:name="_Toc15203"/>
      <w:bookmarkStart w:id="35" w:name="_Toc92377134"/>
      <w:bookmarkStart w:id="36" w:name="_Toc3266"/>
      <w:bookmarkStart w:id="37" w:name="_Toc16265"/>
      <w:bookmarkStart w:id="38" w:name="_Toc29784"/>
      <w:bookmarkStart w:id="39" w:name="_Toc22074"/>
      <w:bookmarkStart w:id="40" w:name="_Toc27226"/>
      <w:bookmarkStart w:id="41" w:name="_Toc7406574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7A50C4E7">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（一）投资目标</w:t>
      </w:r>
    </w:p>
    <w:p w14:paraId="60E15D4E">
      <w:pPr>
        <w:pStyle w:val="34"/>
        <w:spacing w:line="360" w:lineRule="auto"/>
        <w:ind w:firstLine="360" w:firstLineChars="200"/>
        <w:rPr>
          <w:rFonts w:asciiTheme="majorEastAsia" w:hAnsiTheme="majorEastAsia" w:eastAsiaTheme="majorEastAsia"/>
          <w:color w:val="auto"/>
          <w:sz w:val="18"/>
          <w:szCs w:val="18"/>
        </w:rPr>
      </w:pPr>
      <w:permStart w:id="14" w:edGrp="everyone"/>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ermEnd w:id="14"/>
    <w:p w14:paraId="2264CE4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（二）投资范围和比例</w:t>
      </w:r>
    </w:p>
    <w:p w14:paraId="06BFCC4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0962E45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14:paraId="6ECBFD3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5" w:edGrp="everyone"/>
      <w:r>
        <w:rPr>
          <w:rFonts w:hint="eastAsia" w:asciiTheme="majorEastAsia" w:hAnsiTheme="majorEastAsia" w:eastAsiaTheme="majorEastAsia"/>
          <w:bCs/>
          <w:sz w:val="18"/>
          <w:szCs w:val="18"/>
        </w:rPr>
        <w:t>（1）银行存款、债券逆回购、货币基金等货币市场工具及其它银行间和交易所资金融通工具。</w:t>
      </w:r>
    </w:p>
    <w:p w14:paraId="19999BAD">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14:paraId="7833DCA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（3）投资于上述资产的符合监管要求的公募基金、基金公司或子公司资产管理计划、证券公司资产管理计划、保险资产管理计划及信托计划等。</w:t>
      </w:r>
    </w:p>
    <w:p w14:paraId="21CB9F5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（4）本产品不投资于非标准化债权类资产、不投资于权益类资产、不投资于</w:t>
      </w:r>
      <w:r>
        <w:rPr>
          <w:rFonts w:hint="eastAsia" w:ascii="宋体" w:hAnsi="宋体"/>
          <w:sz w:val="18"/>
          <w:szCs w:val="18"/>
        </w:rPr>
        <w:t>商品和金融衍生品类资产。</w:t>
      </w:r>
    </w:p>
    <w:permEnd w:id="15"/>
    <w:p w14:paraId="4D93AF1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7489E8B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14:paraId="5836840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本产品100%投资于债权类资产。</w:t>
      </w:r>
    </w:p>
    <w:permEnd w:id="16"/>
    <w:p w14:paraId="65D1EF07">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6EC9498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14:paraId="43AA4B20">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6135A05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4366482B">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47AE9D2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66072BBD">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59DF253F">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（三）投资限制</w:t>
      </w:r>
    </w:p>
    <w:p w14:paraId="59BAD24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4AB78115">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14:paraId="32E69001">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14:paraId="73648B9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（3）每只开放式公募理财产品直接投资于流动性受限资产的市值在开放日不得超过该产品资产净值的15%。</w:t>
      </w:r>
    </w:p>
    <w:p w14:paraId="4251628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03F7E0D4">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14:paraId="6E74381C">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5）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14:paraId="70C49CE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（6）本产品因为流动性需要可开展存单质押、债券正回购等融资业务，本产品总资产不超过净资产的140%。</w:t>
      </w:r>
    </w:p>
    <w:p w14:paraId="72C48FC8">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（7）本产品投资不存在活跃交易市场，并且需要采用估值技术确定公允价值的资产占理财产品净资产的比例低于50%。</w:t>
      </w:r>
    </w:p>
    <w:p w14:paraId="5D6133D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47E61107">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51D5845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5C807CB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64DFCA39">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6FB8DB68">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21EA402C">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46636A5F">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14:paraId="68E734FE">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w:t>
      </w:r>
      <w:r>
        <w:rPr>
          <w:rFonts w:hint="eastAsia" w:asciiTheme="minorEastAsia" w:hAnsiTheme="minorEastAsia" w:eastAsiaTheme="minorEastAsia"/>
          <w:b/>
          <w:color w:val="auto"/>
          <w:sz w:val="18"/>
          <w:szCs w:val="18"/>
        </w:rPr>
        <w:t>四</w:t>
      </w:r>
      <w:r>
        <w:rPr>
          <w:rFonts w:asciiTheme="minorEastAsia" w:hAnsiTheme="minorEastAsia" w:eastAsiaTheme="minorEastAsia"/>
          <w:b/>
          <w:color w:val="auto"/>
          <w:sz w:val="18"/>
          <w:szCs w:val="18"/>
        </w:rPr>
        <w:t>）</w:t>
      </w:r>
      <w:r>
        <w:rPr>
          <w:rFonts w:hint="eastAsia" w:asciiTheme="minorEastAsia" w:hAnsiTheme="minorEastAsia" w:eastAsiaTheme="minorEastAsia"/>
          <w:b/>
          <w:color w:val="auto"/>
          <w:sz w:val="18"/>
          <w:szCs w:val="18"/>
        </w:rPr>
        <w:t>投资策略</w:t>
      </w:r>
    </w:p>
    <w:p w14:paraId="6EFA012C">
      <w:pPr>
        <w:pStyle w:val="34"/>
        <w:spacing w:line="360" w:lineRule="auto"/>
        <w:ind w:firstLine="360" w:firstLineChars="200"/>
        <w:rPr>
          <w:rFonts w:asciiTheme="majorEastAsia" w:hAnsiTheme="majorEastAsia" w:eastAsiaTheme="majorEastAsia"/>
          <w:bCs/>
          <w:color w:val="auto"/>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14:paraId="0AD206C6">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本产品将采用ESG投资理念，引入对融资主体和项目在社会责任、环境保护、公司治理方面的考量，在追求投资业绩的同时，影响或者推动企业社会责任的履行，促进社会的和谐发展。</w:t>
      </w:r>
      <w:r>
        <w:rPr>
          <w:rFonts w:hint="eastAsia" w:asciiTheme="majorEastAsia" w:hAnsiTheme="majorEastAsia" w:eastAsiaTheme="majorEastAsia"/>
          <w:bCs/>
          <w:color w:val="auto"/>
          <w:sz w:val="18"/>
          <w:szCs w:val="18"/>
        </w:rPr>
        <w:t>】</w:t>
      </w:r>
    </w:p>
    <w:permEnd w:id="19"/>
    <w:p w14:paraId="015ADA9F">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259F5165">
      <w:pPr>
        <w:pStyle w:val="2"/>
        <w:spacing w:before="0" w:after="0" w:line="360" w:lineRule="auto"/>
        <w:jc w:val="center"/>
        <w:rPr>
          <w:rFonts w:ascii="Times New Roman"/>
          <w:sz w:val="30"/>
        </w:rPr>
      </w:pPr>
      <w:bookmarkStart w:id="42" w:name="_Toc18526"/>
      <w:bookmarkStart w:id="43" w:name="_Toc176187995"/>
      <w:bookmarkStart w:id="44" w:name="_Toc17912"/>
      <w:bookmarkStart w:id="45" w:name="_Toc141703885"/>
      <w:bookmarkStart w:id="46" w:name="_Toc92377135"/>
      <w:bookmarkStart w:id="47" w:name="_Toc14893"/>
      <w:bookmarkStart w:id="48" w:name="_Toc1823"/>
      <w:bookmarkStart w:id="49" w:name="_Toc74065742"/>
      <w:bookmarkStart w:id="50" w:name="_Toc18329"/>
      <w:bookmarkStart w:id="51" w:name="_Toc21988"/>
      <w:bookmarkStart w:id="52" w:name="_Toc7848"/>
      <w:bookmarkStart w:id="53" w:name="_Toc103260533"/>
      <w:bookmarkStart w:id="54" w:name="_Toc16372"/>
      <w:bookmarkStart w:id="55" w:name="_Toc4741"/>
      <w:bookmarkStart w:id="56" w:name="_Toc79154669"/>
      <w:bookmarkStart w:id="57" w:name="_Toc139991735"/>
      <w:bookmarkStart w:id="58" w:name="_Toc26986"/>
      <w:bookmarkStart w:id="59" w:name="_Toc1879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1D96C619">
      <w:pPr>
        <w:pStyle w:val="34"/>
        <w:spacing w:line="360" w:lineRule="auto"/>
        <w:ind w:firstLine="361" w:firstLineChars="200"/>
        <w:rPr>
          <w:rFonts w:asciiTheme="minorEastAsia" w:hAnsiTheme="minorEastAsia" w:eastAsiaTheme="minorEastAsia"/>
          <w:b/>
          <w:color w:val="auto"/>
          <w:sz w:val="18"/>
          <w:szCs w:val="18"/>
        </w:rPr>
      </w:pPr>
      <w:bookmarkStart w:id="60" w:name="_Hlk490214295"/>
      <w:r>
        <w:rPr>
          <w:rFonts w:hint="eastAsia" w:asciiTheme="minorEastAsia" w:hAnsiTheme="minorEastAsia" w:eastAsiaTheme="minorEastAsia"/>
          <w:b/>
          <w:color w:val="auto"/>
          <w:sz w:val="18"/>
          <w:szCs w:val="18"/>
        </w:rPr>
        <w:t>（一）理财产品的资产的保管和处分</w:t>
      </w:r>
    </w:p>
    <w:p w14:paraId="3ED9C13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7D961B8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110C81B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38D71991">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（二）理财产品的有关账户</w:t>
      </w:r>
    </w:p>
    <w:p w14:paraId="23FD5B7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47E9A57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4775D07B">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14:paraId="00655FCD">
      <w:pPr>
        <w:pStyle w:val="2"/>
        <w:spacing w:before="0" w:after="0" w:line="360" w:lineRule="auto"/>
        <w:jc w:val="center"/>
        <w:rPr>
          <w:rFonts w:ascii="Times New Roman"/>
          <w:sz w:val="28"/>
          <w:szCs w:val="28"/>
        </w:rPr>
      </w:pPr>
      <w:bookmarkStart w:id="61" w:name="_Toc83391971"/>
      <w:bookmarkStart w:id="62" w:name="_Toc11569"/>
      <w:bookmarkStart w:id="63" w:name="_Toc176187996"/>
      <w:bookmarkStart w:id="64" w:name="_Toc92377136"/>
      <w:bookmarkStart w:id="65" w:name="_Toc103260534"/>
      <w:bookmarkStart w:id="66" w:name="_Toc141703886"/>
      <w:bookmarkStart w:id="67" w:name="_Toc23261"/>
      <w:bookmarkStart w:id="68" w:name="_Toc1270"/>
      <w:bookmarkStart w:id="69" w:name="_Toc74065743"/>
      <w:bookmarkStart w:id="70" w:name="_Toc139991736"/>
      <w:bookmarkStart w:id="71" w:name="_Toc79154670"/>
      <w:bookmarkStart w:id="72" w:name="_Toc610"/>
      <w:bookmarkStart w:id="73" w:name="_Toc10463"/>
      <w:bookmarkStart w:id="74" w:name="_Toc123112234"/>
      <w:bookmarkStart w:id="75" w:name="_Toc123102453"/>
      <w:bookmarkStart w:id="76" w:name="_Toc23822"/>
      <w:bookmarkStart w:id="77" w:name="_Toc4003"/>
      <w:bookmarkStart w:id="78" w:name="_Toc98560352"/>
      <w:bookmarkStart w:id="79" w:name="_Toc17244"/>
      <w:bookmarkStart w:id="80" w:name="_Toc123051452"/>
      <w:bookmarkStart w:id="81" w:name="_Toc79392606"/>
      <w:bookmarkStart w:id="82" w:name="_Toc48649707"/>
      <w:bookmarkStart w:id="83" w:name="_Toc20733"/>
      <w:bookmarkStart w:id="84" w:name="_Toc7920"/>
      <w:bookmarkStart w:id="85" w:name="_Toc1427"/>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14:paraId="6CBC1FAE">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1358DC95">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14:paraId="74293E1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14:paraId="1522F6C1">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14:paraId="387B07B7">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sz w:val="18"/>
          <w:szCs w:val="18"/>
        </w:rPr>
        <w:t>本产品存续期间，每【周】进行一次估值。如遇产品申购日/赎回日、季度末、半年度末、年度末等时间节点管理人将增加估值日。</w:t>
      </w:r>
    </w:p>
    <w:permEnd w:id="20"/>
    <w:p w14:paraId="2B3816A5">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14:paraId="5B46C927">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14:paraId="0F517779">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（四）估值方法</w:t>
      </w:r>
    </w:p>
    <w:p w14:paraId="38E1FEE8">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14:paraId="3049164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7C99A03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14:paraId="0C7EFBF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14:paraId="4A34C465">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14:paraId="574AE558">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14:paraId="41F2F98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14:paraId="4B52F831">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2.</w:t>
      </w:r>
      <w:r>
        <w:rPr>
          <w:rFonts w:hint="eastAsia" w:asciiTheme="minorEastAsia" w:hAnsiTheme="minorEastAsia" w:eastAsiaTheme="minorEastAsia"/>
          <w:bCs/>
          <w:color w:val="auto"/>
          <w:sz w:val="18"/>
          <w:szCs w:val="18"/>
        </w:rPr>
        <w:t>境外债券</w:t>
      </w:r>
    </w:p>
    <w:p w14:paraId="63563117">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03984457">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3.非标准化债权类资产</w:t>
      </w:r>
    </w:p>
    <w:p w14:paraId="1B1F280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14:paraId="07CBF94F">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4.上市公司股票</w:t>
      </w:r>
      <w:r>
        <w:rPr>
          <w:rFonts w:hint="eastAsia" w:asciiTheme="minorEastAsia" w:hAnsiTheme="minorEastAsia" w:eastAsiaTheme="minorEastAsia"/>
          <w:bCs/>
          <w:color w:val="auto"/>
          <w:sz w:val="18"/>
          <w:szCs w:val="18"/>
        </w:rPr>
        <w:t>估值</w:t>
      </w:r>
    </w:p>
    <w:p w14:paraId="541D268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14:paraId="4BCB254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7CBD3F7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14:paraId="2176BCC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14:paraId="0F69552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14:paraId="5BD6EC7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14:paraId="5755D593">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14:paraId="70CBC29D">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14:paraId="1396DFB7">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14:paraId="4B7A111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5F01FAD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证券投资基金估值</w:t>
      </w:r>
    </w:p>
    <w:p w14:paraId="27B388E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14:paraId="4E3BC53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14:paraId="34BF9490">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14:paraId="176DEBB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14:paraId="37B66A61">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14:paraId="637A803F">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14:paraId="34A2E32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14:paraId="390A55F4">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14:paraId="712053C6">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14:paraId="07D7BFA6">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14:paraId="4A199898">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14:paraId="62668599">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14:paraId="006BB58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14:paraId="1923BEE9">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23F0F29C">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14:paraId="33012937">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14:paraId="63A82304">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14:paraId="604B0F3E">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14:paraId="69258F1C">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14:paraId="31510771">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14:paraId="6404017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0E3CD56B">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（六）估值主体</w:t>
      </w:r>
    </w:p>
    <w:p w14:paraId="78878AD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73F0BE25">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（七）★暂停估值</w:t>
      </w:r>
    </w:p>
    <w:p w14:paraId="00471BD3">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2A8DC9A1">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4BD2DA99">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5308F1DB">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0D5AE9A0">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521051CD">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14:paraId="4D78BCED">
      <w:pPr>
        <w:pStyle w:val="2"/>
        <w:spacing w:before="0" w:after="0" w:line="360" w:lineRule="auto"/>
        <w:ind w:left="60" w:firstLine="10"/>
        <w:jc w:val="center"/>
        <w:rPr>
          <w:rFonts w:ascii="Times New Roman"/>
          <w:sz w:val="30"/>
        </w:rPr>
      </w:pPr>
      <w:bookmarkStart w:id="86" w:name="_Hlt70481650"/>
      <w:bookmarkEnd w:id="86"/>
      <w:bookmarkStart w:id="87" w:name="_Toc26207"/>
      <w:bookmarkStart w:id="88" w:name="_Toc31653"/>
      <w:bookmarkStart w:id="89" w:name="_Toc31644"/>
      <w:bookmarkStart w:id="90" w:name="_Toc141703887"/>
      <w:bookmarkStart w:id="91" w:name="_Toc103260535"/>
      <w:bookmarkStart w:id="92" w:name="_Toc12245"/>
      <w:bookmarkStart w:id="93" w:name="_Toc176187997"/>
      <w:bookmarkStart w:id="94" w:name="_Toc6405"/>
      <w:bookmarkStart w:id="95" w:name="_Toc123102454"/>
      <w:bookmarkStart w:id="96" w:name="_Toc92377137"/>
      <w:bookmarkStart w:id="97" w:name="_Toc123112235"/>
      <w:bookmarkStart w:id="98" w:name="_Toc139991737"/>
      <w:bookmarkStart w:id="99" w:name="_Toc123051453"/>
      <w:bookmarkStart w:id="100" w:name="_Toc15143"/>
      <w:bookmarkStart w:id="101" w:name="_Toc31235"/>
      <w:bookmarkStart w:id="102" w:name="_Toc14835"/>
      <w:bookmarkStart w:id="103" w:name="_Toc18706"/>
      <w:bookmarkStart w:id="104" w:name="_Toc74065744"/>
      <w:bookmarkStart w:id="105" w:name="_Toc98560353"/>
      <w:bookmarkStart w:id="106" w:name="_Toc79154671"/>
      <w:bookmarkStart w:id="107" w:name="_Toc3601"/>
      <w:bookmarkStart w:id="108" w:name="_Toc2925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523711668"/>
      <w:bookmarkStart w:id="111" w:name="_Toc57530239"/>
      <w:bookmarkStart w:id="112" w:name="_Toc79392580"/>
      <w:bookmarkStart w:id="113" w:name="_Toc15118234"/>
    </w:p>
    <w:p w14:paraId="15D4B3EC">
      <w:pPr>
        <w:pStyle w:val="34"/>
        <w:spacing w:line="360" w:lineRule="auto"/>
        <w:ind w:firstLine="361" w:firstLineChars="200"/>
        <w:rPr>
          <w:rFonts w:hAnsi="宋体"/>
          <w:b/>
          <w:color w:val="auto"/>
          <w:sz w:val="18"/>
          <w:szCs w:val="18"/>
        </w:rPr>
      </w:pPr>
      <w:r>
        <w:rPr>
          <w:rFonts w:hint="eastAsia" w:asciiTheme="minorEastAsia" w:hAnsiTheme="minorEastAsia" w:eastAsiaTheme="minorEastAsia"/>
          <w:b/>
          <w:color w:val="auto"/>
          <w:sz w:val="18"/>
          <w:szCs w:val="18"/>
        </w:rPr>
        <w:t>（一）理财利益的分配类型</w:t>
      </w:r>
    </w:p>
    <w:p w14:paraId="417C26CE">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319EFDB2">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237FC0D4">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（二）理财利益的分配原则</w:t>
      </w:r>
    </w:p>
    <w:p w14:paraId="35960438">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2846A761">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7270CEE0">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39EB6FFC">
      <w:pPr>
        <w:pStyle w:val="34"/>
        <w:spacing w:line="360" w:lineRule="auto"/>
        <w:ind w:firstLine="361" w:firstLineChars="200"/>
        <w:rPr>
          <w:rFonts w:hAnsi="宋体"/>
          <w:b/>
          <w:bCs/>
          <w:color w:val="auto"/>
          <w:sz w:val="18"/>
          <w:szCs w:val="18"/>
        </w:rPr>
      </w:pPr>
      <w:r>
        <w:rPr>
          <w:rFonts w:hint="eastAsia" w:asciiTheme="minorEastAsia" w:hAnsiTheme="minorEastAsia" w:eastAsiaTheme="minorEastAsia"/>
          <w:b/>
          <w:color w:val="auto"/>
          <w:sz w:val="18"/>
          <w:szCs w:val="18"/>
        </w:rPr>
        <w:t>（三）理财利益的分配方案</w:t>
      </w:r>
    </w:p>
    <w:p w14:paraId="171C9200">
      <w:pPr>
        <w:pStyle w:val="34"/>
        <w:spacing w:line="360" w:lineRule="auto"/>
        <w:ind w:firstLine="361" w:firstLineChars="200"/>
        <w:rPr>
          <w:rFonts w:hAnsi="宋体"/>
          <w:b/>
          <w:bCs/>
          <w:color w:val="auto"/>
          <w:sz w:val="18"/>
          <w:szCs w:val="18"/>
        </w:rPr>
      </w:pPr>
      <w:permStart w:id="21" w:edGrp="everyone"/>
      <w:r>
        <w:rPr>
          <w:rFonts w:hint="eastAsia" w:hAnsi="宋体"/>
          <w:b/>
          <w:bCs/>
          <w:color w:val="auto"/>
          <w:sz w:val="18"/>
          <w:szCs w:val="18"/>
        </w:rPr>
        <w:t>1.分配方案要点：</w:t>
      </w:r>
    </w:p>
    <w:p w14:paraId="755C4619">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14:paraId="573CE420">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14:paraId="0277142C">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67E79D20">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3DD58685">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（四）理财利益的分配</w:t>
      </w:r>
    </w:p>
    <w:p w14:paraId="68F19B03">
      <w:pPr>
        <w:pStyle w:val="34"/>
        <w:spacing w:line="360" w:lineRule="auto"/>
        <w:ind w:firstLine="360" w:firstLineChars="200"/>
        <w:rPr>
          <w:rFonts w:asciiTheme="minorEastAsia" w:hAnsiTheme="minorEastAsia" w:eastAsiaTheme="minorEastAsia"/>
          <w:color w:val="auto"/>
          <w:sz w:val="18"/>
          <w:szCs w:val="18"/>
        </w:rPr>
      </w:pPr>
      <w:permStart w:id="22" w:edGrp="everyone"/>
      <w:r>
        <w:rPr>
          <w:rFonts w:hint="eastAsia" w:asciiTheme="minorEastAsia" w:hAnsiTheme="minorEastAsia" w:eastAsiaTheme="minorEastAsia"/>
          <w:color w:val="auto"/>
          <w:sz w:val="18"/>
          <w:szCs w:val="18"/>
        </w:rPr>
        <w:t>1.理财利益的分配日</w:t>
      </w:r>
    </w:p>
    <w:p w14:paraId="74C2B520">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46ACD033">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2F16332F">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具体的理财利益分配以管理人实际分配的为准。</w:t>
      </w:r>
    </w:p>
    <w:permEnd w:id="22"/>
    <w:p w14:paraId="5EB0878D">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14:paraId="49700090">
      <w:pPr>
        <w:pStyle w:val="2"/>
        <w:spacing w:before="0" w:after="0" w:line="360" w:lineRule="auto"/>
        <w:jc w:val="center"/>
        <w:rPr>
          <w:rFonts w:ascii="Times New Roman"/>
          <w:sz w:val="30"/>
        </w:rPr>
      </w:pPr>
      <w:bookmarkStart w:id="114" w:name="_Hlt88897298"/>
      <w:bookmarkEnd w:id="114"/>
      <w:bookmarkStart w:id="115" w:name="_Hlt88825574"/>
      <w:bookmarkEnd w:id="115"/>
      <w:bookmarkStart w:id="116" w:name="_Toc9706"/>
      <w:bookmarkStart w:id="117" w:name="_Toc79392583"/>
      <w:bookmarkStart w:id="118" w:name="_Toc123102455"/>
      <w:bookmarkStart w:id="119" w:name="_Toc123112236"/>
      <w:bookmarkStart w:id="120" w:name="_Toc141703888"/>
      <w:bookmarkStart w:id="121" w:name="_Toc20951"/>
      <w:bookmarkStart w:id="122" w:name="_Toc92377138"/>
      <w:bookmarkStart w:id="123" w:name="_Toc7058"/>
      <w:bookmarkStart w:id="124" w:name="_Toc3771"/>
      <w:bookmarkStart w:id="125" w:name="_Toc98560354"/>
      <w:bookmarkStart w:id="126" w:name="_Toc176187998"/>
      <w:bookmarkStart w:id="127" w:name="_Toc74065745"/>
      <w:bookmarkStart w:id="128" w:name="_Toc103260536"/>
      <w:bookmarkStart w:id="129" w:name="_Toc123051454"/>
      <w:bookmarkStart w:id="130" w:name="_Toc79154672"/>
      <w:bookmarkStart w:id="131" w:name="_Toc3321"/>
      <w:bookmarkStart w:id="132" w:name="_Toc18567"/>
      <w:bookmarkStart w:id="133" w:name="_Toc139991738"/>
      <w:bookmarkStart w:id="134" w:name="_Toc4559"/>
      <w:bookmarkStart w:id="135" w:name="_Toc6447"/>
      <w:bookmarkStart w:id="136" w:name="_Toc11030"/>
      <w:bookmarkStart w:id="137" w:name="_Toc10650"/>
      <w:bookmarkStart w:id="138" w:name="_Toc25783"/>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14:paraId="736A4206">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（一）理财产品的费用</w:t>
      </w:r>
    </w:p>
    <w:p w14:paraId="591E1FF4">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理财产品费用的种类</w:t>
      </w:r>
    </w:p>
    <w:p w14:paraId="48B6FA1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37729004">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67B73003">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716230EE">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4F72AB0C">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14:paraId="22E397A1">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0AC88FE1">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16E20DC2">
      <w:pPr>
        <w:pStyle w:val="34"/>
        <w:spacing w:line="360" w:lineRule="auto"/>
        <w:ind w:firstLine="360" w:firstLineChars="200"/>
        <w:rPr>
          <w:rFonts w:hAnsi="宋体"/>
          <w:sz w:val="18"/>
          <w:szCs w:val="18"/>
        </w:rPr>
      </w:pPr>
      <w:r>
        <w:rPr>
          <w:rFonts w:asciiTheme="minorEastAsia" w:hAnsiTheme="minorEastAsia" w:eastAsiaTheme="minorEastAsia"/>
          <w:color w:val="auto"/>
          <w:sz w:val="18"/>
          <w:szCs w:val="18"/>
        </w:rPr>
        <w:t>2.</w:t>
      </w:r>
      <w:r>
        <w:rPr>
          <w:rFonts w:hint="eastAsia" w:asciiTheme="minorEastAsia" w:hAnsiTheme="minorEastAsia" w:eastAsiaTheme="minorEastAsia"/>
          <w:color w:val="auto"/>
          <w:sz w:val="18"/>
          <w:szCs w:val="18"/>
        </w:rPr>
        <w:t>理财产品费用计提方法、计提标准和支付方式</w:t>
      </w:r>
    </w:p>
    <w:p w14:paraId="0F48460E">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1887A2E0">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5E9F0521">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60FFE02E">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64065C9F">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581EE6BB">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60B2309E">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2F2FE2AB">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67E902C1">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4307F160">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19180077">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7C1D9765">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6907476E">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27DB4E3D">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15E16386">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5B92AF9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0C1F739A">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55F3A324">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宋体" w:hAnsi="宋体"/>
          <w:kern w:val="0"/>
          <w:sz w:val="18"/>
          <w:szCs w:val="18"/>
        </w:rPr>
        <w:t>本产品</w:t>
      </w:r>
      <w:r>
        <w:rPr>
          <w:rFonts w:ascii="宋体" w:hAnsi="宋体"/>
          <w:kern w:val="0"/>
          <w:sz w:val="18"/>
          <w:szCs w:val="18"/>
        </w:rPr>
        <w:t>不收取超额业绩报酬。</w:t>
      </w:r>
    </w:p>
    <w:permEnd w:id="23"/>
    <w:p w14:paraId="7046213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1DCC2E63">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068E5106">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27CB7C2F">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40C8E838">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61F052AF">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6E13FF9E">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63BAF59C">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3D6443EE">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29532F25">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1C2E6F63">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3.★</w:t>
      </w:r>
      <w:r>
        <w:rPr>
          <w:rFonts w:hint="eastAsia" w:ascii="黑体" w:hAnsi="黑体" w:eastAsia="黑体"/>
          <w:color w:val="auto"/>
          <w:sz w:val="18"/>
          <w:szCs w:val="18"/>
        </w:rPr>
        <w:t>理财产品费用的调整</w:t>
      </w:r>
    </w:p>
    <w:p w14:paraId="07571DB4">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74567570">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17022BC3">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（二）理财产品的税收</w:t>
      </w:r>
    </w:p>
    <w:p w14:paraId="67916CD5">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02E92E53">
      <w:pPr>
        <w:pStyle w:val="2"/>
        <w:spacing w:line="360" w:lineRule="auto"/>
        <w:jc w:val="center"/>
      </w:pPr>
      <w:bookmarkStart w:id="139" w:name="_Toc1745"/>
      <w:bookmarkStart w:id="140" w:name="_Toc3963"/>
      <w:r>
        <w:br w:type="page"/>
      </w:r>
      <w:bookmarkStart w:id="141" w:name="_Toc176187999"/>
      <w:bookmarkStart w:id="142" w:name="_Toc3572"/>
      <w:bookmarkStart w:id="143" w:name="_Toc16164"/>
      <w:bookmarkStart w:id="144" w:name="_Toc18206"/>
      <w:bookmarkStart w:id="145" w:name="_Toc123051455"/>
      <w:bookmarkStart w:id="146" w:name="_Toc10398"/>
      <w:bookmarkStart w:id="147" w:name="_Toc79154673"/>
      <w:bookmarkStart w:id="148" w:name="_Toc31821"/>
      <w:bookmarkStart w:id="149" w:name="_Toc139991739"/>
      <w:bookmarkStart w:id="150" w:name="_Toc3080"/>
      <w:bookmarkStart w:id="151" w:name="_Toc21735"/>
      <w:bookmarkStart w:id="152" w:name="_Toc725"/>
      <w:bookmarkStart w:id="153" w:name="_Toc123112237"/>
      <w:bookmarkStart w:id="154" w:name="_Toc123102456"/>
      <w:bookmarkStart w:id="155" w:name="_Toc141703889"/>
      <w:bookmarkStart w:id="156" w:name="_Toc103260537"/>
      <w:bookmarkStart w:id="157" w:name="_Toc74065746"/>
      <w:bookmarkStart w:id="158" w:name="_Toc98560355"/>
      <w:bookmarkStart w:id="159" w:name="_Toc92377139"/>
      <w:bookmarkStart w:id="160" w:name="_Toc19648"/>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3ED8911A">
      <w:pPr>
        <w:widowControl/>
        <w:spacing w:line="360" w:lineRule="auto"/>
        <w:ind w:firstLine="361" w:firstLineChars="200"/>
        <w:jc w:val="left"/>
        <w:rPr>
          <w:rFonts w:ascii="宋体" w:hAnsi="宋体"/>
          <w:b/>
          <w:kern w:val="0"/>
          <w:sz w:val="18"/>
          <w:szCs w:val="18"/>
        </w:rPr>
      </w:pPr>
      <w:bookmarkStart w:id="161" w:name="_Toc79392593"/>
      <w:bookmarkStart w:id="162" w:name="_Toc15118245"/>
      <w:bookmarkStart w:id="163" w:name="_Toc57530252"/>
      <w:r>
        <w:rPr>
          <w:rFonts w:hint="eastAsia" w:ascii="宋体" w:hAnsi="宋体"/>
          <w:b/>
          <w:kern w:val="0"/>
          <w:sz w:val="18"/>
          <w:szCs w:val="18"/>
        </w:rPr>
        <w:t>（一）理财产品的终止</w:t>
      </w:r>
    </w:p>
    <w:p w14:paraId="572246B8">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★提前终止</w:t>
      </w:r>
    </w:p>
    <w:p w14:paraId="0D9CCCA3">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4947FF0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39A71C2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0FC9C8D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08BF405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2344BFA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608C4D0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0059D8D5">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4E6A60C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2BB6C1C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6FB8B375">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★延期</w:t>
      </w:r>
      <w:r>
        <w:rPr>
          <w:rFonts w:ascii="黑体" w:hAnsi="黑体" w:eastAsia="黑体"/>
          <w:kern w:val="0"/>
          <w:sz w:val="18"/>
          <w:szCs w:val="18"/>
        </w:rPr>
        <w:t>终止</w:t>
      </w:r>
    </w:p>
    <w:p w14:paraId="28FD8B27">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140E10C2">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6E482CCC">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7507F535">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6B6DF285">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6E143122">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39551175">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（二）理财产品的清算</w:t>
      </w:r>
    </w:p>
    <w:bookmarkEnd w:id="161"/>
    <w:bookmarkEnd w:id="162"/>
    <w:bookmarkEnd w:id="163"/>
    <w:p w14:paraId="5C39AEE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14:paraId="2FCA150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1BE881C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14:paraId="49C9B6C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14:paraId="7DD318D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14:paraId="778AF3B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3BCA202F">
      <w:pPr>
        <w:pStyle w:val="2"/>
        <w:spacing w:before="0" w:after="0" w:line="360" w:lineRule="auto"/>
        <w:jc w:val="center"/>
        <w:rPr>
          <w:rFonts w:ascii="Times New Roman"/>
          <w:sz w:val="18"/>
          <w:szCs w:val="18"/>
        </w:rPr>
      </w:pPr>
      <w:r>
        <w:rPr>
          <w:rFonts w:ascii="Times New Roman"/>
          <w:b w:val="0"/>
          <w:bCs w:val="0"/>
          <w:kern w:val="2"/>
        </w:rPr>
        <w:br w:type="page"/>
      </w:r>
      <w:bookmarkStart w:id="164" w:name="_Toc92377140"/>
      <w:bookmarkStart w:id="165" w:name="_Toc103260538"/>
      <w:bookmarkStart w:id="166" w:name="_Toc176188000"/>
      <w:bookmarkStart w:id="167" w:name="_Toc23820"/>
      <w:bookmarkStart w:id="168" w:name="_Toc141703890"/>
      <w:bookmarkStart w:id="169" w:name="_Toc123102457"/>
      <w:bookmarkStart w:id="170" w:name="_Toc123051456"/>
      <w:bookmarkStart w:id="171" w:name="_Toc17198"/>
      <w:bookmarkStart w:id="172" w:name="_Toc79154674"/>
      <w:bookmarkStart w:id="173" w:name="_Toc21237"/>
      <w:bookmarkStart w:id="174" w:name="_Toc32092"/>
      <w:bookmarkStart w:id="175" w:name="_Toc83391975"/>
      <w:bookmarkStart w:id="176" w:name="_Toc739"/>
      <w:bookmarkStart w:id="177" w:name="_Toc48649708"/>
      <w:bookmarkStart w:id="178" w:name="_Toc29408"/>
      <w:bookmarkStart w:id="179" w:name="_Toc17920"/>
      <w:bookmarkStart w:id="180" w:name="_Toc8791"/>
      <w:bookmarkStart w:id="181" w:name="_Toc139991740"/>
      <w:bookmarkStart w:id="182" w:name="_Toc98560356"/>
      <w:bookmarkStart w:id="183" w:name="_Toc32584"/>
      <w:bookmarkStart w:id="184" w:name="_Toc3329"/>
      <w:bookmarkStart w:id="185" w:name="_Toc79392622"/>
      <w:bookmarkStart w:id="186" w:name="_Toc5170"/>
      <w:bookmarkStart w:id="187" w:name="_Toc74065747"/>
      <w:bookmarkStart w:id="188" w:name="_Toc12311223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14:paraId="13AC4631">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（一）信息</w:t>
      </w:r>
      <w:r>
        <w:rPr>
          <w:rFonts w:ascii="宋体" w:hAnsi="宋体"/>
          <w:b/>
          <w:kern w:val="0"/>
          <w:sz w:val="18"/>
          <w:szCs w:val="18"/>
        </w:rPr>
        <w:t>披露的原则</w:t>
      </w:r>
    </w:p>
    <w:p w14:paraId="486D5EB9">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7A45A76F">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（二）信息披露的渠道</w:t>
      </w:r>
    </w:p>
    <w:p w14:paraId="7BDA7C37">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14:paraId="5B8FDAAD">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7B307788">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53B02434">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61911E37">
      <w:pPr>
        <w:widowControl/>
        <w:spacing w:line="360" w:lineRule="auto"/>
        <w:ind w:firstLine="361" w:firstLineChars="200"/>
        <w:jc w:val="left"/>
        <w:rPr>
          <w:rFonts w:ascii="宋体" w:hAnsi="宋体"/>
          <w:b/>
          <w:bCs/>
          <w:sz w:val="18"/>
          <w:szCs w:val="18"/>
        </w:rPr>
      </w:pPr>
      <w:r>
        <w:rPr>
          <w:rFonts w:hint="eastAsia" w:ascii="宋体" w:hAnsi="宋体"/>
          <w:b/>
          <w:kern w:val="0"/>
          <w:sz w:val="18"/>
          <w:szCs w:val="18"/>
        </w:rPr>
        <w:t>（三）信息披露的内容</w:t>
      </w:r>
    </w:p>
    <w:p w14:paraId="756DC4E7">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09578191">
      <w:pPr>
        <w:widowControl/>
        <w:spacing w:line="360" w:lineRule="auto"/>
        <w:ind w:firstLine="361" w:firstLineChars="200"/>
        <w:jc w:val="left"/>
        <w:rPr>
          <w:rFonts w:ascii="宋体" w:hAnsi="宋体"/>
          <w:b/>
          <w:kern w:val="0"/>
          <w:sz w:val="18"/>
          <w:szCs w:val="18"/>
        </w:rPr>
      </w:pPr>
      <w:r>
        <w:rPr>
          <w:rFonts w:hint="eastAsia" w:ascii="宋体" w:hAnsi="宋体"/>
          <w:b/>
          <w:kern w:val="0"/>
          <w:sz w:val="18"/>
          <w:szCs w:val="18"/>
        </w:rPr>
        <w:t>（四）信息披露的频率和时间</w:t>
      </w:r>
    </w:p>
    <w:p w14:paraId="2BA550BB">
      <w:pPr>
        <w:widowControl/>
        <w:spacing w:line="360" w:lineRule="auto"/>
        <w:ind w:firstLine="360" w:firstLineChars="200"/>
        <w:jc w:val="left"/>
        <w:rPr>
          <w:rFonts w:ascii="宋体" w:hAnsi="宋体"/>
          <w:kern w:val="0"/>
          <w:sz w:val="18"/>
          <w:szCs w:val="18"/>
        </w:rPr>
      </w:pPr>
      <w:r>
        <w:rPr>
          <w:rFonts w:ascii="宋体" w:hAnsi="宋体"/>
          <w:kern w:val="0"/>
          <w:sz w:val="18"/>
          <w:szCs w:val="18"/>
        </w:rPr>
        <w:t>1.产品成立公告</w:t>
      </w:r>
    </w:p>
    <w:p w14:paraId="7F9273C2">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3782876F">
      <w:pPr>
        <w:widowControl/>
        <w:spacing w:line="360" w:lineRule="auto"/>
        <w:ind w:firstLine="360" w:firstLineChars="200"/>
        <w:jc w:val="left"/>
        <w:rPr>
          <w:rFonts w:ascii="宋体" w:hAnsi="宋体"/>
          <w:kern w:val="0"/>
          <w:sz w:val="18"/>
          <w:szCs w:val="18"/>
        </w:rPr>
      </w:pPr>
      <w:r>
        <w:rPr>
          <w:rFonts w:ascii="宋体" w:hAnsi="宋体"/>
          <w:kern w:val="0"/>
          <w:sz w:val="18"/>
          <w:szCs w:val="18"/>
        </w:rPr>
        <w:t>2.重大事项</w:t>
      </w:r>
      <w:r>
        <w:rPr>
          <w:rFonts w:hint="eastAsia" w:ascii="宋体" w:hAnsi="宋体"/>
          <w:kern w:val="0"/>
          <w:sz w:val="18"/>
          <w:szCs w:val="18"/>
        </w:rPr>
        <w:t>公告</w:t>
      </w:r>
    </w:p>
    <w:p w14:paraId="0A361E17">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5EBD76D1">
      <w:pPr>
        <w:widowControl/>
        <w:spacing w:line="360" w:lineRule="auto"/>
        <w:ind w:firstLine="360" w:firstLineChars="200"/>
        <w:jc w:val="left"/>
        <w:rPr>
          <w:rFonts w:ascii="宋体" w:hAnsi="宋体"/>
          <w:kern w:val="0"/>
          <w:sz w:val="18"/>
          <w:szCs w:val="18"/>
        </w:rPr>
      </w:pPr>
      <w:r>
        <w:rPr>
          <w:rFonts w:ascii="宋体" w:hAnsi="宋体"/>
          <w:kern w:val="0"/>
          <w:sz w:val="18"/>
          <w:szCs w:val="18"/>
        </w:rPr>
        <w:t>3.定期报告</w:t>
      </w:r>
    </w:p>
    <w:p w14:paraId="5E250794">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329C5512">
      <w:pPr>
        <w:widowControl/>
        <w:spacing w:line="360" w:lineRule="auto"/>
        <w:ind w:firstLine="360" w:firstLineChars="200"/>
        <w:jc w:val="left"/>
        <w:rPr>
          <w:rFonts w:ascii="宋体" w:hAnsi="宋体"/>
          <w:kern w:val="0"/>
          <w:sz w:val="18"/>
          <w:szCs w:val="18"/>
        </w:rPr>
      </w:pPr>
      <w:r>
        <w:rPr>
          <w:rFonts w:ascii="宋体" w:hAnsi="宋体"/>
          <w:kern w:val="0"/>
          <w:sz w:val="18"/>
          <w:szCs w:val="18"/>
        </w:rPr>
        <w:t>4.到期公告</w:t>
      </w:r>
    </w:p>
    <w:p w14:paraId="0E7FED5F">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618080A9">
      <w:pPr>
        <w:widowControl/>
        <w:spacing w:line="360" w:lineRule="auto"/>
        <w:ind w:firstLine="360" w:firstLineChars="200"/>
        <w:jc w:val="left"/>
        <w:rPr>
          <w:rFonts w:ascii="宋体" w:hAnsi="宋体"/>
          <w:kern w:val="0"/>
          <w:sz w:val="18"/>
          <w:szCs w:val="18"/>
        </w:rPr>
      </w:pPr>
      <w:r>
        <w:rPr>
          <w:rFonts w:ascii="宋体" w:hAnsi="宋体"/>
          <w:kern w:val="0"/>
          <w:sz w:val="18"/>
          <w:szCs w:val="18"/>
        </w:rPr>
        <w:t>5.开放日</w:t>
      </w:r>
      <w:r>
        <w:rPr>
          <w:rFonts w:hint="eastAsia" w:ascii="宋体" w:hAnsi="宋体"/>
          <w:kern w:val="0"/>
          <w:sz w:val="18"/>
          <w:szCs w:val="18"/>
        </w:rPr>
        <w:t>/估值日</w:t>
      </w:r>
      <w:r>
        <w:rPr>
          <w:rFonts w:ascii="宋体" w:hAnsi="宋体"/>
          <w:kern w:val="0"/>
          <w:sz w:val="18"/>
          <w:szCs w:val="18"/>
        </w:rPr>
        <w:t>公告</w:t>
      </w:r>
    </w:p>
    <w:p w14:paraId="573910B7">
      <w:pPr>
        <w:spacing w:line="360" w:lineRule="auto"/>
        <w:ind w:firstLine="360" w:firstLineChars="200"/>
        <w:rPr>
          <w:rFonts w:ascii="宋体" w:hAnsi="宋体"/>
          <w:bCs/>
          <w:sz w:val="18"/>
          <w:szCs w:val="18"/>
        </w:rPr>
      </w:pPr>
      <w:permStart w:id="24" w:edGrp="everyone"/>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/赎回日结束后2个工作日内披露公告，公告内容包括申购日/赎回日</w:t>
      </w:r>
      <w:r>
        <w:rPr>
          <w:rFonts w:hint="eastAsia" w:ascii="宋体" w:hAnsi="宋体"/>
          <w:bCs/>
          <w:sz w:val="18"/>
          <w:szCs w:val="18"/>
        </w:rPr>
        <w:t>的产品份额净值、产品份额累计净值等。如遇法定节假日顺延。此外，如遇其他特殊情况，以产品管理人信息披露为准。</w:t>
      </w:r>
    </w:p>
    <w:permEnd w:id="24"/>
    <w:p w14:paraId="39BBA92E">
      <w:pPr>
        <w:widowControl/>
        <w:spacing w:line="360" w:lineRule="auto"/>
        <w:ind w:firstLine="360" w:firstLineChars="200"/>
        <w:jc w:val="left"/>
        <w:rPr>
          <w:rFonts w:ascii="宋体" w:hAnsi="宋体"/>
          <w:kern w:val="0"/>
          <w:sz w:val="18"/>
          <w:szCs w:val="18"/>
        </w:rPr>
      </w:pPr>
      <w:r>
        <w:rPr>
          <w:rFonts w:ascii="宋体" w:hAnsi="宋体"/>
          <w:kern w:val="0"/>
          <w:sz w:val="18"/>
          <w:szCs w:val="18"/>
        </w:rPr>
        <w:t>6.临时公告</w:t>
      </w:r>
    </w:p>
    <w:p w14:paraId="652F6E78">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14:paraId="161BA95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3391B98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5827302C">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14:paraId="314A82D7">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4C0D1501">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14:paraId="1BC5C6AB">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14:paraId="6BA3F561">
      <w:pPr>
        <w:spacing w:line="360" w:lineRule="auto"/>
        <w:ind w:firstLine="480" w:firstLineChars="200"/>
        <w:rPr>
          <w:bCs/>
          <w:sz w:val="24"/>
        </w:rPr>
      </w:pPr>
      <w:r>
        <w:rPr>
          <w:sz w:val="24"/>
        </w:rPr>
        <w:br w:type="page"/>
      </w:r>
    </w:p>
    <w:p w14:paraId="294F20EE">
      <w:pPr>
        <w:pStyle w:val="2"/>
        <w:spacing w:before="0" w:after="0" w:line="360" w:lineRule="auto"/>
        <w:jc w:val="center"/>
        <w:rPr>
          <w:rFonts w:ascii="Times New Roman"/>
          <w:b w:val="0"/>
          <w:sz w:val="30"/>
        </w:rPr>
      </w:pPr>
      <w:bookmarkStart w:id="189" w:name="_Toc176188001"/>
      <w:bookmarkStart w:id="190" w:name="_Toc103260539"/>
      <w:bookmarkStart w:id="191" w:name="_Toc92377141"/>
      <w:bookmarkStart w:id="192" w:name="_Toc9986"/>
      <w:bookmarkStart w:id="193"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14:paraId="0660D8A9">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1EAE99B4">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14:paraId="1EFBFA33">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14:paraId="0286894E">
      <w:pPr>
        <w:spacing w:line="360" w:lineRule="auto"/>
        <w:ind w:firstLine="360" w:firstLineChars="200"/>
        <w:rPr>
          <w:rFonts w:ascii="宋体" w:hAnsi="宋体"/>
          <w:sz w:val="18"/>
          <w:szCs w:val="18"/>
        </w:rPr>
      </w:pPr>
      <w:r>
        <w:rPr>
          <w:rFonts w:hint="eastAsia" w:ascii="宋体" w:hAnsi="宋体"/>
          <w:sz w:val="18"/>
          <w:szCs w:val="18"/>
        </w:rPr>
        <w:t>1）投资标准化债权类资产的风险</w:t>
      </w:r>
    </w:p>
    <w:p w14:paraId="52BD76B6">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ermEnd w:id="25"/>
    <w:p w14:paraId="0CB745E7">
      <w:pPr>
        <w:spacing w:line="360" w:lineRule="auto"/>
        <w:ind w:firstLine="360" w:firstLineChars="200"/>
        <w:rPr>
          <w:rFonts w:ascii="黑体" w:hAnsi="黑体" w:eastAsia="黑体"/>
          <w:bCs/>
          <w:sz w:val="18"/>
          <w:szCs w:val="18"/>
        </w:rPr>
      </w:pPr>
      <w:r>
        <w:rPr>
          <w:rFonts w:hint="eastAsia" w:ascii="黑体" w:hAnsi="黑体" w:eastAsia="黑体"/>
          <w:bCs/>
          <w:sz w:val="18"/>
          <w:szCs w:val="18"/>
        </w:rPr>
        <w:t>★注：以上特定风险仅为列举性质，未能详尽列明投资本产品可能面临的全部风险和可能导致投资者投资本金及收益损失的所有因素。</w:t>
      </w:r>
    </w:p>
    <w:p w14:paraId="2EC67D8F">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05B0825C">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信用风险</w:t>
      </w:r>
    </w:p>
    <w:p w14:paraId="62017783">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35157071">
      <w:pPr>
        <w:widowControl/>
        <w:spacing w:line="360" w:lineRule="auto"/>
        <w:ind w:firstLine="360" w:firstLineChars="200"/>
        <w:jc w:val="left"/>
        <w:rPr>
          <w:rFonts w:ascii="宋体" w:hAnsi="宋体"/>
          <w:kern w:val="0"/>
          <w:sz w:val="18"/>
          <w:szCs w:val="18"/>
        </w:rPr>
      </w:pPr>
      <w:r>
        <w:rPr>
          <w:rFonts w:ascii="宋体" w:hAnsi="宋体"/>
          <w:kern w:val="0"/>
          <w:sz w:val="18"/>
          <w:szCs w:val="18"/>
        </w:rPr>
        <w:t>2</w:t>
      </w:r>
      <w:r>
        <w:rPr>
          <w:rFonts w:hint="eastAsia" w:ascii="宋体" w:hAnsi="宋体"/>
          <w:kern w:val="0"/>
          <w:sz w:val="18"/>
          <w:szCs w:val="18"/>
        </w:rPr>
        <w:t>.</w:t>
      </w:r>
      <w:r>
        <w:rPr>
          <w:rFonts w:ascii="宋体" w:hAnsi="宋体"/>
          <w:kern w:val="0"/>
          <w:sz w:val="18"/>
          <w:szCs w:val="18"/>
        </w:rPr>
        <w:t>利率风险</w:t>
      </w:r>
    </w:p>
    <w:p w14:paraId="6FA47CE2">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1C536A87">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3.市场</w:t>
      </w:r>
      <w:r>
        <w:rPr>
          <w:rFonts w:ascii="宋体" w:hAnsi="宋体"/>
          <w:kern w:val="0"/>
          <w:sz w:val="18"/>
          <w:szCs w:val="18"/>
        </w:rPr>
        <w:t>风险</w:t>
      </w:r>
    </w:p>
    <w:p w14:paraId="4C49C872">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1F90171A">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4.流动性风险</w:t>
      </w:r>
    </w:p>
    <w:p w14:paraId="17F021E7">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51B6753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5.</w:t>
      </w:r>
      <w:r>
        <w:rPr>
          <w:rFonts w:ascii="宋体" w:hAnsi="宋体"/>
          <w:kern w:val="0"/>
          <w:sz w:val="18"/>
          <w:szCs w:val="18"/>
        </w:rPr>
        <w:t>法律与政策风险</w:t>
      </w:r>
    </w:p>
    <w:p w14:paraId="4FA5E04B">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67AD5156">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6.</w:t>
      </w:r>
      <w:r>
        <w:rPr>
          <w:rFonts w:ascii="宋体" w:hAnsi="宋体"/>
          <w:kern w:val="0"/>
          <w:sz w:val="18"/>
          <w:szCs w:val="18"/>
        </w:rPr>
        <w:t>延期</w:t>
      </w:r>
      <w:r>
        <w:rPr>
          <w:rFonts w:hint="eastAsia" w:ascii="宋体" w:hAnsi="宋体"/>
          <w:kern w:val="0"/>
          <w:sz w:val="18"/>
          <w:szCs w:val="18"/>
        </w:rPr>
        <w:t>终止</w:t>
      </w:r>
      <w:r>
        <w:rPr>
          <w:rFonts w:ascii="宋体" w:hAnsi="宋体"/>
          <w:kern w:val="0"/>
          <w:sz w:val="18"/>
          <w:szCs w:val="18"/>
        </w:rPr>
        <w:t>风险</w:t>
      </w:r>
    </w:p>
    <w:p w14:paraId="474667A3">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1A5855BF">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7.</w:t>
      </w:r>
      <w:r>
        <w:rPr>
          <w:rFonts w:ascii="宋体" w:hAnsi="宋体"/>
          <w:kern w:val="0"/>
          <w:sz w:val="18"/>
          <w:szCs w:val="18"/>
        </w:rPr>
        <w:t>提前终止风险</w:t>
      </w:r>
    </w:p>
    <w:p w14:paraId="4A642CB0">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1C518047">
      <w:pPr>
        <w:widowControl/>
        <w:spacing w:line="360" w:lineRule="auto"/>
        <w:ind w:firstLine="360" w:firstLineChars="200"/>
        <w:jc w:val="left"/>
        <w:rPr>
          <w:rFonts w:ascii="黑体" w:hAnsi="黑体" w:eastAsia="黑体"/>
          <w:kern w:val="0"/>
          <w:sz w:val="18"/>
          <w:szCs w:val="18"/>
        </w:rPr>
      </w:pPr>
      <w:r>
        <w:rPr>
          <w:rFonts w:hint="eastAsia" w:ascii="黑体" w:hAnsi="黑体" w:eastAsia="黑体"/>
          <w:kern w:val="0"/>
          <w:sz w:val="18"/>
          <w:szCs w:val="18"/>
        </w:rPr>
        <w:t>8</w:t>
      </w:r>
      <w:r>
        <w:rPr>
          <w:rFonts w:ascii="黑体" w:hAnsi="黑体" w:eastAsia="黑体"/>
          <w:kern w:val="0"/>
          <w:sz w:val="18"/>
          <w:szCs w:val="18"/>
        </w:rPr>
        <w:t>.★信息传递风险</w:t>
      </w:r>
    </w:p>
    <w:p w14:paraId="14EABCFF">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62EC3E89">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9.</w:t>
      </w:r>
      <w:r>
        <w:rPr>
          <w:rFonts w:ascii="宋体" w:hAnsi="宋体"/>
          <w:kern w:val="0"/>
          <w:sz w:val="18"/>
          <w:szCs w:val="18"/>
        </w:rPr>
        <w:t>不可抗力及意外事件风险</w:t>
      </w:r>
    </w:p>
    <w:p w14:paraId="625659A4">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4E6255F1">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0.</w:t>
      </w:r>
      <w:r>
        <w:rPr>
          <w:rFonts w:ascii="宋体" w:hAnsi="宋体"/>
          <w:kern w:val="0"/>
          <w:sz w:val="18"/>
          <w:szCs w:val="18"/>
        </w:rPr>
        <w:t>管理人风险</w:t>
      </w:r>
    </w:p>
    <w:p w14:paraId="2AA75E66">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57AF718E">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1.理财产品不成立风险</w:t>
      </w:r>
    </w:p>
    <w:p w14:paraId="2B38A2CD">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03EDBFAB">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2.</w:t>
      </w:r>
      <w:r>
        <w:rPr>
          <w:rFonts w:ascii="宋体" w:hAnsi="宋体"/>
          <w:kern w:val="0"/>
          <w:sz w:val="18"/>
          <w:szCs w:val="18"/>
        </w:rPr>
        <w:t>操作风险</w:t>
      </w:r>
    </w:p>
    <w:p w14:paraId="5ACFD2CA">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56B38435">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3</w:t>
      </w:r>
      <w:r>
        <w:rPr>
          <w:rFonts w:ascii="宋体" w:hAnsi="宋体"/>
          <w:kern w:val="0"/>
          <w:sz w:val="18"/>
          <w:szCs w:val="18"/>
        </w:rPr>
        <w:t>.估值</w:t>
      </w:r>
      <w:r>
        <w:rPr>
          <w:rFonts w:hint="eastAsia" w:ascii="宋体" w:hAnsi="宋体"/>
          <w:kern w:val="0"/>
          <w:sz w:val="18"/>
          <w:szCs w:val="18"/>
        </w:rPr>
        <w:t>波动</w:t>
      </w:r>
      <w:r>
        <w:rPr>
          <w:rFonts w:ascii="宋体" w:hAnsi="宋体"/>
          <w:kern w:val="0"/>
          <w:sz w:val="18"/>
          <w:szCs w:val="18"/>
        </w:rPr>
        <w:t>风险</w:t>
      </w:r>
    </w:p>
    <w:p w14:paraId="1B8F1F50">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75DD46F9">
      <w:pPr>
        <w:widowControl/>
        <w:spacing w:line="360" w:lineRule="auto"/>
        <w:ind w:firstLine="360" w:firstLineChars="200"/>
        <w:jc w:val="left"/>
        <w:rPr>
          <w:rFonts w:ascii="宋体" w:hAnsi="宋体"/>
          <w:sz w:val="18"/>
          <w:szCs w:val="18"/>
        </w:rPr>
      </w:pPr>
      <w:r>
        <w:rPr>
          <w:rFonts w:ascii="宋体" w:hAnsi="宋体"/>
          <w:kern w:val="0"/>
          <w:sz w:val="18"/>
          <w:szCs w:val="18"/>
        </w:rPr>
        <w:t>1</w:t>
      </w:r>
      <w:r>
        <w:rPr>
          <w:rFonts w:hint="eastAsia" w:ascii="宋体" w:hAnsi="宋体"/>
          <w:kern w:val="0"/>
          <w:sz w:val="18"/>
          <w:szCs w:val="18"/>
        </w:rPr>
        <w:t>4.</w:t>
      </w:r>
      <w:r>
        <w:rPr>
          <w:rFonts w:ascii="宋体" w:hAnsi="宋体"/>
          <w:kern w:val="0"/>
          <w:sz w:val="18"/>
          <w:szCs w:val="18"/>
        </w:rPr>
        <w:t>估值差错风险</w:t>
      </w:r>
    </w:p>
    <w:p w14:paraId="04EB83C2">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3E0C0A3C">
      <w:pPr>
        <w:widowControl/>
        <w:spacing w:line="360" w:lineRule="auto"/>
        <w:ind w:firstLine="360" w:firstLineChars="200"/>
        <w:jc w:val="left"/>
        <w:rPr>
          <w:rFonts w:ascii="黑体" w:hAnsi="黑体" w:eastAsia="黑体"/>
          <w:kern w:val="0"/>
          <w:sz w:val="18"/>
          <w:szCs w:val="18"/>
        </w:rPr>
      </w:pPr>
      <w:r>
        <w:rPr>
          <w:rFonts w:hint="eastAsia" w:ascii="黑体" w:hAnsi="黑体" w:eastAsia="黑体"/>
          <w:kern w:val="0"/>
          <w:sz w:val="18"/>
          <w:szCs w:val="18"/>
        </w:rPr>
        <w:t>15.★代销风险</w:t>
      </w:r>
    </w:p>
    <w:p w14:paraId="5C03D9AF">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087D1F26">
      <w:pPr>
        <w:widowControl/>
        <w:spacing w:line="360" w:lineRule="auto"/>
        <w:ind w:firstLine="360" w:firstLineChars="200"/>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6</w:t>
      </w:r>
      <w:r>
        <w:rPr>
          <w:rFonts w:ascii="黑体" w:hAnsi="黑体" w:eastAsia="黑体"/>
          <w:kern w:val="0"/>
          <w:sz w:val="18"/>
          <w:szCs w:val="18"/>
        </w:rPr>
        <w:t>.</w:t>
      </w:r>
      <w:r>
        <w:rPr>
          <w:rFonts w:hint="eastAsia" w:ascii="黑体" w:hAnsi="黑体" w:eastAsia="黑体"/>
          <w:kern w:val="0"/>
          <w:sz w:val="18"/>
          <w:szCs w:val="18"/>
        </w:rPr>
        <w:t>★不同理财产品份额类别存在差异的风险</w:t>
      </w:r>
    </w:p>
    <w:p w14:paraId="5444CFFC">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49FC0FE9">
      <w:pPr>
        <w:widowControl/>
        <w:spacing w:line="360" w:lineRule="auto"/>
        <w:ind w:firstLine="360" w:firstLineChars="200"/>
        <w:jc w:val="left"/>
        <w:rPr>
          <w:rFonts w:ascii="宋体" w:hAnsi="宋体"/>
          <w:kern w:val="0"/>
          <w:sz w:val="18"/>
          <w:szCs w:val="18"/>
        </w:rPr>
      </w:pPr>
      <w:r>
        <w:rPr>
          <w:rFonts w:ascii="宋体" w:hAnsi="宋体"/>
          <w:kern w:val="0"/>
          <w:sz w:val="18"/>
          <w:szCs w:val="18"/>
        </w:rPr>
        <w:t>1</w:t>
      </w:r>
      <w:r>
        <w:rPr>
          <w:rFonts w:hint="eastAsia" w:ascii="宋体" w:hAnsi="宋体"/>
          <w:kern w:val="0"/>
          <w:sz w:val="18"/>
          <w:szCs w:val="18"/>
        </w:rPr>
        <w:t>7</w:t>
      </w:r>
      <w:r>
        <w:rPr>
          <w:rFonts w:ascii="宋体" w:hAnsi="宋体"/>
          <w:kern w:val="0"/>
          <w:sz w:val="18"/>
          <w:szCs w:val="18"/>
        </w:rPr>
        <w:t>.</w:t>
      </w:r>
      <w:r>
        <w:rPr>
          <w:rFonts w:hint="eastAsia" w:ascii="宋体" w:hAnsi="宋体"/>
          <w:kern w:val="0"/>
          <w:sz w:val="18"/>
          <w:szCs w:val="18"/>
        </w:rPr>
        <w:t>关联交易风险</w:t>
      </w:r>
    </w:p>
    <w:p w14:paraId="456EA224">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1693AA01">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6BEA56FD">
      <w:pPr>
        <w:widowControl/>
        <w:jc w:val="left"/>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0EC0706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22BB0945">
            <w:pPr>
              <w:spacing w:line="280" w:lineRule="atLeast"/>
              <w:ind w:firstLine="422"/>
              <w:jc w:val="center"/>
              <w:rPr>
                <w:rFonts w:ascii="宋体" w:hAnsi="宋体" w:cs="Arial"/>
                <w:b/>
                <w:szCs w:val="21"/>
              </w:rPr>
            </w:pPr>
            <w:r>
              <w:rPr>
                <w:rFonts w:hint="eastAsia" w:ascii="宋体" w:hAnsi="宋体" w:cs="Arial"/>
                <w:b/>
                <w:szCs w:val="21"/>
              </w:rPr>
              <w:t>投资者确认栏</w:t>
            </w:r>
          </w:p>
          <w:p w14:paraId="2FF401B4">
            <w:pPr>
              <w:spacing w:line="360" w:lineRule="auto"/>
              <w:ind w:firstLine="361"/>
              <w:rPr>
                <w:b/>
                <w:sz w:val="18"/>
                <w:szCs w:val="18"/>
              </w:rPr>
            </w:pPr>
          </w:p>
        </w:tc>
      </w:tr>
      <w:tr w14:paraId="31B14A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5BE214B7">
            <w:pPr>
              <w:spacing w:line="360" w:lineRule="auto"/>
              <w:jc w:val="left"/>
              <w:rPr>
                <w:b/>
                <w:sz w:val="18"/>
                <w:szCs w:val="18"/>
              </w:rPr>
            </w:pPr>
            <w:r>
              <w:rPr>
                <w:rFonts w:hint="eastAsia"/>
                <w:b/>
                <w:sz w:val="18"/>
                <w:szCs w:val="18"/>
              </w:rPr>
              <w:t>个人投资者适用</w:t>
            </w:r>
          </w:p>
        </w:tc>
        <w:tc>
          <w:tcPr>
            <w:tcW w:w="7371" w:type="dxa"/>
          </w:tcPr>
          <w:p w14:paraId="0A377450">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6DB368D8">
            <w:pPr>
              <w:spacing w:line="360" w:lineRule="auto"/>
              <w:ind w:firstLine="361"/>
              <w:jc w:val="left"/>
              <w:rPr>
                <w:b/>
                <w:sz w:val="18"/>
                <w:szCs w:val="18"/>
              </w:rPr>
            </w:pPr>
          </w:p>
          <w:p w14:paraId="25198C93">
            <w:pPr>
              <w:spacing w:line="360" w:lineRule="auto"/>
              <w:ind w:firstLine="360"/>
              <w:jc w:val="left"/>
              <w:rPr>
                <w:sz w:val="18"/>
                <w:szCs w:val="18"/>
              </w:rPr>
            </w:pPr>
            <w:r>
              <w:rPr>
                <w:rFonts w:hint="eastAsia"/>
                <w:sz w:val="18"/>
                <w:szCs w:val="18"/>
              </w:rPr>
              <w:t>日期：</w:t>
            </w:r>
          </w:p>
        </w:tc>
      </w:tr>
      <w:tr w14:paraId="25A8DD1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12466E26">
            <w:pPr>
              <w:spacing w:line="360" w:lineRule="auto"/>
              <w:jc w:val="left"/>
              <w:rPr>
                <w:b/>
                <w:sz w:val="18"/>
                <w:szCs w:val="18"/>
              </w:rPr>
            </w:pPr>
            <w:r>
              <w:rPr>
                <w:rFonts w:hint="eastAsia"/>
                <w:b/>
                <w:sz w:val="18"/>
                <w:szCs w:val="18"/>
              </w:rPr>
              <w:t>机构投资者适用</w:t>
            </w:r>
          </w:p>
        </w:tc>
        <w:tc>
          <w:tcPr>
            <w:tcW w:w="7371" w:type="dxa"/>
          </w:tcPr>
          <w:p w14:paraId="508B02FF">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14:paraId="79C7AC9F">
            <w:pPr>
              <w:spacing w:line="360" w:lineRule="auto"/>
              <w:ind w:firstLine="360"/>
              <w:jc w:val="left"/>
              <w:rPr>
                <w:rFonts w:cs="Arial"/>
                <w:sz w:val="18"/>
                <w:szCs w:val="18"/>
              </w:rPr>
            </w:pPr>
          </w:p>
          <w:p w14:paraId="2307D9A6">
            <w:pPr>
              <w:spacing w:line="360" w:lineRule="auto"/>
              <w:ind w:firstLine="360"/>
              <w:jc w:val="left"/>
              <w:rPr>
                <w:rFonts w:cs="Arial"/>
                <w:sz w:val="18"/>
                <w:szCs w:val="18"/>
              </w:rPr>
            </w:pPr>
            <w:r>
              <w:rPr>
                <w:rFonts w:hint="eastAsia" w:cs="Arial"/>
                <w:sz w:val="18"/>
                <w:szCs w:val="18"/>
              </w:rPr>
              <w:t>投资者法定代表人或授权代理人（签名/盖章/线上确认）：</w:t>
            </w:r>
          </w:p>
          <w:p w14:paraId="68D803B8">
            <w:pPr>
              <w:spacing w:line="360" w:lineRule="auto"/>
              <w:ind w:firstLine="360"/>
              <w:jc w:val="left"/>
              <w:rPr>
                <w:sz w:val="18"/>
                <w:szCs w:val="18"/>
              </w:rPr>
            </w:pPr>
            <w:r>
              <w:rPr>
                <w:rFonts w:hint="eastAsia"/>
                <w:sz w:val="18"/>
                <w:szCs w:val="18"/>
              </w:rPr>
              <w:t>日期：</w:t>
            </w:r>
          </w:p>
        </w:tc>
      </w:tr>
    </w:tbl>
    <w:p w14:paraId="012D5875">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14:paraId="0C4E60D2">
      <w:pPr>
        <w:spacing w:line="360" w:lineRule="auto"/>
        <w:ind w:firstLine="360" w:firstLineChars="200"/>
        <w:rPr>
          <w:rFonts w:ascii="宋体" w:hAnsi="宋体"/>
          <w:sz w:val="18"/>
          <w:szCs w:val="18"/>
        </w:rPr>
      </w:pPr>
    </w:p>
    <w:p w14:paraId="157209F2">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14:paraId="53AB989B">
        <w:pPr>
          <w:pStyle w:val="14"/>
          <w:jc w:val="center"/>
        </w:pPr>
        <w:r>
          <w:fldChar w:fldCharType="begin"/>
        </w:r>
        <w:r>
          <w:instrText xml:space="preserve"> PAGE   \* MERGEFORMAT </w:instrText>
        </w:r>
        <w:r>
          <w:fldChar w:fldCharType="separate"/>
        </w:r>
        <w:r>
          <w:rPr>
            <w:lang w:val="zh-CN"/>
          </w:rPr>
          <w:t>9</w:t>
        </w:r>
        <w:r>
          <w:fldChar w:fldCharType="end"/>
        </w:r>
      </w:p>
    </w:sdtContent>
  </w:sdt>
  <w:p w14:paraId="2D789384">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E3651">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14:paraId="4D4E1B58">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14:paraId="6831EA45">
    <w:pPr>
      <w:pStyle w:val="15"/>
      <w:pBdr>
        <w:bottom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PbSeBv4pVdOu3N2xUjullcy3iz3StGpYU8JvGtdYbxwRMRK4fwXnUEXH++2M8MPC/7qe65It0rBIt8/r7uHAqg==" w:salt="ODMuSXqVA2wTqgAZi07qDA=="/>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46816"/>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80277"/>
    <w:rsid w:val="0008037A"/>
    <w:rsid w:val="00080815"/>
    <w:rsid w:val="00081DC7"/>
    <w:rsid w:val="000826C9"/>
    <w:rsid w:val="00082E45"/>
    <w:rsid w:val="00083F31"/>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A43"/>
    <w:rsid w:val="000D3E2A"/>
    <w:rsid w:val="000D4DAE"/>
    <w:rsid w:val="000D548F"/>
    <w:rsid w:val="000D591B"/>
    <w:rsid w:val="000E008C"/>
    <w:rsid w:val="000E10C7"/>
    <w:rsid w:val="000E181B"/>
    <w:rsid w:val="000E18C8"/>
    <w:rsid w:val="000E2054"/>
    <w:rsid w:val="000E5A74"/>
    <w:rsid w:val="000E6A7A"/>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019"/>
    <w:rsid w:val="001232D0"/>
    <w:rsid w:val="0012639A"/>
    <w:rsid w:val="0012671C"/>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4EE7"/>
    <w:rsid w:val="00175B03"/>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3E8B"/>
    <w:rsid w:val="001D4AC9"/>
    <w:rsid w:val="001D4BC1"/>
    <w:rsid w:val="001D4FC2"/>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1961"/>
    <w:rsid w:val="00223351"/>
    <w:rsid w:val="002237A8"/>
    <w:rsid w:val="00223B5B"/>
    <w:rsid w:val="00224505"/>
    <w:rsid w:val="002265AA"/>
    <w:rsid w:val="00226925"/>
    <w:rsid w:val="00226E60"/>
    <w:rsid w:val="00227359"/>
    <w:rsid w:val="00231FC0"/>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89F"/>
    <w:rsid w:val="00266978"/>
    <w:rsid w:val="00266DAB"/>
    <w:rsid w:val="00272C40"/>
    <w:rsid w:val="00273F65"/>
    <w:rsid w:val="00274DDB"/>
    <w:rsid w:val="00275526"/>
    <w:rsid w:val="00275757"/>
    <w:rsid w:val="00276898"/>
    <w:rsid w:val="00276ACE"/>
    <w:rsid w:val="00280B4F"/>
    <w:rsid w:val="00281B9A"/>
    <w:rsid w:val="002826EB"/>
    <w:rsid w:val="00282B2B"/>
    <w:rsid w:val="002869B1"/>
    <w:rsid w:val="002877ED"/>
    <w:rsid w:val="00290893"/>
    <w:rsid w:val="0029197D"/>
    <w:rsid w:val="00293329"/>
    <w:rsid w:val="002A1894"/>
    <w:rsid w:val="002A2964"/>
    <w:rsid w:val="002A3DA0"/>
    <w:rsid w:val="002A4229"/>
    <w:rsid w:val="002A640F"/>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530A"/>
    <w:rsid w:val="002C6117"/>
    <w:rsid w:val="002C6DB5"/>
    <w:rsid w:val="002D1DEF"/>
    <w:rsid w:val="002D3AB7"/>
    <w:rsid w:val="002D3AEF"/>
    <w:rsid w:val="002D6AFD"/>
    <w:rsid w:val="002D7529"/>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5DCD"/>
    <w:rsid w:val="003173FE"/>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2A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6A2D"/>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AF8"/>
    <w:rsid w:val="00416CB0"/>
    <w:rsid w:val="0042292D"/>
    <w:rsid w:val="00422B14"/>
    <w:rsid w:val="004239E7"/>
    <w:rsid w:val="00424562"/>
    <w:rsid w:val="0042456A"/>
    <w:rsid w:val="00424897"/>
    <w:rsid w:val="004259CB"/>
    <w:rsid w:val="00426CB5"/>
    <w:rsid w:val="0042700C"/>
    <w:rsid w:val="00430DF1"/>
    <w:rsid w:val="00432858"/>
    <w:rsid w:val="00434DA3"/>
    <w:rsid w:val="004365C7"/>
    <w:rsid w:val="004369A7"/>
    <w:rsid w:val="0043725F"/>
    <w:rsid w:val="00440E4C"/>
    <w:rsid w:val="00441309"/>
    <w:rsid w:val="004418A9"/>
    <w:rsid w:val="00441A1F"/>
    <w:rsid w:val="00441C87"/>
    <w:rsid w:val="004421A0"/>
    <w:rsid w:val="0044275F"/>
    <w:rsid w:val="0044318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4878"/>
    <w:rsid w:val="00465BE2"/>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4234"/>
    <w:rsid w:val="004B5526"/>
    <w:rsid w:val="004C036F"/>
    <w:rsid w:val="004C1BF8"/>
    <w:rsid w:val="004C2000"/>
    <w:rsid w:val="004C4C0A"/>
    <w:rsid w:val="004C4C12"/>
    <w:rsid w:val="004C4E6C"/>
    <w:rsid w:val="004C6134"/>
    <w:rsid w:val="004C75D9"/>
    <w:rsid w:val="004D0C41"/>
    <w:rsid w:val="004D1CFA"/>
    <w:rsid w:val="004D2141"/>
    <w:rsid w:val="004D373F"/>
    <w:rsid w:val="004D3932"/>
    <w:rsid w:val="004D5055"/>
    <w:rsid w:val="004D5AAF"/>
    <w:rsid w:val="004D5BE2"/>
    <w:rsid w:val="004D5E18"/>
    <w:rsid w:val="004D6163"/>
    <w:rsid w:val="004D6C75"/>
    <w:rsid w:val="004E08E7"/>
    <w:rsid w:val="004E17EB"/>
    <w:rsid w:val="004E20E1"/>
    <w:rsid w:val="004E3BD3"/>
    <w:rsid w:val="004E4084"/>
    <w:rsid w:val="004E605C"/>
    <w:rsid w:val="004E68F4"/>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C97"/>
    <w:rsid w:val="00506FB3"/>
    <w:rsid w:val="005107A4"/>
    <w:rsid w:val="00510AB9"/>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219"/>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4F6"/>
    <w:rsid w:val="005B1513"/>
    <w:rsid w:val="005B1F01"/>
    <w:rsid w:val="005B3D95"/>
    <w:rsid w:val="005B45B8"/>
    <w:rsid w:val="005B6567"/>
    <w:rsid w:val="005C1011"/>
    <w:rsid w:val="005C1A4B"/>
    <w:rsid w:val="005C2C22"/>
    <w:rsid w:val="005C3351"/>
    <w:rsid w:val="005C46BB"/>
    <w:rsid w:val="005C6C9D"/>
    <w:rsid w:val="005C7108"/>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C7E"/>
    <w:rsid w:val="005F7FD5"/>
    <w:rsid w:val="0060066F"/>
    <w:rsid w:val="00600FE7"/>
    <w:rsid w:val="006016B4"/>
    <w:rsid w:val="006019D1"/>
    <w:rsid w:val="00605524"/>
    <w:rsid w:val="00605B31"/>
    <w:rsid w:val="00605C5D"/>
    <w:rsid w:val="006065FB"/>
    <w:rsid w:val="00607DDC"/>
    <w:rsid w:val="00611A33"/>
    <w:rsid w:val="00612869"/>
    <w:rsid w:val="006146BA"/>
    <w:rsid w:val="00615A93"/>
    <w:rsid w:val="006172ED"/>
    <w:rsid w:val="00620063"/>
    <w:rsid w:val="00620D75"/>
    <w:rsid w:val="00621F2C"/>
    <w:rsid w:val="00624760"/>
    <w:rsid w:val="00624F2C"/>
    <w:rsid w:val="00626536"/>
    <w:rsid w:val="00626BC0"/>
    <w:rsid w:val="0063051C"/>
    <w:rsid w:val="006310FF"/>
    <w:rsid w:val="00631736"/>
    <w:rsid w:val="006328AE"/>
    <w:rsid w:val="0064020E"/>
    <w:rsid w:val="0064076F"/>
    <w:rsid w:val="0064087A"/>
    <w:rsid w:val="00642A61"/>
    <w:rsid w:val="006451BF"/>
    <w:rsid w:val="006453CC"/>
    <w:rsid w:val="0064589D"/>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76FD"/>
    <w:rsid w:val="0067005D"/>
    <w:rsid w:val="00672FF4"/>
    <w:rsid w:val="00675B54"/>
    <w:rsid w:val="006809FB"/>
    <w:rsid w:val="00682623"/>
    <w:rsid w:val="00684167"/>
    <w:rsid w:val="00684401"/>
    <w:rsid w:val="00684ECC"/>
    <w:rsid w:val="006856C3"/>
    <w:rsid w:val="006863E0"/>
    <w:rsid w:val="006871FD"/>
    <w:rsid w:val="006877C1"/>
    <w:rsid w:val="006904D3"/>
    <w:rsid w:val="0069132D"/>
    <w:rsid w:val="00692042"/>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A70EA"/>
    <w:rsid w:val="006B3727"/>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0F3C"/>
    <w:rsid w:val="006D160E"/>
    <w:rsid w:val="006D3D10"/>
    <w:rsid w:val="006D4093"/>
    <w:rsid w:val="006D4430"/>
    <w:rsid w:val="006D472B"/>
    <w:rsid w:val="006D586E"/>
    <w:rsid w:val="006D6C20"/>
    <w:rsid w:val="006D7C06"/>
    <w:rsid w:val="006D7D05"/>
    <w:rsid w:val="006E011D"/>
    <w:rsid w:val="006E1A9B"/>
    <w:rsid w:val="006E2E41"/>
    <w:rsid w:val="006E4201"/>
    <w:rsid w:val="006E535B"/>
    <w:rsid w:val="006E5D67"/>
    <w:rsid w:val="006E6ED0"/>
    <w:rsid w:val="006E7124"/>
    <w:rsid w:val="006E7FC7"/>
    <w:rsid w:val="006F067A"/>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87AC9"/>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28C6"/>
    <w:rsid w:val="007C67CB"/>
    <w:rsid w:val="007D115D"/>
    <w:rsid w:val="007D1185"/>
    <w:rsid w:val="007D2FA6"/>
    <w:rsid w:val="007D37FB"/>
    <w:rsid w:val="007D3AB0"/>
    <w:rsid w:val="007D3C57"/>
    <w:rsid w:val="007D6324"/>
    <w:rsid w:val="007D68C9"/>
    <w:rsid w:val="007D6F94"/>
    <w:rsid w:val="007D78E0"/>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18F"/>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76FD"/>
    <w:rsid w:val="00820221"/>
    <w:rsid w:val="00820966"/>
    <w:rsid w:val="008216F7"/>
    <w:rsid w:val="00822153"/>
    <w:rsid w:val="00822FBD"/>
    <w:rsid w:val="00823AB7"/>
    <w:rsid w:val="00825865"/>
    <w:rsid w:val="00827113"/>
    <w:rsid w:val="00827169"/>
    <w:rsid w:val="00827DAF"/>
    <w:rsid w:val="008306A2"/>
    <w:rsid w:val="00830FAF"/>
    <w:rsid w:val="00831A1A"/>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0FC"/>
    <w:rsid w:val="008735AB"/>
    <w:rsid w:val="008740D8"/>
    <w:rsid w:val="0087506B"/>
    <w:rsid w:val="0087693A"/>
    <w:rsid w:val="00876C63"/>
    <w:rsid w:val="00876D94"/>
    <w:rsid w:val="0089069E"/>
    <w:rsid w:val="008912D3"/>
    <w:rsid w:val="008914CB"/>
    <w:rsid w:val="008937B1"/>
    <w:rsid w:val="00894A43"/>
    <w:rsid w:val="00895477"/>
    <w:rsid w:val="00895F6F"/>
    <w:rsid w:val="008A15AE"/>
    <w:rsid w:val="008A1DBB"/>
    <w:rsid w:val="008A2A18"/>
    <w:rsid w:val="008A4832"/>
    <w:rsid w:val="008A6A39"/>
    <w:rsid w:val="008B185F"/>
    <w:rsid w:val="008B2567"/>
    <w:rsid w:val="008B3113"/>
    <w:rsid w:val="008B45F2"/>
    <w:rsid w:val="008B4E65"/>
    <w:rsid w:val="008B5744"/>
    <w:rsid w:val="008B7818"/>
    <w:rsid w:val="008C04C6"/>
    <w:rsid w:val="008C1D87"/>
    <w:rsid w:val="008C2047"/>
    <w:rsid w:val="008C2490"/>
    <w:rsid w:val="008C2FED"/>
    <w:rsid w:val="008C4AC0"/>
    <w:rsid w:val="008C50CB"/>
    <w:rsid w:val="008C5304"/>
    <w:rsid w:val="008C6459"/>
    <w:rsid w:val="008C7CC2"/>
    <w:rsid w:val="008D01F8"/>
    <w:rsid w:val="008D0325"/>
    <w:rsid w:val="008D0AD4"/>
    <w:rsid w:val="008D2BA4"/>
    <w:rsid w:val="008D45A6"/>
    <w:rsid w:val="008D4CB3"/>
    <w:rsid w:val="008D5CDB"/>
    <w:rsid w:val="008D643C"/>
    <w:rsid w:val="008D6554"/>
    <w:rsid w:val="008D7E71"/>
    <w:rsid w:val="008E0B20"/>
    <w:rsid w:val="008E57E3"/>
    <w:rsid w:val="008E584F"/>
    <w:rsid w:val="008E5E8B"/>
    <w:rsid w:val="008E6072"/>
    <w:rsid w:val="008E6640"/>
    <w:rsid w:val="008F2669"/>
    <w:rsid w:val="008F2710"/>
    <w:rsid w:val="008F432E"/>
    <w:rsid w:val="008F50BB"/>
    <w:rsid w:val="008F784B"/>
    <w:rsid w:val="008F7A01"/>
    <w:rsid w:val="00900322"/>
    <w:rsid w:val="00900AF7"/>
    <w:rsid w:val="00901909"/>
    <w:rsid w:val="00901ACE"/>
    <w:rsid w:val="00901B37"/>
    <w:rsid w:val="009043D1"/>
    <w:rsid w:val="0090500B"/>
    <w:rsid w:val="00905456"/>
    <w:rsid w:val="0090746E"/>
    <w:rsid w:val="0090771A"/>
    <w:rsid w:val="00907D44"/>
    <w:rsid w:val="009106C1"/>
    <w:rsid w:val="00910BA4"/>
    <w:rsid w:val="0091245A"/>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26CA"/>
    <w:rsid w:val="00962D06"/>
    <w:rsid w:val="00963402"/>
    <w:rsid w:val="00964835"/>
    <w:rsid w:val="00966868"/>
    <w:rsid w:val="00966917"/>
    <w:rsid w:val="00967387"/>
    <w:rsid w:val="009709AB"/>
    <w:rsid w:val="00971FD5"/>
    <w:rsid w:val="0097223A"/>
    <w:rsid w:val="009729E3"/>
    <w:rsid w:val="00974167"/>
    <w:rsid w:val="00974BED"/>
    <w:rsid w:val="00975E0A"/>
    <w:rsid w:val="00976143"/>
    <w:rsid w:val="009775A7"/>
    <w:rsid w:val="00980073"/>
    <w:rsid w:val="00980784"/>
    <w:rsid w:val="0098167D"/>
    <w:rsid w:val="00982041"/>
    <w:rsid w:val="00983099"/>
    <w:rsid w:val="009832E7"/>
    <w:rsid w:val="009836DB"/>
    <w:rsid w:val="009839EA"/>
    <w:rsid w:val="00983F5E"/>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39FB"/>
    <w:rsid w:val="009A418D"/>
    <w:rsid w:val="009A520C"/>
    <w:rsid w:val="009A75FE"/>
    <w:rsid w:val="009B137E"/>
    <w:rsid w:val="009B2144"/>
    <w:rsid w:val="009B2D08"/>
    <w:rsid w:val="009B3475"/>
    <w:rsid w:val="009B6315"/>
    <w:rsid w:val="009B6C73"/>
    <w:rsid w:val="009C4645"/>
    <w:rsid w:val="009C59F9"/>
    <w:rsid w:val="009C63B1"/>
    <w:rsid w:val="009C6C6F"/>
    <w:rsid w:val="009C6DCD"/>
    <w:rsid w:val="009D0173"/>
    <w:rsid w:val="009D0895"/>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A07"/>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873D2"/>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A7867"/>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AFC"/>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028D"/>
    <w:rsid w:val="00B32C84"/>
    <w:rsid w:val="00B33E5E"/>
    <w:rsid w:val="00B34D85"/>
    <w:rsid w:val="00B3567F"/>
    <w:rsid w:val="00B3710C"/>
    <w:rsid w:val="00B37FE3"/>
    <w:rsid w:val="00B412ED"/>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4572"/>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977B3"/>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CFE"/>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507"/>
    <w:rsid w:val="00C17BFA"/>
    <w:rsid w:val="00C22767"/>
    <w:rsid w:val="00C22C2F"/>
    <w:rsid w:val="00C2558E"/>
    <w:rsid w:val="00C25992"/>
    <w:rsid w:val="00C267E3"/>
    <w:rsid w:val="00C27B64"/>
    <w:rsid w:val="00C30167"/>
    <w:rsid w:val="00C308DC"/>
    <w:rsid w:val="00C31AC5"/>
    <w:rsid w:val="00C31CE3"/>
    <w:rsid w:val="00C3206E"/>
    <w:rsid w:val="00C365F1"/>
    <w:rsid w:val="00C36EA2"/>
    <w:rsid w:val="00C37F27"/>
    <w:rsid w:val="00C40CC6"/>
    <w:rsid w:val="00C41E59"/>
    <w:rsid w:val="00C449B4"/>
    <w:rsid w:val="00C4510D"/>
    <w:rsid w:val="00C45E81"/>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1AB6"/>
    <w:rsid w:val="00C7392F"/>
    <w:rsid w:val="00C74920"/>
    <w:rsid w:val="00C7610F"/>
    <w:rsid w:val="00C773F9"/>
    <w:rsid w:val="00C775A1"/>
    <w:rsid w:val="00C77B0A"/>
    <w:rsid w:val="00C8091E"/>
    <w:rsid w:val="00C80EE0"/>
    <w:rsid w:val="00C8162B"/>
    <w:rsid w:val="00C816BA"/>
    <w:rsid w:val="00C81CA2"/>
    <w:rsid w:val="00C8291D"/>
    <w:rsid w:val="00C833B1"/>
    <w:rsid w:val="00C84315"/>
    <w:rsid w:val="00C8473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04E5"/>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287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04E"/>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6B3F"/>
    <w:rsid w:val="00E2059A"/>
    <w:rsid w:val="00E234C8"/>
    <w:rsid w:val="00E23FD9"/>
    <w:rsid w:val="00E241D9"/>
    <w:rsid w:val="00E24E21"/>
    <w:rsid w:val="00E26111"/>
    <w:rsid w:val="00E27F54"/>
    <w:rsid w:val="00E30277"/>
    <w:rsid w:val="00E308BB"/>
    <w:rsid w:val="00E313CE"/>
    <w:rsid w:val="00E3165C"/>
    <w:rsid w:val="00E3244D"/>
    <w:rsid w:val="00E32751"/>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2ACE"/>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29C"/>
    <w:rsid w:val="00ED230B"/>
    <w:rsid w:val="00ED3570"/>
    <w:rsid w:val="00ED368F"/>
    <w:rsid w:val="00ED3B71"/>
    <w:rsid w:val="00ED4A3F"/>
    <w:rsid w:val="00ED4FDE"/>
    <w:rsid w:val="00ED6D87"/>
    <w:rsid w:val="00EE1477"/>
    <w:rsid w:val="00EE1DB5"/>
    <w:rsid w:val="00EE3357"/>
    <w:rsid w:val="00EF00C9"/>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88"/>
    <w:rsid w:val="00F9781A"/>
    <w:rsid w:val="00FA057C"/>
    <w:rsid w:val="00FA058B"/>
    <w:rsid w:val="00FA086F"/>
    <w:rsid w:val="00FA0D16"/>
    <w:rsid w:val="00FA185B"/>
    <w:rsid w:val="00FA60BF"/>
    <w:rsid w:val="00FA6883"/>
    <w:rsid w:val="00FA7405"/>
    <w:rsid w:val="00FB0D12"/>
    <w:rsid w:val="00FB1CB4"/>
    <w:rsid w:val="00FB23B5"/>
    <w:rsid w:val="00FB39D2"/>
    <w:rsid w:val="00FB3D40"/>
    <w:rsid w:val="00FB44EB"/>
    <w:rsid w:val="00FB675F"/>
    <w:rsid w:val="00FC11A3"/>
    <w:rsid w:val="00FC1300"/>
    <w:rsid w:val="00FC1C93"/>
    <w:rsid w:val="00FC39EF"/>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1A4B"/>
    <w:rsid w:val="00FE1ADC"/>
    <w:rsid w:val="00FE225D"/>
    <w:rsid w:val="00FE4989"/>
    <w:rsid w:val="00FE5C3E"/>
    <w:rsid w:val="00FF0A2F"/>
    <w:rsid w:val="00FF1B04"/>
    <w:rsid w:val="00FF22F8"/>
    <w:rsid w:val="01533290"/>
    <w:rsid w:val="01654C82"/>
    <w:rsid w:val="020A6A96"/>
    <w:rsid w:val="0356786B"/>
    <w:rsid w:val="046E31C1"/>
    <w:rsid w:val="056C4F65"/>
    <w:rsid w:val="06F4696E"/>
    <w:rsid w:val="07245E56"/>
    <w:rsid w:val="09FB7353"/>
    <w:rsid w:val="0C023D8C"/>
    <w:rsid w:val="0C225D7B"/>
    <w:rsid w:val="0D544AD8"/>
    <w:rsid w:val="0E9022D3"/>
    <w:rsid w:val="0E94232E"/>
    <w:rsid w:val="0EDE05BD"/>
    <w:rsid w:val="0F025487"/>
    <w:rsid w:val="0F1306D5"/>
    <w:rsid w:val="0F7202EB"/>
    <w:rsid w:val="10365F82"/>
    <w:rsid w:val="10AB63B0"/>
    <w:rsid w:val="11295396"/>
    <w:rsid w:val="12120E61"/>
    <w:rsid w:val="14740EE4"/>
    <w:rsid w:val="163E2FB7"/>
    <w:rsid w:val="17101A9E"/>
    <w:rsid w:val="17622796"/>
    <w:rsid w:val="17925B3D"/>
    <w:rsid w:val="18AD6F8E"/>
    <w:rsid w:val="19F32D28"/>
    <w:rsid w:val="1A48157B"/>
    <w:rsid w:val="1AAA799F"/>
    <w:rsid w:val="1B9930ED"/>
    <w:rsid w:val="1BAC7095"/>
    <w:rsid w:val="1BD70953"/>
    <w:rsid w:val="1BF87698"/>
    <w:rsid w:val="1D4C7D7F"/>
    <w:rsid w:val="1E585AB7"/>
    <w:rsid w:val="1EB160C2"/>
    <w:rsid w:val="1FF145B9"/>
    <w:rsid w:val="21650F84"/>
    <w:rsid w:val="2193546F"/>
    <w:rsid w:val="25702FC5"/>
    <w:rsid w:val="263F36E6"/>
    <w:rsid w:val="26D3441F"/>
    <w:rsid w:val="26F50BA9"/>
    <w:rsid w:val="272832A3"/>
    <w:rsid w:val="27BD5E26"/>
    <w:rsid w:val="285E4249"/>
    <w:rsid w:val="28D07629"/>
    <w:rsid w:val="29026D00"/>
    <w:rsid w:val="2AF13C2E"/>
    <w:rsid w:val="2C1C6772"/>
    <w:rsid w:val="2EA421B8"/>
    <w:rsid w:val="2EA644DF"/>
    <w:rsid w:val="2EFA4D05"/>
    <w:rsid w:val="2FB532A0"/>
    <w:rsid w:val="3035346F"/>
    <w:rsid w:val="319C4BEA"/>
    <w:rsid w:val="34663B5D"/>
    <w:rsid w:val="34C829B2"/>
    <w:rsid w:val="35381804"/>
    <w:rsid w:val="36146FAD"/>
    <w:rsid w:val="386A3F56"/>
    <w:rsid w:val="3A810EF7"/>
    <w:rsid w:val="3A842191"/>
    <w:rsid w:val="3ACF0F3F"/>
    <w:rsid w:val="3B39051F"/>
    <w:rsid w:val="3B7626CB"/>
    <w:rsid w:val="3C3802E9"/>
    <w:rsid w:val="3E586AB8"/>
    <w:rsid w:val="3E5C1B1D"/>
    <w:rsid w:val="3EAE14E9"/>
    <w:rsid w:val="3ECA1E2E"/>
    <w:rsid w:val="3FD261A6"/>
    <w:rsid w:val="40CC25EF"/>
    <w:rsid w:val="411E66DC"/>
    <w:rsid w:val="41F15766"/>
    <w:rsid w:val="42EB2F9C"/>
    <w:rsid w:val="42F736A3"/>
    <w:rsid w:val="439D563D"/>
    <w:rsid w:val="443C724B"/>
    <w:rsid w:val="45226963"/>
    <w:rsid w:val="46640412"/>
    <w:rsid w:val="479A6CA5"/>
    <w:rsid w:val="4AD06887"/>
    <w:rsid w:val="4B3D48F8"/>
    <w:rsid w:val="4C354C02"/>
    <w:rsid w:val="4C7573D1"/>
    <w:rsid w:val="4D0054C8"/>
    <w:rsid w:val="4D39606F"/>
    <w:rsid w:val="4EB642FA"/>
    <w:rsid w:val="4F8E3D4D"/>
    <w:rsid w:val="4F9D0BB6"/>
    <w:rsid w:val="4FA019A7"/>
    <w:rsid w:val="51567FEC"/>
    <w:rsid w:val="5171747E"/>
    <w:rsid w:val="53063B85"/>
    <w:rsid w:val="533C1961"/>
    <w:rsid w:val="53B3493A"/>
    <w:rsid w:val="53EE2EEC"/>
    <w:rsid w:val="5537323C"/>
    <w:rsid w:val="55855837"/>
    <w:rsid w:val="55E83741"/>
    <w:rsid w:val="56503211"/>
    <w:rsid w:val="567F6EA0"/>
    <w:rsid w:val="570F235C"/>
    <w:rsid w:val="580710CE"/>
    <w:rsid w:val="598B567E"/>
    <w:rsid w:val="5BA35A94"/>
    <w:rsid w:val="5C624734"/>
    <w:rsid w:val="5FE91ABC"/>
    <w:rsid w:val="628E734C"/>
    <w:rsid w:val="62BD3A82"/>
    <w:rsid w:val="6382470C"/>
    <w:rsid w:val="6580603B"/>
    <w:rsid w:val="66A34D18"/>
    <w:rsid w:val="682A44E1"/>
    <w:rsid w:val="68C7223A"/>
    <w:rsid w:val="68EF6886"/>
    <w:rsid w:val="6A8739CF"/>
    <w:rsid w:val="6B5C2848"/>
    <w:rsid w:val="6C2B2E22"/>
    <w:rsid w:val="6EAA7DFD"/>
    <w:rsid w:val="6F315DAE"/>
    <w:rsid w:val="6F7B01A3"/>
    <w:rsid w:val="6FDD1093"/>
    <w:rsid w:val="709C0126"/>
    <w:rsid w:val="73D736B7"/>
    <w:rsid w:val="74AE17FA"/>
    <w:rsid w:val="76022652"/>
    <w:rsid w:val="768501BE"/>
    <w:rsid w:val="76C8601E"/>
    <w:rsid w:val="770C74D3"/>
    <w:rsid w:val="77150144"/>
    <w:rsid w:val="7AC82DE4"/>
    <w:rsid w:val="7BEA1CFE"/>
    <w:rsid w:val="7D3666EB"/>
    <w:rsid w:val="7D803772"/>
    <w:rsid w:val="7D80556D"/>
    <w:rsid w:val="7D837716"/>
    <w:rsid w:val="7E3713F1"/>
    <w:rsid w:val="7ED86E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E6D3D55C-3DD8-4C31-8069-E5508DD844FB}">
  <ds:schemaRefs/>
</ds:datastoreItem>
</file>

<file path=customXml/itemProps10.xml><?xml version="1.0" encoding="utf-8"?>
<ds:datastoreItem xmlns:ds="http://schemas.openxmlformats.org/officeDocument/2006/customXml" ds:itemID="{D018B84B-3126-4126-B504-3F6B8CE81F1F}">
  <ds:schemaRefs/>
</ds:datastoreItem>
</file>

<file path=customXml/itemProps11.xml><?xml version="1.0" encoding="utf-8"?>
<ds:datastoreItem xmlns:ds="http://schemas.openxmlformats.org/officeDocument/2006/customXml" ds:itemID="{0A7AA9EF-3B8C-4BAA-9155-A6E3E5337D3C}">
  <ds:schemaRefs/>
</ds:datastoreItem>
</file>

<file path=customXml/itemProps12.xml><?xml version="1.0" encoding="utf-8"?>
<ds:datastoreItem xmlns:ds="http://schemas.openxmlformats.org/officeDocument/2006/customXml" ds:itemID="{9114D43D-ED98-4C7B-A3AE-26D78B80CA82}">
  <ds:schemaRefs/>
</ds:datastoreItem>
</file>

<file path=customXml/itemProps13.xml><?xml version="1.0" encoding="utf-8"?>
<ds:datastoreItem xmlns:ds="http://schemas.openxmlformats.org/officeDocument/2006/customXml" ds:itemID="{A06CD169-7F5C-4082-81B2-6ECAA9AF6149}">
  <ds:schemaRefs/>
</ds:datastoreItem>
</file>

<file path=customXml/itemProps14.xml><?xml version="1.0" encoding="utf-8"?>
<ds:datastoreItem xmlns:ds="http://schemas.openxmlformats.org/officeDocument/2006/customXml" ds:itemID="{509BA638-9D3A-4AA3-A169-FF78BC0E4BE9}">
  <ds:schemaRefs/>
</ds:datastoreItem>
</file>

<file path=customXml/itemProps15.xml><?xml version="1.0" encoding="utf-8"?>
<ds:datastoreItem xmlns:ds="http://schemas.openxmlformats.org/officeDocument/2006/customXml" ds:itemID="{EC45DDBE-A426-47CA-BC62-D025DE29F1BC}">
  <ds:schemaRefs/>
</ds:datastoreItem>
</file>

<file path=customXml/itemProps16.xml><?xml version="1.0" encoding="utf-8"?>
<ds:datastoreItem xmlns:ds="http://schemas.openxmlformats.org/officeDocument/2006/customXml" ds:itemID="{2108FF18-8EC8-4170-A536-1AA8E39CC797}">
  <ds:schemaRefs/>
</ds:datastoreItem>
</file>

<file path=customXml/itemProps17.xml><?xml version="1.0" encoding="utf-8"?>
<ds:datastoreItem xmlns:ds="http://schemas.openxmlformats.org/officeDocument/2006/customXml" ds:itemID="{3A3C3A8D-C5E4-45AF-8B48-C3BF528808AD}">
  <ds:schemaRefs/>
</ds:datastoreItem>
</file>

<file path=customXml/itemProps2.xml><?xml version="1.0" encoding="utf-8"?>
<ds:datastoreItem xmlns:ds="http://schemas.openxmlformats.org/officeDocument/2006/customXml" ds:itemID="{D902962D-C8CC-43BF-804A-CD60AE6D7475}">
  <ds:schemaRefs/>
</ds:datastoreItem>
</file>

<file path=customXml/itemProps3.xml><?xml version="1.0" encoding="utf-8"?>
<ds:datastoreItem xmlns:ds="http://schemas.openxmlformats.org/officeDocument/2006/customXml" ds:itemID="{79B37214-9E52-4241-8DD2-9E9CD9442006}">
  <ds:schemaRefs/>
</ds:datastoreItem>
</file>

<file path=customXml/itemProps4.xml><?xml version="1.0" encoding="utf-8"?>
<ds:datastoreItem xmlns:ds="http://schemas.openxmlformats.org/officeDocument/2006/customXml" ds:itemID="{AC86F3EB-DB57-4B60-8A7E-BBB67A22EE0B}">
  <ds:schemaRefs/>
</ds:datastoreItem>
</file>

<file path=customXml/itemProps5.xml><?xml version="1.0" encoding="utf-8"?>
<ds:datastoreItem xmlns:ds="http://schemas.openxmlformats.org/officeDocument/2006/customXml" ds:itemID="{1990A2D8-324F-45D5-B9CD-07245ED2860B}">
  <ds:schemaRefs/>
</ds:datastoreItem>
</file>

<file path=customXml/itemProps6.xml><?xml version="1.0" encoding="utf-8"?>
<ds:datastoreItem xmlns:ds="http://schemas.openxmlformats.org/officeDocument/2006/customXml" ds:itemID="{1A3BDF38-4832-4575-A8AB-7A1679738229}">
  <ds:schemaRefs/>
</ds:datastoreItem>
</file>

<file path=customXml/itemProps7.xml><?xml version="1.0" encoding="utf-8"?>
<ds:datastoreItem xmlns:ds="http://schemas.openxmlformats.org/officeDocument/2006/customXml" ds:itemID="{BEEE0313-55EB-45FA-BBBD-C0232D367255}">
  <ds:schemaRefs/>
</ds:datastoreItem>
</file>

<file path=customXml/itemProps8.xml><?xml version="1.0" encoding="utf-8"?>
<ds:datastoreItem xmlns:ds="http://schemas.openxmlformats.org/officeDocument/2006/customXml" ds:itemID="{7E5C9D84-6DB6-48FB-8632-D5279FC233C8}">
  <ds:schemaRefs/>
</ds:datastoreItem>
</file>

<file path=customXml/itemProps9.xml><?xml version="1.0" encoding="utf-8"?>
<ds:datastoreItem xmlns:ds="http://schemas.openxmlformats.org/officeDocument/2006/customXml" ds:itemID="{CF487381-D648-48A1-B1E4-A4540B0D365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4975</Words>
  <Characters>5055</Characters>
  <Lines>203</Lines>
  <Paragraphs>57</Paragraphs>
  <TotalTime>0</TotalTime>
  <ScaleCrop>false</ScaleCrop>
  <LinksUpToDate>false</LinksUpToDate>
  <CharactersWithSpaces>5141</CharactersWithSpaces>
  <Application>WPS Office_12.1.0.19770_F1E327BC-269C-435d-A152-05C5408002CA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2021-09-06T06:01:00Z</dcterms:created>
  <dc:creator>张淼雯</dc:creator>
  <cp:lastModifiedBy>滴滴哒</cp:lastModifiedBy>
  <cp:lastPrinted>2022-01-18T08:37:00Z</cp:lastPrinted>
  <dcterms:modified xsi:type="dcterms:W3CDTF">2024-12-30T02:47:59Z</dcterms:modified>
  <cp:revision>192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74C3C26FA5584F50918EB6A588941358_13</vt:lpwstr>
  </property>
  <property fmtid="{D5CDD505-2E9C-101B-9397-08002B2CF9AE}" pid="4" name="KSOTemplateDocerSaveRecord">
    <vt:lpwstr>eyJoZGlkIjoiMjg4YmYzNWQ0OTJiYmI4MDkxZWVhMTQxYzZkMjUzYTEiLCJ1c2VySWQiOiIyNDkwMDI2NTYifQ==</vt:lpwstr>
  </property>
</Properties>
</file>