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ind w:left="126" w:leftChars="52" w:hanging="17"/>
        <w:jc w:val="center"/>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t>平安理财新启航第415期封闭固收类理财产品</w:t>
      </w:r>
    </w:p>
    <w:p>
      <w:pPr>
        <w:spacing w:after="156" w:afterLines="50" w:line="360" w:lineRule="auto"/>
        <w:ind w:left="126" w:leftChars="52" w:hanging="17"/>
        <w:jc w:val="center"/>
        <w:rPr>
          <w:rFonts w:ascii="Arial" w:hAnsi="Arial" w:cs="Arial" w:eastAsiaTheme="minorEastAsia"/>
          <w:b/>
          <w:sz w:val="32"/>
          <w:szCs w:val="21"/>
          <w:highlight w:val="none"/>
        </w:rPr>
      </w:pPr>
      <w:r>
        <w:rPr>
          <w:rFonts w:ascii="Arial" w:hAnsi="Arial" w:cs="Arial" w:eastAsiaTheme="minorEastAsia"/>
          <w:b/>
          <w:bCs/>
          <w:sz w:val="32"/>
          <w:szCs w:val="21"/>
          <w:highlight w:val="none"/>
        </w:rPr>
        <w:t>说明</w:t>
      </w:r>
      <w:r>
        <w:rPr>
          <w:rFonts w:ascii="Arial" w:hAnsi="Arial" w:cs="Arial" w:eastAsiaTheme="minorEastAsia"/>
          <w:b/>
          <w:sz w:val="32"/>
          <w:szCs w:val="21"/>
          <w:highlight w:val="none"/>
        </w:rPr>
        <w:t>书</w:t>
      </w:r>
    </w:p>
    <w:tbl>
      <w:tblPr>
        <w:tblStyle w:val="9"/>
        <w:tblW w:w="9357" w:type="dxa"/>
        <w:tblInd w:w="-31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357" w:type="dxa"/>
          </w:tcPr>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理财非存款，产品有风险，投资须谨慎。平安理财有限责任公司（以下简称“平安理财”）不承诺本理财产品一定盈利，也不承诺最低收益。</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本理财产品仅向依据中华人民共和国有关法律法规及本理财产品说明书约定可以购买本理财产品的投资者发售。</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w:t>
            </w:r>
            <w:r>
              <w:rPr>
                <w:rFonts w:ascii="Arial" w:hAnsi="Arial" w:cs="Arial" w:eastAsiaTheme="minorEastAsia"/>
                <w:b/>
                <w:bCs/>
                <w:sz w:val="22"/>
                <w:highlight w:val="none"/>
              </w:rPr>
              <w:t>平安理财新启航第415期封闭固收类理财产品</w:t>
            </w:r>
            <w:r>
              <w:rPr>
                <w:rFonts w:ascii="Arial" w:hAnsi="Arial" w:cs="Arial" w:eastAsiaTheme="minorEastAsia"/>
                <w:b/>
                <w:bCs/>
                <w:sz w:val="22"/>
                <w:highlight w:val="none"/>
              </w:rPr>
              <w:t>说明书</w:t>
            </w:r>
            <w:r>
              <w:rPr>
                <w:rFonts w:ascii="Arial" w:hAnsi="Arial" w:cs="Arial" w:eastAsiaTheme="minorEastAsia"/>
                <w:b/>
                <w:sz w:val="22"/>
                <w:highlight w:val="none"/>
              </w:rPr>
              <w:t>》（以下简称“《产品说明书》”、“本理财产品说明书”）与《</w:t>
            </w:r>
            <w:r>
              <w:rPr>
                <w:rFonts w:ascii="Arial" w:hAnsi="Arial" w:cs="Arial" w:eastAsiaTheme="minorEastAsia"/>
                <w:b/>
                <w:bCs/>
                <w:sz w:val="22"/>
                <w:highlight w:val="none"/>
              </w:rPr>
              <w:t>平安理财新启航第415期封闭固收类理财产品</w:t>
            </w:r>
            <w:r>
              <w:rPr>
                <w:rFonts w:ascii="Arial" w:hAnsi="Arial" w:cs="Arial" w:eastAsiaTheme="minorEastAsia"/>
                <w:b/>
                <w:sz w:val="22"/>
                <w:highlight w:val="none"/>
              </w:rPr>
              <w:t>风险揭示书》（以下简称“《风险揭示书》”）、《投资协议书》、《代理销售协议书》（该文件具体名称以销售服务机构为准，下同）、《客户权益须知》共同组成本理财产品销售文件不可分割之组成部分。</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投资者应随时关注本理财产品的信息披露情况，及时获取相关信息。</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本理财产品存续期内，如出于维持本理财产品正常运营的需要且在不损害投资者利益的前提下，或因国家法律法规、监管规定发生变化，管理人有权在法律允许的范围内单方对本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 </w:t>
            </w:r>
          </w:p>
          <w:p>
            <w:pPr>
              <w:widowControl/>
              <w:numPr>
                <w:ilvl w:val="0"/>
                <w:numId w:val="1"/>
              </w:numPr>
              <w:tabs>
                <w:tab w:val="left" w:pos="284"/>
                <w:tab w:val="left" w:pos="567"/>
                <w:tab w:val="left" w:pos="8931"/>
              </w:tabs>
              <w:spacing w:line="360" w:lineRule="auto"/>
              <w:ind w:left="0" w:firstLine="110" w:firstLineChars="50"/>
              <w:rPr>
                <w:rFonts w:ascii="Arial" w:hAnsi="Arial" w:cs="Arial" w:eastAsiaTheme="minorEastAsia"/>
                <w:b/>
                <w:sz w:val="22"/>
                <w:highlight w:val="none"/>
              </w:rPr>
            </w:pPr>
            <w:r>
              <w:rPr>
                <w:rFonts w:ascii="Arial" w:hAnsi="Arial" w:cs="Arial" w:eastAsiaTheme="minorEastAsia"/>
                <w:b/>
                <w:sz w:val="22"/>
                <w:highlight w:val="none"/>
              </w:rPr>
              <w:t xml:space="preserve">为贯彻落实银行业理财登记托管中心发布的《&lt;中国银行保险监督管理委员会办公厅关于进一步做好银行理财登记工作有关事项的通知&gt;实施细则》（理财中心发〔2018〕18号）文件的精神及相关实施细则及《银行业理财登记托管中心关于&lt;中国银保监会办公厅关于印发银行业金融机构监管数据标准化规范（2019版）&gt;数据报送工作的通知》的要求，管理人将向监管机构报送理财产品投资者身份信息、每日交易、持仓等信息。后续国家金融监督管理总局和银行业理财登记托管中心等机关如果提出新的信息报送要求，管理人将按照该等机关的要求执行。投资者签署本理财产品销售文件即视为已经同意管理人将按照相关机关要求报送投资者相关信息。 </w:t>
            </w:r>
          </w:p>
          <w:p>
            <w:pPr>
              <w:widowControl/>
              <w:numPr>
                <w:ilvl w:val="0"/>
                <w:numId w:val="1"/>
              </w:numPr>
              <w:tabs>
                <w:tab w:val="left" w:pos="284"/>
                <w:tab w:val="left" w:pos="567"/>
                <w:tab w:val="left" w:pos="8931"/>
              </w:tabs>
              <w:spacing w:line="360" w:lineRule="auto"/>
              <w:ind w:left="0" w:firstLine="110" w:firstLineChars="50"/>
              <w:rPr>
                <w:rStyle w:val="14"/>
                <w:rFonts w:ascii="Arial" w:hAnsi="Arial" w:cs="Arial" w:eastAsiaTheme="minorEastAsia"/>
                <w:bCs w:val="0"/>
                <w:color w:val="auto"/>
                <w:spacing w:val="0"/>
                <w:szCs w:val="24"/>
                <w:highlight w:val="none"/>
              </w:rPr>
            </w:pPr>
            <w:r>
              <w:rPr>
                <w:rFonts w:ascii="Arial" w:hAnsi="Arial" w:cs="Arial" w:eastAsiaTheme="minorEastAsia"/>
                <w:b/>
                <w:sz w:val="22"/>
                <w:highlight w:val="none"/>
              </w:rPr>
              <w:t>根据监管机构要求，其他管理人（如有，特指除本理财产品的产品管理人平安理财之外的其他管理人，包括但不限于本理财产品所投资的信托计划、资管计划/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pPr>
        <w:spacing w:line="360" w:lineRule="auto"/>
        <w:ind w:left="124" w:leftChars="52" w:hanging="15"/>
        <w:jc w:val="center"/>
        <w:rPr>
          <w:rFonts w:ascii="Arial" w:hAnsi="Arial" w:cs="Arial" w:eastAsiaTheme="minorEastAsia"/>
          <w:b/>
          <w:bCs/>
          <w:color w:val="000000"/>
          <w:sz w:val="32"/>
          <w:szCs w:val="21"/>
          <w:highlight w:val="none"/>
        </w:rPr>
      </w:pPr>
    </w:p>
    <w:p>
      <w:pPr>
        <w:widowControl/>
        <w:jc w:val="left"/>
        <w:rPr>
          <w:rFonts w:ascii="Arial" w:hAnsi="Arial" w:cs="Arial" w:eastAsiaTheme="minorEastAsia"/>
          <w:b/>
          <w:bCs/>
          <w:color w:val="000000"/>
          <w:sz w:val="32"/>
          <w:szCs w:val="21"/>
          <w:highlight w:val="none"/>
        </w:rPr>
      </w:pPr>
      <w:r>
        <w:rPr>
          <w:rFonts w:ascii="Arial" w:hAnsi="Arial" w:cs="Arial" w:eastAsiaTheme="minorEastAsia"/>
          <w:b/>
          <w:bCs/>
          <w:color w:val="000000"/>
          <w:sz w:val="32"/>
          <w:szCs w:val="21"/>
          <w:highlight w:val="none"/>
        </w:rPr>
        <w:br w:type="page"/>
      </w:r>
    </w:p>
    <w:p>
      <w:pPr>
        <w:pStyle w:val="2"/>
        <w:numPr>
          <w:ilvl w:val="0"/>
          <w:numId w:val="2"/>
        </w:numPr>
        <w:tabs>
          <w:tab w:val="left" w:pos="426"/>
        </w:tabs>
        <w:spacing w:line="240" w:lineRule="auto"/>
        <w:rPr>
          <w:rFonts w:ascii="Arial" w:hAnsi="Arial" w:cs="Arial" w:eastAsiaTheme="minorEastAsia"/>
          <w:color w:val="000000"/>
          <w:sz w:val="21"/>
          <w:szCs w:val="21"/>
          <w:highlight w:val="none"/>
        </w:rPr>
      </w:pPr>
      <w:r>
        <w:rPr>
          <w:rFonts w:ascii="Arial" w:hAnsi="Arial" w:cs="Arial" w:eastAsiaTheme="minorEastAsia"/>
          <w:color w:val="000000"/>
          <w:sz w:val="21"/>
          <w:szCs w:val="21"/>
          <w:highlight w:val="none"/>
        </w:rPr>
        <w:t>产品概述</w:t>
      </w:r>
    </w:p>
    <w:p>
      <w:pPr>
        <w:spacing w:line="360" w:lineRule="auto"/>
        <w:ind w:firstLine="444" w:firstLineChars="202"/>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本理财产品为</w:t>
      </w: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bCs/>
          <w:color w:val="000000"/>
          <w:sz w:val="22"/>
          <w:szCs w:val="22"/>
          <w:highlight w:val="none"/>
        </w:rPr>
        <w:t>净值型理财产品。投资者在购买本理财产品时需</w:t>
      </w:r>
      <w:r>
        <w:rPr>
          <w:rFonts w:ascii="Arial" w:hAnsi="Arial" w:cs="Arial" w:eastAsiaTheme="minorEastAsia"/>
          <w:snapToGrid w:val="0"/>
          <w:color w:val="000000"/>
          <w:sz w:val="22"/>
          <w:szCs w:val="22"/>
          <w:highlight w:val="none"/>
        </w:rPr>
        <w:t>充分了解并清楚知晓本理财产品</w:t>
      </w:r>
      <w:r>
        <w:rPr>
          <w:rFonts w:ascii="Arial" w:hAnsi="Arial" w:cs="Arial" w:eastAsiaTheme="minorEastAsia"/>
          <w:bCs/>
          <w:color w:val="000000"/>
          <w:sz w:val="22"/>
          <w:szCs w:val="22"/>
          <w:highlight w:val="none"/>
        </w:rPr>
        <w:t>特性和风险特征。</w:t>
      </w:r>
    </w:p>
    <w:tbl>
      <w:tblPr>
        <w:tblStyle w:val="8"/>
        <w:tblW w:w="89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122"/>
        <w:gridCol w:w="6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产品名称</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Cs/>
                <w:color w:val="000000"/>
                <w:sz w:val="22"/>
                <w:szCs w:val="22"/>
                <w:highlight w:val="none"/>
              </w:rPr>
            </w:pPr>
            <w:r>
              <w:rPr>
                <w:rFonts w:ascii="Arial" w:hAnsi="Arial" w:cs="Arial" w:eastAsiaTheme="minorEastAsia"/>
                <w:bCs/>
                <w:color w:val="000000"/>
                <w:sz w:val="22"/>
                <w:szCs w:val="22"/>
                <w:highlight w:val="none"/>
              </w:rPr>
              <w:t>平安理财新启航第415期封闭固收类理财产品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产品代码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Cs w:val="21"/>
                <w:highlight w:val="none"/>
              </w:rPr>
              <w:t>QXFG03M415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产品管理人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平安理财有限责任公司</w:t>
            </w:r>
            <w:r>
              <w:rPr>
                <w:rFonts w:hint="eastAsia" w:ascii="Arial" w:hAnsi="Arial" w:cs="Arial"/>
                <w:color w:val="000000"/>
                <w:sz w:val="22"/>
                <w:szCs w:val="22"/>
                <w:highlight w:val="none"/>
                <w:lang w:bidi="ar"/>
              </w:rPr>
              <w:t>，以下简称</w:t>
            </w:r>
            <w:r>
              <w:rPr>
                <w:rFonts w:ascii="Arial" w:hAnsi="Arial" w:cs="Arial"/>
                <w:color w:val="000000"/>
                <w:sz w:val="22"/>
                <w:szCs w:val="22"/>
                <w:highlight w:val="none"/>
                <w:lang w:bidi="ar"/>
              </w:rPr>
              <w:t>“</w:t>
            </w:r>
            <w:r>
              <w:rPr>
                <w:rFonts w:hint="eastAsia" w:ascii="Arial" w:hAnsi="Arial" w:cs="Arial"/>
                <w:color w:val="000000"/>
                <w:sz w:val="22"/>
                <w:szCs w:val="22"/>
                <w:highlight w:val="none"/>
                <w:lang w:bidi="ar"/>
              </w:rPr>
              <w:t>平安理财</w:t>
            </w:r>
            <w:r>
              <w:rPr>
                <w:rFonts w:ascii="Arial" w:hAnsi="Arial" w:cs="Arial"/>
                <w:color w:val="000000"/>
                <w:sz w:val="22"/>
                <w:szCs w:val="22"/>
                <w:highlight w:val="none"/>
                <w:lang w:bidi="ar"/>
              </w:rPr>
              <w:t>”</w:t>
            </w:r>
            <w:r>
              <w:rPr>
                <w:rFonts w:hint="eastAsia" w:ascii="Arial" w:hAnsi="Arial" w:cs="Arial"/>
                <w:color w:val="000000"/>
                <w:sz w:val="22"/>
                <w:szCs w:val="22"/>
                <w:highlight w:val="none"/>
                <w:lang w:bidi="ar"/>
              </w:rPr>
              <w:t>、</w:t>
            </w:r>
            <w:r>
              <w:rPr>
                <w:rFonts w:ascii="Arial" w:hAnsi="Arial" w:cs="Arial"/>
                <w:color w:val="000000"/>
                <w:sz w:val="22"/>
                <w:szCs w:val="22"/>
                <w:highlight w:val="none"/>
                <w:lang w:bidi="ar"/>
              </w:rPr>
              <w:t>“</w:t>
            </w:r>
            <w:r>
              <w:rPr>
                <w:rFonts w:hint="eastAsia" w:ascii="Arial" w:hAnsi="Arial" w:cs="Arial"/>
                <w:color w:val="000000"/>
                <w:sz w:val="22"/>
                <w:szCs w:val="22"/>
                <w:highlight w:val="none"/>
                <w:lang w:bidi="ar"/>
              </w:rPr>
              <w:t>管理人</w:t>
            </w:r>
            <w:r>
              <w:rPr>
                <w:rFonts w:ascii="Arial" w:hAnsi="Arial" w:cs="Arial"/>
                <w:color w:val="000000"/>
                <w:sz w:val="22"/>
                <w:szCs w:val="22"/>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3"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产品托管人</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平安银行股份有限公司</w:t>
            </w:r>
            <w:r>
              <w:rPr>
                <w:rFonts w:hint="eastAsia" w:ascii="Arial" w:hAnsi="Arial" w:cs="Arial"/>
                <w:color w:val="000000"/>
                <w:sz w:val="22"/>
                <w:szCs w:val="22"/>
                <w:highlight w:val="none"/>
                <w:lang w:bidi="ar"/>
              </w:rPr>
              <w:t>，以下简称</w:t>
            </w:r>
            <w:r>
              <w:rPr>
                <w:rFonts w:ascii="Arial" w:hAnsi="Arial" w:cs="Arial"/>
                <w:color w:val="000000"/>
                <w:sz w:val="22"/>
                <w:szCs w:val="22"/>
                <w:highlight w:val="none"/>
                <w:lang w:bidi="ar"/>
              </w:rPr>
              <w:t>“</w:t>
            </w:r>
            <w:r>
              <w:rPr>
                <w:rFonts w:hint="eastAsia" w:ascii="Arial" w:hAnsi="Arial" w:cs="Arial"/>
                <w:color w:val="000000"/>
                <w:sz w:val="22"/>
                <w:szCs w:val="22"/>
                <w:highlight w:val="none"/>
                <w:lang w:bidi="ar"/>
              </w:rPr>
              <w:t>托管人</w:t>
            </w:r>
            <w:r>
              <w:rPr>
                <w:rFonts w:ascii="Arial" w:hAnsi="Arial" w:cs="Arial"/>
                <w:color w:val="000000"/>
                <w:sz w:val="22"/>
                <w:szCs w:val="22"/>
                <w:highlight w:val="none"/>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销售服务机构</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指产品管理人以及符合《理财公司理财产品销售管理暂行办法》和国家金融监督管理总局规定，办理理财产品销售业务的机构。具体销售服务机构信息以管理人公告为准</w:t>
            </w:r>
            <w:r>
              <w:rPr>
                <w:rFonts w:ascii="Arial" w:hAnsi="Arial" w:cs="Arial"/>
                <w:color w:val="000000"/>
                <w:sz w:val="22"/>
                <w:szCs w:val="22"/>
                <w:highlight w:val="none"/>
              </w:rPr>
              <w:t>。</w:t>
            </w:r>
            <w:r>
              <w:rPr>
                <w:rFonts w:ascii="Arial" w:hAnsi="Arial" w:cs="Arial"/>
                <w:sz w:val="22"/>
                <w:szCs w:val="22"/>
                <w:highlight w:val="none"/>
              </w:rPr>
              <w:t>管理人有权增加其他销售服务机构，如有新增销售服务机构，以管理人公告为准。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全国银行业理财信息登记系统编码</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产品登记编码：【</w:t>
            </w:r>
            <w:r>
              <w:rPr>
                <w:rFonts w:ascii="Arial" w:hAnsi="Arial" w:cs="Arial" w:eastAsiaTheme="minorEastAsia"/>
                <w:color w:val="000000"/>
                <w:sz w:val="22"/>
                <w:szCs w:val="22"/>
                <w:highlight w:val="none"/>
              </w:rPr>
              <w:t>Z7003324000745</w:t>
            </w:r>
            <w:r>
              <w:rPr>
                <w:rFonts w:ascii="Arial" w:hAnsi="Arial" w:cs="Arial" w:eastAsiaTheme="minorEastAsia"/>
                <w:color w:val="000000"/>
                <w:sz w:val="22"/>
                <w:szCs w:val="22"/>
                <w:highlight w:val="none"/>
              </w:rPr>
              <w:t>】，投资者可以根据该登记编号在中国理财网（网址：https://www.chinawealth.com.cn/）查询产品信息。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理财币种</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产品类型</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募集方式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公开募集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运作方式</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封闭式</w:t>
            </w:r>
            <w:r>
              <w:rPr>
                <w:rFonts w:ascii="Arial" w:hAnsi="Arial" w:cs="Arial" w:eastAsiaTheme="minorEastAsia"/>
                <w:color w:val="000000" w:themeColor="text1"/>
                <w:sz w:val="22"/>
                <w:szCs w:val="22"/>
                <w:highlight w:val="none"/>
                <w14:textFill>
                  <w14:solidFill>
                    <w14:schemeClr w14:val="tx1"/>
                  </w14:solidFill>
                </w14:textFill>
              </w:rPr>
              <w:t>，投资者可以按照本理财产品说明书约定的认购期和场所，认购本理财产品。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产品风险评级</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b/>
                <w:color w:val="000000"/>
                <w:sz w:val="22"/>
                <w:highlight w:val="none"/>
              </w:rPr>
              <w:t>二级（中低）风险</w:t>
            </w:r>
            <w:r>
              <w:rPr>
                <w:rFonts w:ascii="Arial" w:hAnsi="Arial" w:cs="Arial" w:eastAsiaTheme="minorEastAsia"/>
                <w:color w:val="000000"/>
                <w:sz w:val="22"/>
                <w:szCs w:val="22"/>
                <w:highlight w:val="none"/>
              </w:rPr>
              <w:t>（本风险评级为管理人内部评级结果，该评级仅供参考。本理财产品通过销售服务机构销售的，产品风险评级应当以销售服务机构最终披露的评级结果为准）。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目标客户</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本理财产品向个人投资者和机构投资者销售，相关标准以销售服务机构为准。</w:t>
            </w:r>
            <w:r>
              <w:rPr>
                <w:rFonts w:ascii="Arial" w:hAnsi="Arial" w:cs="Arial" w:eastAsiaTheme="minorEastAsia"/>
                <w:sz w:val="22"/>
                <w:szCs w:val="22"/>
                <w:highlight w:val="none"/>
              </w:rPr>
              <w:t>管理人有权调整目标客户范围，如有调整，以管理人公告为准。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管理人建议：</w:t>
            </w:r>
            <w:r>
              <w:rPr>
                <w:rFonts w:ascii="Arial" w:hAnsi="Arial" w:cs="Arial" w:eastAsiaTheme="minorEastAsia"/>
                <w:b/>
                <w:color w:val="000000"/>
                <w:sz w:val="22"/>
                <w:highlight w:val="none"/>
              </w:rPr>
              <w:t>二级（中低）风险</w:t>
            </w:r>
            <w:r>
              <w:rPr>
                <w:rFonts w:ascii="Arial" w:hAnsi="Arial" w:cs="Arial" w:eastAsiaTheme="minorEastAsia"/>
                <w:b/>
                <w:color w:val="000000"/>
                <w:sz w:val="22"/>
                <w:szCs w:val="22"/>
                <w:highlight w:val="none"/>
              </w:rPr>
              <w:t>产品适合风险承受能力为“进取型”、“成长型”、“平衡型”、“稳健型”的客户购买</w:t>
            </w:r>
            <w:r>
              <w:rPr>
                <w:rFonts w:ascii="Arial" w:hAnsi="Arial" w:cs="Arial" w:eastAsiaTheme="minorEastAsia"/>
                <w:b/>
                <w:color w:val="000000"/>
                <w:sz w:val="22"/>
                <w:szCs w:val="22"/>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ind w:left="105" w:leftChars="50" w:right="105" w:rightChars="50"/>
              <w:jc w:val="center"/>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产品份额类别</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1.</w:t>
            </w:r>
            <w:r>
              <w:rPr>
                <w:rFonts w:ascii="Arial" w:hAnsi="Arial" w:cs="Arial" w:eastAsiaTheme="minorEastAsia"/>
                <w:color w:val="000000"/>
                <w:sz w:val="22"/>
                <w:szCs w:val="22"/>
                <w:highlight w:val="none"/>
              </w:rPr>
              <w:t>本理财产品发行时将产品份额分为</w:t>
            </w:r>
            <w:r>
              <w:rPr>
                <w:rFonts w:ascii="Arial" w:hAnsi="Arial" w:cs="Arial" w:eastAsiaTheme="minorEastAsia"/>
                <w:color w:val="000000"/>
                <w:sz w:val="22"/>
                <w:szCs w:val="22"/>
                <w:highlight w:val="none"/>
              </w:rPr>
              <w:t>A/B/C/D/E/F/H/I/J</w:t>
            </w:r>
            <w:r>
              <w:rPr>
                <w:rFonts w:ascii="Arial" w:hAnsi="Arial" w:cs="Arial" w:eastAsiaTheme="minorEastAsia"/>
                <w:color w:val="000000"/>
                <w:sz w:val="22"/>
                <w:szCs w:val="22"/>
                <w:highlight w:val="none"/>
              </w:rPr>
              <w:t>类别。其中：</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类份额面向浙商银行股份有限公司、苏州银行股份有限公司、佛山农村商业银行股份有限公司、上海浦东发展银行股份有限公司的个人投资者和机构投资者销售，相关标准以销售服务机构为准。销售代码【QXFG03415A】，销售名称【新启航第415期6个月封闭A】；</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B类份额面向上海浦东发展银行股份有限公司的个人投资者和机构投资者销售，相关标准以销售服务机构为准。销售代码【QXFG03415B】，销售名称【新启航第415期6个月封闭B（邀新款）】；</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C类份额面向交通银行股份有限公司的个人投资者和机构投资者销售，相关标准以销售服务机构为准。销售代码【QXFG03415C】，销售名称【新启航第415期6个月封闭C（交享版）】；</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D类份额面向交通银行股份有限公司的个人投资者和机构投资者销售，相关标准以销售服务机构为准。销售代码【QXFG03415D】，销售名称【新启航第415期6个月封闭D（私银尊享）】；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类份额面向徽商银行股份有限公司、中国银行股份有限公司、华夏银行股份有限公司、张家口银行股份有限公司的个人投资者和机构投资者销售，相关标准以销售服务机构为准。销售代码【QXFG03415E】，销售名称【新启航第415期6个月封闭E】；</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类份额面向浙江长兴农村商业银行有限公司、浙江乐清农村商业银行股份有限公司、浙江德清农村商业银行股份有限公司、富邦华一银行有限公司、浙江舟山定海海洋农村商业银行股份有限公司的个人投资者和机构投资者销售，相关标准以销售服务机构为准。销售代码【QXFG03415F】，销售名称【新启航第415期6个月封闭F】；</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H类份额面向华夏银行股份有限公司的个人投资者和机构投资者销售，相关标准以销售服务机构为准。销售代码【QXFG03415H】，销售名称【新启航第415期6个月封闭H（华夏薪享专属）】；</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I类份额面向浙商银行股份有限公司的个人投资者和机构投资者销售，相关标准以销售服务机构为准。销售代码【QXFG03415I】，销售名称【新启航第415期6个月封闭I（年终专享）】；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J类份额面向平安银行股份有限公司的个人投资者和机构投资者销售，相关标准以销售服务机构为准。销售代码【QXFG03415J】，销售名称【年末特供-新启航第415期6个月封闭J】。</w:t>
            </w:r>
          </w:p>
          <w:p>
            <w:pPr>
              <w:spacing w:line="360" w:lineRule="auto"/>
              <w:ind w:left="105" w:leftChars="50" w:right="105" w:rightChars="50"/>
              <w:rPr>
                <w:rFonts w:ascii="Arial" w:hAnsi="Arial" w:cs="Arial" w:eastAsiaTheme="minorEastAsia"/>
                <w:color w:val="000000"/>
                <w:sz w:val="22"/>
                <w:szCs w:val="22"/>
                <w:highlight w:val="none"/>
              </w:rPr>
            </w:pPr>
            <w:r>
              <w:rPr>
                <w:rFonts w:hint="eastAsia" w:ascii="Arial" w:hAnsi="Arial" w:cs="Arial" w:eastAsiaTheme="minorEastAsia"/>
                <w:sz w:val="22"/>
                <w:szCs w:val="22"/>
                <w:highlight w:val="none"/>
              </w:rPr>
              <w:t>2</w:t>
            </w:r>
            <w:r>
              <w:rPr>
                <w:rFonts w:ascii="Arial" w:hAnsi="Arial" w:cs="Arial" w:eastAsiaTheme="minorEastAsia"/>
                <w:sz w:val="22"/>
                <w:szCs w:val="22"/>
                <w:highlight w:val="none"/>
              </w:rPr>
              <w:t>.</w:t>
            </w:r>
            <w:r>
              <w:rPr>
                <w:rFonts w:ascii="Arial" w:hAnsi="Arial" w:cs="Arial" w:eastAsiaTheme="minorEastAsia"/>
                <w:color w:val="000000"/>
                <w:sz w:val="22"/>
                <w:szCs w:val="22"/>
                <w:highlight w:val="none"/>
              </w:rPr>
              <w:t>产品设置理财不同的份额类别，理财产品每类份额以下内容可单独设置，具体设置情况以本理财产品说明书及相关公告为准：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（1）产品销售名称</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（2）产品销售代码</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（3）代销机构</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（4）适合的投资者</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（5）管理费率、销售费率、托管费率</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（6）业绩比较基准</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（7）认购投资起点金额及递增金额</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（8）单笔最大购买金额、累计购买金额等认购限制</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（9）单一投资者持有上限</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（10）可单独设置的其他内容</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如理财产品设置不同的产品份额，各产品份额净值将分别计算及公告，投资者可根据实际情况自行选择认购的产品份额类别。</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管理人有权根据实际情况增加新的产品份额类别、停止现有产品份额类别的销售、调整产品份额类别设置或对份额分类方法及规则进行调整。如有调整，以管理人公告为准。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发行规模</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各类份额发行规模合计下限不低于1.1亿元，上限不超过人民币200亿元。</w:t>
            </w:r>
          </w:p>
          <w:p>
            <w:pPr>
              <w:spacing w:line="360" w:lineRule="auto"/>
              <w:ind w:left="105" w:leftChars="50" w:right="105" w:rightChars="5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若本理财产品自开始认购至成立日之前，本理财产品认购金额未达下限，管理人有权宣布本理财产品不成立。若本理财产品发行规模超出上限，管理人有权结束认购，停止接受认购申请。</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管理人有权调整发行规模上限和下限，具体发行规模以平安理财公告为准。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认购起点</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D份额：认购起点为10万元，超过认购起点部分应为0.01元的整数倍；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I份额：认购起点为1元，超过认购起点部分应为0.01元的整数倍；</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J份额：认购起点为1元，超过认购起点部分应为0.01元的整数倍。</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管理人有权以公告的形式调整上述规则。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单笔认购上限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H份额单笔认购上限为1亿元；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I份额单笔认购上限为1亿元；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sz w:val="22"/>
                <w:szCs w:val="22"/>
                <w:highlight w:val="none"/>
              </w:rPr>
              <w:t>J份额单笔认购上限为1亿元。</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如发生超额申请，经管理人评估同意后可予以受理。管理人有权以公告形式调整各类份额单笔认购上限。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单一投资者持有上限</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A份额的单一投资者持有上限为1亿元；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H份额的单一投资者持有上限为1亿元；</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I份额的单一投资者持有上限为1亿元；</w:t>
            </w:r>
          </w:p>
          <w:p>
            <w:pPr>
              <w:spacing w:line="360" w:lineRule="auto"/>
              <w:ind w:left="105" w:leftChars="50" w:right="105" w:rightChars="50"/>
              <w:rPr>
                <w:rFonts w:ascii="Arial" w:hAnsi="Arial" w:cs="Arial" w:eastAsiaTheme="minorEastAsia"/>
                <w:sz w:val="22"/>
                <w:highlight w:val="none"/>
              </w:rPr>
            </w:pPr>
            <w:r>
              <w:rPr>
                <w:rFonts w:ascii="Arial" w:hAnsi="Arial" w:cs="Arial" w:eastAsiaTheme="minorEastAsia"/>
                <w:color w:val="000000"/>
                <w:sz w:val="22"/>
                <w:szCs w:val="22"/>
                <w:highlight w:val="none"/>
              </w:rPr>
              <w:t>J份额的单一投资者持有上限为1亿元。</w:t>
            </w:r>
          </w:p>
          <w:p>
            <w:pPr>
              <w:spacing w:line="360" w:lineRule="auto"/>
              <w:ind w:left="105" w:leftChars="50" w:right="105" w:rightChars="50"/>
              <w:rPr>
                <w:rFonts w:ascii="Arial" w:hAnsi="Arial" w:cs="Arial" w:eastAsiaTheme="minorEastAsia"/>
                <w:kern w:val="0"/>
                <w:sz w:val="22"/>
                <w:szCs w:val="22"/>
                <w:highlight w:val="none"/>
              </w:rPr>
            </w:pPr>
            <w:r>
              <w:rPr>
                <w:rFonts w:ascii="Arial" w:hAnsi="Arial" w:cs="Arial" w:eastAsiaTheme="minorEastAsia"/>
                <w:sz w:val="22"/>
                <w:szCs w:val="22"/>
                <w:highlight w:val="none"/>
              </w:rPr>
              <w:t>在产品运作过程中因收益分配、净值波动等被动超上限的情形除外。管理人有权以公告形式调整单一投资者持有上限。如发生超额申请，管理人有权根据实际情况决定拒绝或受理。管理人不得接受单一投资者购买超过产品份额总数50%的申请（在产品运作过程中因份额赎回、收益结转等情形导致持有份额被动超过此规则的情形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本理财产品份额以人民币计价，单位为份。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理财产品份额面值</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认购期每份理财产品份额面值为人民币1元。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业绩比较基准</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A份额的业绩比较基准为年化【2.50%-2.70%】；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B份额的业绩比较基准为年化【2.60%-2.80%】；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C份额的业绩比较基准为年化【2.40%-2.60%】；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D份额的业绩比较基准为年化【2.45%-2.65%】；</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E份额的业绩比较基准为年化【2.55%-2.75%】；</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F份额的业绩比较基准为年化【2.60%-2.80%】；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H份额的业绩比较基准为年化【2.60%-2.80%】；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I份额的业绩比较基准为年化【2.60%-2.80%】；</w:t>
            </w:r>
          </w:p>
          <w:p>
            <w:pPr>
              <w:spacing w:line="360" w:lineRule="auto"/>
              <w:ind w:left="105" w:leftChars="50" w:right="105" w:rightChars="5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J份额的业绩比较基准为年化【2.60%-2.80%】</w:t>
            </w:r>
            <w:r>
              <w:rPr>
                <w:rFonts w:ascii="Arial" w:hAnsi="Arial" w:cs="Arial" w:eastAsiaTheme="minorEastAsia"/>
                <w:color w:val="000000"/>
                <w:sz w:val="22"/>
                <w:szCs w:val="22"/>
                <w:highlight w:val="none"/>
              </w:rPr>
              <w:t>。</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固定收益类产品，将不低于80%的资金投资于固定收益类资产，将不超过49%资金投资于非标准化债权类资产，将根据市场情况将小于20%资金配置优先股及混合类等资产。其中，非标准化债权类资产测算收益参考管理人拟投资的非标准化债权类资产协议价格，标准化债权类资产测算收益参考同等期限的中债中短期票据到期收益率（AAA），优先股测算收益参考管理人拟投资的优先股股息收益率，混合类资产测算收益参考底层风险敞口及过往历史业绩。根据上述资产配置比例、测算收益，叠加杠杆策略、骑乘策略、久期策略等方式增厚收益，扣除相关税费成本后，综合得出本理财产品的业绩比较基准。</w:t>
            </w:r>
          </w:p>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sz w:val="22"/>
                <w:szCs w:val="22"/>
                <w:highlight w:val="none"/>
              </w:rPr>
              <w:t>本理财产品为净值型产品，业绩表现将随市场波动，具有不确定性。业绩比较基准是本理财产品管理人基于产品性质、投资策略、过往经验等因素对产品设定的投资目标，不是预期收益率，不代表产品的未来表现和实际收益，不构成对产品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理财产品费用</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1.固定管理费：管理人收取本理财产品固定管理费，各类份额固定管理费率不超过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%/年。固定管理费精确到小数点后2位，小数点2 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2.销售服务费：销售服务机构收取本理财产品销售服务费，各类份额销售服务费率不超过</w:t>
            </w:r>
            <w:r>
              <w:rPr>
                <w:rFonts w:ascii="Arial" w:hAnsi="Arial" w:cs="Arial" w:eastAsiaTheme="minorEastAsia"/>
                <w:sz w:val="22"/>
                <w:szCs w:val="22"/>
                <w:highlight w:val="none"/>
              </w:rPr>
              <w:t>0.50</w:t>
            </w:r>
            <w:r>
              <w:rPr>
                <w:rFonts w:ascii="Arial" w:hAnsi="Arial" w:cs="Arial" w:eastAsiaTheme="minorEastAsia"/>
                <w:sz w:val="22"/>
                <w:szCs w:val="22"/>
                <w:highlight w:val="none"/>
              </w:rPr>
              <w:t xml:space="preserve">%/年。销售服务费精确到小数点后2位，小数点2位以后四舍五入。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3.托管费：托管人对本理财产品收取托管费，各类份额托管费率不超过</w:t>
            </w:r>
            <w:r>
              <w:rPr>
                <w:rFonts w:ascii="Arial" w:hAnsi="Arial" w:cs="Arial" w:eastAsiaTheme="minorEastAsia"/>
                <w:sz w:val="22"/>
                <w:szCs w:val="22"/>
                <w:highlight w:val="none"/>
              </w:rPr>
              <w:t>0.03</w:t>
            </w:r>
            <w:r>
              <w:rPr>
                <w:rFonts w:ascii="Arial" w:hAnsi="Arial" w:cs="Arial" w:eastAsiaTheme="minorEastAsia"/>
                <w:sz w:val="22"/>
                <w:szCs w:val="22"/>
                <w:highlight w:val="none"/>
              </w:rPr>
              <w:t xml:space="preserve">%/年。托管费精确到小数点后2位，小数点2位以后四舍五入。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4.浮动管理费：本理财产品浮动管理费计提基准为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sz w:val="22"/>
                <w:szCs w:val="22"/>
                <w:highlight w:val="none"/>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sz w:val="22"/>
                <w:szCs w:val="22"/>
                <w:highlight w:val="none"/>
              </w:rPr>
              <w:t>【50.00】</w:t>
            </w:r>
            <w:r>
              <w:rPr>
                <w:rFonts w:ascii="Arial" w:hAnsi="Arial" w:cs="Arial" w:eastAsiaTheme="minorEastAsia"/>
                <w:sz w:val="22"/>
                <w:szCs w:val="22"/>
                <w:highlight w:val="none"/>
              </w:rPr>
              <w:t>%作为浮动管理费。本理财产品的浮动管理费计提评价日为本理财产品终止日。</w:t>
            </w:r>
            <w:r>
              <w:rPr>
                <w:rFonts w:ascii="Arial" w:hAnsi="Arial" w:cs="Arial" w:eastAsiaTheme="minorEastAsia"/>
                <w:b/>
                <w:sz w:val="22"/>
                <w:szCs w:val="22"/>
                <w:highlight w:val="none"/>
              </w:rPr>
              <w:t>浮动管理费计提基准仅作为计算管理人浮动管理费的依据，不代表本理财产品的未来表现和实际收益，不构成管理人对本理财产品的任何收益承诺。</w:t>
            </w:r>
            <w:r>
              <w:rPr>
                <w:rFonts w:ascii="Arial" w:hAnsi="Arial" w:cs="Arial" w:eastAsiaTheme="minorEastAsia"/>
                <w:sz w:val="22"/>
                <w:szCs w:val="22"/>
                <w:highlight w:val="none"/>
              </w:rPr>
              <w:t>详细内容见</w:t>
            </w:r>
            <w:r>
              <w:rPr>
                <w:rFonts w:ascii="Arial" w:hAnsi="Arial" w:cs="Arial" w:eastAsiaTheme="minorEastAsia"/>
                <w:b/>
                <w:sz w:val="22"/>
                <w:szCs w:val="22"/>
                <w:highlight w:val="none"/>
              </w:rPr>
              <w:t>“六、产品费用”。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 xml:space="preserve">5.其他（如有）：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6.管理人有权根据国家政策和适用法律的规定并结合实际情况，对本理财产品收费项目、收费条件、计算方法、收取方式及费率等在约定范围内进行调整，具体以管理人当期公告为准。超出约定范围的调整，管理人将至少提前5个工作日进行公告，详细内容见“</w:t>
            </w:r>
            <w:r>
              <w:rPr>
                <w:rFonts w:ascii="Arial" w:hAnsi="Arial" w:cs="Arial" w:eastAsiaTheme="minorEastAsia"/>
                <w:b/>
                <w:sz w:val="22"/>
                <w:szCs w:val="22"/>
                <w:highlight w:val="none"/>
              </w:rPr>
              <w:t>六、产品费用</w:t>
            </w:r>
            <w:r>
              <w:rPr>
                <w:rFonts w:ascii="Arial" w:hAnsi="Arial" w:cs="Arial" w:eastAsiaTheme="minorEastAsia"/>
                <w:sz w:val="22"/>
                <w:szCs w:val="22"/>
                <w:highlight w:val="none"/>
              </w:rPr>
              <w:t>”。</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7.其他费用：</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本理财产品认购费率为0。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本金及理财收益（如有，下同）</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本理财产品的收益特征为</w:t>
            </w:r>
            <w:r>
              <w:rPr>
                <w:rFonts w:ascii="Arial" w:hAnsi="Arial" w:cs="Arial" w:eastAsiaTheme="minorEastAsia"/>
                <w:b/>
                <w:sz w:val="22"/>
                <w:szCs w:val="22"/>
                <w:highlight w:val="none"/>
              </w:rPr>
              <w:t>非保本浮动收益，不保障本金且不保证理财收益</w:t>
            </w:r>
            <w:r>
              <w:rPr>
                <w:rFonts w:ascii="Arial" w:hAnsi="Arial" w:cs="Arial" w:eastAsiaTheme="minorEastAsia"/>
                <w:sz w:val="22"/>
                <w:szCs w:val="22"/>
                <w:highlight w:val="none"/>
              </w:rPr>
              <w:t>。</w:t>
            </w:r>
            <w:r>
              <w:rPr>
                <w:rFonts w:ascii="Arial" w:hAnsi="Arial" w:cs="Arial" w:eastAsiaTheme="minorEastAsia"/>
                <w:b/>
                <w:sz w:val="22"/>
                <w:szCs w:val="22"/>
                <w:highlight w:val="none"/>
              </w:rPr>
              <w:t>本理财产品的收益随投资收益浮动，投资者可能因市场变动等而蒙受损失。</w:t>
            </w:r>
            <w:r>
              <w:rPr>
                <w:rFonts w:ascii="Arial" w:hAnsi="Arial" w:cs="Arial" w:eastAsiaTheme="minorEastAsia"/>
                <w:sz w:val="22"/>
                <w:szCs w:val="22"/>
                <w:highlight w:val="none"/>
              </w:rPr>
              <w:t>在本理财产品对外投资资产正常回收的情况下，扣除本理财产品应承担的费用和税款后，计算本理财产品的可分配利益。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认购期</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2024年12月24日09:30 - 2024年12月30日17:00</w:t>
            </w:r>
            <w:r>
              <w:rPr>
                <w:rFonts w:ascii="Arial" w:hAnsi="Arial" w:cs="Arial" w:eastAsiaTheme="minorEastAsia"/>
                <w:sz w:val="22"/>
                <w:szCs w:val="22"/>
                <w:highlight w:val="none"/>
              </w:rPr>
              <w:t>（不含），管理人保留延长或提前终止产品认购期的权利。如有变动，本理财产品实际认购期以管理人公告为准。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认购登记日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2024年12月31日</w:t>
            </w:r>
            <w:r>
              <w:rPr>
                <w:rFonts w:ascii="Arial" w:hAnsi="Arial" w:cs="Arial" w:eastAsiaTheme="minorEastAsia"/>
                <w:sz w:val="22"/>
                <w:szCs w:val="22"/>
                <w:highlight w:val="none"/>
              </w:rPr>
              <w:t>（如遇非交易日顺延到下一个交易日）。如本理财产品认购期提前终止或延长，实际认购登记日以管理人实际公告为准。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理财产品成立日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2024年12月31日</w:t>
            </w:r>
            <w:r>
              <w:rPr>
                <w:rFonts w:ascii="Arial" w:hAnsi="Arial" w:cs="Arial" w:eastAsiaTheme="minorEastAsia"/>
                <w:sz w:val="22"/>
                <w:szCs w:val="22"/>
                <w:highlight w:val="none"/>
              </w:rPr>
              <w:t>（如遇非交易日顺延到下一个交易日）。如本理财产品认购期提前终止或延长，实际成立日以管理人实际公告为准。产品管理人将在本理财产品成立日之后5个工作日内披露成立公告。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理财产品预计到期日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2025年6月26日</w:t>
            </w:r>
            <w:r>
              <w:rPr>
                <w:rFonts w:ascii="Arial" w:hAnsi="Arial" w:cs="Arial" w:eastAsiaTheme="minorEastAsia"/>
                <w:color w:val="000000" w:themeColor="text1"/>
                <w:spacing w:val="4"/>
                <w:sz w:val="22"/>
                <w:szCs w:val="22"/>
                <w:highlight w:val="none"/>
                <w14:textFill>
                  <w14:solidFill>
                    <w14:schemeClr w14:val="tx1"/>
                  </w14:solidFill>
                </w14:textFill>
              </w:rPr>
              <w:t>（如遇非交易日顺延至下一个交易日），如产品提前终止或延长，实际到期日以产品管理人实际公告为准。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在本理财产品存续期间发生任一理财产品终止事件的，本理财产品有可能终止。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理财产品终止日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指本理财产品终止之日，根据实际情况，是指本理财产品预计到期日，或管理人根据本《产品说明书》约定宣布本理财产品早于预计到期日而终止之日，或宣布本理财产品延长后的实际终止之日。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color w:val="000000" w:themeColor="text1"/>
                <w:sz w:val="22"/>
                <w:szCs w:val="22"/>
                <w:highlight w:val="none"/>
                <w14:textFill>
                  <w14:solidFill>
                    <w14:schemeClr w14:val="tx1"/>
                  </w14:solidFill>
                </w14:textFill>
              </w:rPr>
              <w:t>资金到账日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00000" w:themeColor="text1"/>
                <w:sz w:val="22"/>
                <w:szCs w:val="22"/>
                <w:highlight w:val="none"/>
                <w14:textFill>
                  <w14:solidFill>
                    <w14:schemeClr w14:val="tx1"/>
                  </w14:solidFill>
                </w14:textFill>
              </w:rPr>
              <w:t>本理财产品终止日后的5个工作日内转入投资者账户（如有延期，将在本理财产品说明书约定渠道向本理财产品投资者进行披露）。终止日至资金实际到账日之间，资金不计付收益。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认购渠道</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投资者可通过销售服务机构手机银行APP或者管理人认可的其他方式办理认购本理财产品份额。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申购、赎回</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b/>
                <w:sz w:val="22"/>
                <w:szCs w:val="22"/>
                <w:highlight w:val="none"/>
              </w:rPr>
            </w:pPr>
            <w:r>
              <w:rPr>
                <w:rFonts w:ascii="Arial" w:hAnsi="Arial" w:cs="Arial" w:eastAsiaTheme="minorEastAsia"/>
                <w:b/>
                <w:color w:val="000000" w:themeColor="text1"/>
                <w:spacing w:val="4"/>
                <w:sz w:val="22"/>
                <w:szCs w:val="22"/>
                <w:highlight w:val="none"/>
                <w14:textFill>
                  <w14:solidFill>
                    <w14:schemeClr w14:val="tx1"/>
                  </w14:solidFill>
                </w14:textFill>
              </w:rPr>
              <w:t>本理财产品为封闭式产品，产品存续期内不开放申购和赎回。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工作日</w:t>
            </w:r>
          </w:p>
        </w:tc>
        <w:tc>
          <w:tcPr>
            <w:tcW w:w="6837" w:type="dxa"/>
            <w:shd w:val="clear" w:color="auto" w:fill="auto"/>
            <w:tcMar>
              <w:top w:w="15" w:type="dxa"/>
              <w:left w:w="15" w:type="dxa"/>
              <w:bottom w:w="0" w:type="dxa"/>
              <w:right w:w="15" w:type="dxa"/>
            </w:tcMar>
            <w:vAlign w:val="center"/>
          </w:tcPr>
          <w:p>
            <w:pPr>
              <w:snapToGrid w:val="0"/>
              <w:ind w:left="105" w:leftChars="50" w:right="105" w:rightChars="5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指除周六、周日和中国的法定节假日外的其他日。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交易日</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pacing w:val="4"/>
                <w:sz w:val="22"/>
                <w:szCs w:val="22"/>
                <w:highlight w:val="none"/>
              </w:rPr>
            </w:pPr>
            <w:r>
              <w:rPr>
                <w:rFonts w:ascii="Arial" w:hAnsi="Arial" w:cs="Arial" w:eastAsiaTheme="minorEastAsia"/>
                <w:sz w:val="22"/>
                <w:szCs w:val="22"/>
                <w:highlight w:val="none"/>
              </w:rPr>
              <w:t>指上海证券交易所、深圳证券交易所及全国银行间债券市场同时开放交易的工作日。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估值日</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本理财产品存续期间，管理人在每个交易日进行估值，经产品托管人复核无误后，由管理人每周进行公告。</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以上规则如有调整，以产品管理人的公告为准。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提前终止</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管理人有权按照监管要求或实际投资情况终止本理财产品，并至少于终止日前进行信息披露。原则上终止后5个工作日内将投资者理财资金划入投资者指定资金账户（如有延期，将在本理财产品说明书约定渠道向本理财产品投资者进行披露）。自终止日起资金不计付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sz w:val="22"/>
                <w:szCs w:val="22"/>
                <w:highlight w:val="none"/>
              </w:rPr>
            </w:pPr>
            <w:r>
              <w:rPr>
                <w:rFonts w:ascii="Arial" w:hAnsi="Arial" w:cs="Arial" w:eastAsiaTheme="minorEastAsia"/>
                <w:b/>
                <w:sz w:val="22"/>
                <w:szCs w:val="22"/>
                <w:highlight w:val="none"/>
              </w:rPr>
              <w:t>税款</w:t>
            </w:r>
          </w:p>
        </w:tc>
        <w:tc>
          <w:tcPr>
            <w:tcW w:w="6837" w:type="dxa"/>
            <w:shd w:val="clear" w:color="auto" w:fill="auto"/>
            <w:tcMar>
              <w:top w:w="15" w:type="dxa"/>
              <w:left w:w="15" w:type="dxa"/>
              <w:bottom w:w="0" w:type="dxa"/>
              <w:right w:w="15" w:type="dxa"/>
            </w:tcMa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追索条款</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若本理财产品所投资的金融产品到期不能全部偿付导致资产减值甚至本金大幅损失，管理人将首先按照本理财产品投资的实际回收资金按照协议约定顺序支付理财本金和收益（如有），差额部分向相关责任人追偿，</w:t>
            </w:r>
            <w:r>
              <w:rPr>
                <w:rFonts w:ascii="Arial" w:hAnsi="Arial" w:cs="Arial" w:eastAsiaTheme="minorEastAsia"/>
                <w:color w:val="000000" w:themeColor="text1"/>
                <w:sz w:val="22"/>
                <w:szCs w:val="22"/>
                <w:highlight w:val="none"/>
                <w14:textFill>
                  <w14:solidFill>
                    <w14:schemeClr w14:val="tx1"/>
                  </w14:solidFill>
                </w14:textFill>
              </w:rPr>
              <w:t>管理人</w:t>
            </w:r>
            <w:r>
              <w:rPr>
                <w:rFonts w:ascii="Arial" w:hAnsi="Arial" w:cs="Arial" w:eastAsiaTheme="minorEastAsia"/>
                <w:sz w:val="22"/>
                <w:szCs w:val="22"/>
                <w:highlight w:val="none"/>
              </w:rPr>
              <w:t>取得追索资金后5个交易日内扣除相关费用后向相关投资者进行支付。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不可抗力</w:t>
            </w:r>
          </w:p>
        </w:tc>
        <w:tc>
          <w:tcPr>
            <w:tcW w:w="6837" w:type="dxa"/>
            <w:shd w:val="clear" w:color="auto" w:fill="auto"/>
            <w:tcMar>
              <w:top w:w="15" w:type="dxa"/>
              <w:left w:w="15" w:type="dxa"/>
              <w:bottom w:w="0" w:type="dxa"/>
              <w:right w:w="15" w:type="dxa"/>
            </w:tcMar>
            <w:vAlign w:val="center"/>
          </w:tcPr>
          <w:p>
            <w:pPr>
              <w:spacing w:line="360" w:lineRule="auto"/>
              <w:ind w:left="122" w:leftChars="50" w:right="105" w:rightChars="50" w:hanging="17"/>
              <w:rPr>
                <w:rFonts w:ascii="Arial" w:hAnsi="Arial" w:cs="Arial" w:eastAsiaTheme="minorEastAsia"/>
                <w:sz w:val="22"/>
                <w:szCs w:val="22"/>
                <w:highlight w:val="none"/>
              </w:rPr>
            </w:pPr>
            <w:r>
              <w:rPr>
                <w:rFonts w:ascii="Arial" w:hAnsi="Arial" w:cs="Arial" w:eastAsiaTheme="minorEastAsia"/>
                <w:color w:val="000000"/>
                <w:sz w:val="22"/>
                <w:szCs w:val="22"/>
                <w:highlight w:val="none"/>
              </w:rPr>
              <w:t>指本理财产品当事人不能预见、不能避免且不能克服的客观情况。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0" w:hRule="atLeast"/>
          <w:jc w:val="center"/>
        </w:trPr>
        <w:tc>
          <w:tcPr>
            <w:tcW w:w="2122" w:type="dxa"/>
            <w:shd w:val="clear" w:color="auto" w:fill="auto"/>
            <w:noWrap/>
            <w:tcMar>
              <w:top w:w="15" w:type="dxa"/>
              <w:left w:w="15" w:type="dxa"/>
              <w:bottom w:w="0" w:type="dxa"/>
              <w:right w:w="15" w:type="dxa"/>
            </w:tcMar>
            <w:vAlign w:val="center"/>
          </w:tcPr>
          <w:p>
            <w:pPr>
              <w:spacing w:line="360" w:lineRule="auto"/>
              <w:jc w:val="center"/>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其他规定</w:t>
            </w:r>
          </w:p>
        </w:tc>
        <w:tc>
          <w:tcPr>
            <w:tcW w:w="6837" w:type="dxa"/>
            <w:shd w:val="clear" w:color="auto" w:fill="auto"/>
            <w:tcMar>
              <w:top w:w="15" w:type="dxa"/>
              <w:left w:w="15" w:type="dxa"/>
              <w:bottom w:w="0" w:type="dxa"/>
              <w:right w:w="15" w:type="dxa"/>
            </w:tcMar>
            <w:vAlign w:val="center"/>
          </w:tcPr>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产品认购期、认购登记日、产品成立日、提前终止日等日期，管理人有权根据节假日进行调整，并以实际公</w:t>
            </w:r>
            <w:r>
              <w:rPr>
                <w:rFonts w:hint="eastAsia" w:ascii="Arial" w:hAnsi="Arial" w:cs="Arial" w:eastAsiaTheme="minorEastAsia"/>
                <w:sz w:val="22"/>
                <w:szCs w:val="22"/>
                <w:highlight w:val="none"/>
              </w:rPr>
              <w:t>告</w:t>
            </w:r>
            <w:r>
              <w:rPr>
                <w:rFonts w:ascii="Arial" w:hAnsi="Arial" w:cs="Arial" w:eastAsiaTheme="minorEastAsia"/>
                <w:sz w:val="22"/>
                <w:szCs w:val="22"/>
                <w:highlight w:val="none"/>
              </w:rPr>
              <w:t>为准。</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本理财产品认购登记日至成立日为认购清算期，理财产品终止日/提前终止日至资金到账日为终止清算期（若本理财产品提前终止），上述清算期内均不计付收益。清算期最后一日逢节假日非交易日则顺延至下一交易日。</w:t>
            </w:r>
          </w:p>
          <w:p>
            <w:pPr>
              <w:spacing w:line="360" w:lineRule="auto"/>
              <w:ind w:left="105" w:leftChars="50" w:right="105" w:rightChars="50"/>
              <w:rPr>
                <w:rFonts w:ascii="Arial" w:hAnsi="Arial" w:cs="Arial" w:eastAsiaTheme="minorEastAsia"/>
                <w:sz w:val="22"/>
                <w:szCs w:val="22"/>
                <w:highlight w:val="none"/>
              </w:rPr>
            </w:pPr>
            <w:r>
              <w:rPr>
                <w:rFonts w:ascii="Arial" w:hAnsi="Arial" w:cs="Arial" w:eastAsiaTheme="minorEastAsia"/>
                <w:sz w:val="22"/>
                <w:szCs w:val="22"/>
                <w:highlight w:val="none"/>
              </w:rPr>
              <w:t>发生暂停认购，本理财产品宣布不成立等情形时，管理人将按照本理财产品说明书约定的信息披露方式进行公告。如果因发生前述情形导致投资者的认购申请被拒绝，被拒绝的认购款项将退还给投资者，管理人不负责承担投资者由此产生的利息等损失。在暂停认购的情况消除时，管理人将及时恢复认购业务的办理。</w:t>
            </w:r>
          </w:p>
        </w:tc>
      </w:tr>
    </w:tbl>
    <w:p>
      <w:pPr>
        <w:spacing w:line="360" w:lineRule="auto"/>
        <w:ind w:firstLine="458" w:firstLineChars="200"/>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在本理财产品存续期内，如因监管政策与规定发生变化，管理人有权单方对本理财产品销售文件条款进行修改。管理人对于本理财产品销售文件条款的修改对投资者权益产生重大影响的，应当按照本理财产品说明书约定开设临时开放期，以供投资者提前赎回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产品投资</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（一）投资范围及投资比例</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一般性存款</w:t>
      </w:r>
      <w:r>
        <w:rPr>
          <w:rFonts w:ascii="Arial" w:hAnsi="Arial" w:cs="Arial" w:eastAsiaTheme="minorEastAsia"/>
          <w:color w:val="000000"/>
          <w:spacing w:val="-2"/>
          <w:sz w:val="22"/>
          <w:highlight w:val="none"/>
        </w:rPr>
        <w:t>、结构性存款、同业存单、货币市场工具、债券、货币市场基金、债券基金、债券质押式及买断式回购、资产支持证券、可转换债券、可交换债券、理财直接融资工具、</w:t>
      </w:r>
      <w:r>
        <w:rPr>
          <w:rFonts w:ascii="Arial" w:hAnsi="Arial" w:cs="Arial" w:eastAsiaTheme="minorEastAsia"/>
          <w:color w:val="000000"/>
          <w:spacing w:val="-2"/>
          <w:sz w:val="22"/>
          <w:szCs w:val="22"/>
          <w:highlight w:val="none"/>
        </w:rPr>
        <w:t>收益凭证、</w:t>
      </w:r>
      <w:r>
        <w:rPr>
          <w:rFonts w:ascii="Arial" w:hAnsi="Arial" w:cs="Arial" w:eastAsiaTheme="minorEastAsia"/>
          <w:color w:val="000000"/>
          <w:spacing w:val="-2"/>
          <w:sz w:val="22"/>
          <w:highlight w:val="none"/>
        </w:rPr>
        <w:t>其他非标准化债权类资产，</w:t>
      </w:r>
      <w:r>
        <w:rPr>
          <w:rFonts w:ascii="Arial" w:hAnsi="Arial" w:cs="Arial" w:eastAsiaTheme="minorEastAsia"/>
          <w:color w:val="000000"/>
          <w:spacing w:val="-2"/>
          <w:sz w:val="22"/>
          <w:szCs w:val="22"/>
          <w:highlight w:val="none"/>
        </w:rPr>
        <w:t>以上述资产为主要投资范围的资产管理产品（包括但不限于公募基金</w:t>
      </w:r>
      <w:r>
        <w:rPr>
          <w:rFonts w:ascii="Arial" w:hAnsi="Arial" w:cs="Arial" w:eastAsiaTheme="minorEastAsia"/>
          <w:color w:val="000000"/>
          <w:spacing w:val="-2"/>
          <w:sz w:val="22"/>
          <w:highlight w:val="none"/>
        </w:rPr>
        <w:t>、信托计划、</w:t>
      </w:r>
      <w:r>
        <w:rPr>
          <w:rFonts w:ascii="Arial" w:hAnsi="Arial" w:cs="Arial" w:eastAsiaTheme="minorEastAsia"/>
          <w:color w:val="000000"/>
          <w:spacing w:val="-2"/>
          <w:sz w:val="22"/>
          <w:szCs w:val="22"/>
          <w:highlight w:val="none"/>
        </w:rPr>
        <w:t>资产管理计划等，下同），</w:t>
      </w:r>
      <w:r>
        <w:rPr>
          <w:rFonts w:ascii="Arial" w:hAnsi="Arial" w:cs="Arial" w:eastAsiaTheme="minorEastAsia"/>
          <w:color w:val="000000"/>
          <w:spacing w:val="-2"/>
          <w:sz w:val="22"/>
          <w:highlight w:val="none"/>
        </w:rPr>
        <w:t>及其他符合监管要求的债权类资产。</w:t>
      </w:r>
      <w:r>
        <w:rPr>
          <w:rFonts w:ascii="Arial" w:hAnsi="Arial" w:cs="Arial" w:eastAsiaTheme="minorEastAsia"/>
          <w:color w:val="000000"/>
          <w:spacing w:val="-2"/>
          <w:sz w:val="22"/>
          <w:szCs w:val="22"/>
          <w:highlight w:val="none"/>
        </w:rPr>
        <w:t>以上资产的投资比例不低于80%，非标准化债权类资产的投资比例不高于49%。</w:t>
      </w:r>
    </w:p>
    <w:p>
      <w:pPr>
        <w:numPr>
          <w:ilvl w:val="0"/>
          <w:numId w:val="3"/>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优先股，权益类、混合类资产管理产品等，及其他符合监管要求的权益类资产。以上资产的投资比例小于20%。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szCs w:val="22"/>
          <w:highlight w:val="none"/>
        </w:rPr>
        <w:t>以对冲风险为目的投资国债期货、利率互换</w:t>
      </w:r>
      <w:r>
        <w:rPr>
          <w:rFonts w:ascii="Arial" w:hAnsi="Arial" w:cs="Arial" w:eastAsiaTheme="minorEastAsia"/>
          <w:color w:val="000000"/>
          <w:spacing w:val="-2"/>
          <w:sz w:val="22"/>
          <w:highlight w:val="none"/>
        </w:rPr>
        <w:t>、远期合约、掉期合约、</w:t>
      </w:r>
      <w:r>
        <w:rPr>
          <w:rFonts w:ascii="Arial" w:hAnsi="Arial" w:cs="Arial" w:eastAsiaTheme="minorEastAsia"/>
          <w:color w:val="000000"/>
          <w:spacing w:val="-2"/>
          <w:sz w:val="22"/>
          <w:szCs w:val="22"/>
          <w:highlight w:val="none"/>
        </w:rPr>
        <w:t>互换合约、场外期权等商品及金融衍生品（本理财产品管理人在直接投资于商品及金融衍生品类资产前</w:t>
      </w:r>
      <w:r>
        <w:rPr>
          <w:rFonts w:ascii="Arial" w:hAnsi="Arial" w:cs="Arial" w:eastAsiaTheme="minorEastAsia"/>
          <w:color w:val="000000"/>
          <w:spacing w:val="-2"/>
          <w:sz w:val="22"/>
          <w:highlight w:val="none"/>
        </w:rPr>
        <w:t>，需先获得相应的衍生产品交易资格</w:t>
      </w:r>
      <w:r>
        <w:rPr>
          <w:rFonts w:ascii="Arial" w:hAnsi="Arial" w:cs="Arial" w:eastAsiaTheme="minorEastAsia"/>
          <w:color w:val="000000"/>
          <w:spacing w:val="-2"/>
          <w:sz w:val="22"/>
          <w:szCs w:val="22"/>
          <w:highlight w:val="none"/>
        </w:rPr>
        <w:t>），商品及金融衍生品类资产管理产品，及其他符合监管要求的商品及金融衍生品类资产。以上资产的投资比例小于20%。</w:t>
      </w:r>
    </w:p>
    <w:p>
      <w:pPr>
        <w:numPr>
          <w:ilvl w:val="0"/>
          <w:numId w:val="3"/>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投资于境外金融资产和金融工具的QDII资产管理产品。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本理财产品的上述投资范围将有可能随国家法律法规及监管政策的变化而产生变化，如投资范围等发生变化，产品管理人将于新的投资范围开始实施日前5个工作日公告。投资者若对此有异议，可申请赎回。投资者在公告后5个工作日内未提出赎回申请的视同无异议，继续持有本理财产品。</w:t>
      </w:r>
    </w:p>
    <w:p>
      <w:pPr>
        <w:snapToGrid w:val="0"/>
        <w:spacing w:line="360" w:lineRule="auto"/>
        <w:ind w:firstLine="456"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4"/>
          <w:sz w:val="22"/>
          <w:szCs w:val="22"/>
          <w:highlight w:val="none"/>
        </w:rPr>
        <w:t>非因管理人主观因素导致突破前述比例限制的，管理人将尽力在流动性受限资产可出售、可转让或者恢复交易的15个交易日内将理财产品投资比例调整至符合相关要求。</w:t>
      </w:r>
    </w:p>
    <w:p>
      <w:pPr>
        <w:snapToGrid w:val="0"/>
        <w:spacing w:line="360" w:lineRule="auto"/>
        <w:ind w:firstLine="434" w:firstLineChars="200"/>
        <w:rPr>
          <w:rFonts w:ascii="Arial" w:hAnsi="Arial" w:cs="Arial" w:eastAsiaTheme="minorEastAsia"/>
          <w:b/>
          <w:color w:val="000000" w:themeColor="text1"/>
          <w:spacing w:val="-2"/>
          <w:sz w:val="22"/>
          <w:highlight w:val="none"/>
          <w14:textFill>
            <w14:solidFill>
              <w14:schemeClr w14:val="tx1"/>
            </w14:solidFill>
          </w14:textFill>
        </w:rPr>
      </w:pPr>
      <w:r>
        <w:rPr>
          <w:rFonts w:ascii="Arial" w:hAnsi="Arial" w:cs="Arial" w:eastAsiaTheme="minorEastAsia"/>
          <w:b/>
          <w:color w:val="000000" w:themeColor="text1"/>
          <w:spacing w:val="-2"/>
          <w:sz w:val="22"/>
          <w:highlight w:val="none"/>
          <w14:textFill>
            <w14:solidFill>
              <w14:schemeClr w14:val="tx1"/>
            </w14:solidFill>
          </w14:textFill>
        </w:rPr>
        <w:t>（二）投资限制</w:t>
      </w:r>
    </w:p>
    <w:p>
      <w:pPr>
        <w:numPr>
          <w:ilvl w:val="0"/>
          <w:numId w:val="4"/>
        </w:numPr>
        <w:snapToGrid w:val="0"/>
        <w:spacing w:line="360" w:lineRule="auto"/>
        <w:ind w:left="0" w:firstLine="432" w:firstLineChars="200"/>
        <w:rPr>
          <w:rFonts w:ascii="Arial" w:hAnsi="Arial" w:cs="Arial" w:eastAsiaTheme="minorEastAsia"/>
          <w:color w:val="000000"/>
          <w:spacing w:val="-2"/>
          <w:sz w:val="22"/>
          <w:highlight w:val="none"/>
        </w:rPr>
      </w:pPr>
      <w:r>
        <w:rPr>
          <w:rFonts w:ascii="Arial" w:hAnsi="Arial" w:cs="Arial" w:eastAsiaTheme="minorEastAsia"/>
          <w:color w:val="000000"/>
          <w:spacing w:val="-2"/>
          <w:sz w:val="22"/>
          <w:highlight w:val="none"/>
        </w:rPr>
        <w:t>本理财产品的杠杆水平不超过200%。</w:t>
      </w:r>
    </w:p>
    <w:p>
      <w:pPr>
        <w:numPr>
          <w:ilvl w:val="0"/>
          <w:numId w:val="4"/>
        </w:numPr>
        <w:snapToGrid w:val="0"/>
        <w:spacing w:line="360" w:lineRule="auto"/>
        <w:ind w:left="0" w:firstLine="432" w:firstLineChars="200"/>
        <w:rPr>
          <w:rFonts w:ascii="Arial" w:hAnsi="Arial" w:cs="Arial" w:eastAsiaTheme="minorEastAsia"/>
          <w:color w:val="000000"/>
          <w:spacing w:val="-2"/>
          <w:sz w:val="22"/>
          <w:szCs w:val="22"/>
          <w:highlight w:val="none"/>
        </w:rPr>
      </w:pPr>
      <w:r>
        <w:rPr>
          <w:rFonts w:ascii="Arial" w:hAnsi="Arial" w:cs="Arial" w:eastAsiaTheme="minorEastAsia"/>
          <w:color w:val="000000"/>
          <w:spacing w:val="-2"/>
          <w:sz w:val="22"/>
          <w:szCs w:val="22"/>
          <w:highlight w:val="none"/>
        </w:rPr>
        <w:t>本理财产品投资于单只证券、单只公募证券投资基金的市值不超过本产品净资产的10%。本理财产品投资于国债、地方政府债券、中央银行票据、政府机构债券、政策性金融债券的除外。</w:t>
      </w:r>
    </w:p>
    <w:p>
      <w:pPr>
        <w:snapToGrid w:val="0"/>
        <w:spacing w:line="360" w:lineRule="auto"/>
        <w:ind w:firstLine="432" w:firstLineChars="200"/>
        <w:rPr>
          <w:rFonts w:ascii="Arial" w:hAnsi="Arial" w:cs="Arial" w:eastAsiaTheme="minorEastAsia"/>
          <w:color w:val="000000"/>
          <w:spacing w:val="4"/>
          <w:sz w:val="22"/>
          <w:szCs w:val="22"/>
          <w:highlight w:val="none"/>
        </w:rPr>
      </w:pPr>
      <w:r>
        <w:rPr>
          <w:rFonts w:ascii="Arial" w:hAnsi="Arial" w:cs="Arial" w:eastAsiaTheme="minorEastAsia"/>
          <w:color w:val="000000"/>
          <w:spacing w:val="-2"/>
          <w:sz w:val="22"/>
          <w:szCs w:val="22"/>
          <w:highlight w:val="none"/>
        </w:rPr>
        <w:t>非因管理人主观因素致使不符合前述第2条比例限制的，管理人将在流动性受限资产可出售、可转让或者恢复交易的10个交易日内调整至符合相关要求，国务院银行业监督管理机构规定的特殊情形除外。</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产品管理人、托管人和销售服务机构</w:t>
      </w:r>
    </w:p>
    <w:p>
      <w:pPr>
        <w:widowControl/>
        <w:numPr>
          <w:ilvl w:val="0"/>
          <w:numId w:val="5"/>
        </w:numPr>
        <w:spacing w:line="360" w:lineRule="auto"/>
        <w:ind w:firstLine="442" w:firstLineChars="200"/>
        <w:rPr>
          <w:rFonts w:ascii="Arial" w:hAnsi="Arial" w:cs="Arial" w:eastAsiaTheme="minorEastAsia"/>
          <w:b/>
          <w:bCs/>
          <w:color w:val="000000"/>
          <w:sz w:val="22"/>
          <w:szCs w:val="22"/>
          <w:highlight w:val="none"/>
        </w:rPr>
      </w:pPr>
      <w:r>
        <w:rPr>
          <w:rFonts w:ascii="Arial" w:hAnsi="Arial" w:cs="Arial" w:eastAsiaTheme="minorEastAsia"/>
          <w:b/>
          <w:bCs/>
          <w:color w:val="000000"/>
          <w:sz w:val="22"/>
          <w:szCs w:val="22"/>
          <w:highlight w:val="none"/>
        </w:rPr>
        <w:t>产品管理人：平安理财有限责任公司。</w:t>
      </w:r>
      <w:r>
        <w:rPr>
          <w:rFonts w:ascii="Arial" w:hAnsi="Arial" w:cs="Arial" w:eastAsiaTheme="minorEastAsia"/>
          <w:sz w:val="22"/>
          <w:szCs w:val="22"/>
          <w:highlight w:val="none"/>
        </w:rPr>
        <w:t xml:space="preserve">管理人负责本理财产品的投资运作和产品管理，投资者在此授权并同意管理人享有以下权利：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按照本理财产品销售文件的约定，管理、运用和处分本理财产品资金；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管理人有权根据本理财产品销售文件的约定提前终止或延长本理财产品的期限；</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管理人有权调整本理财产品的认购起点、单笔认购上限等要素；</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管理人有权按照法律规定和监管机构的要求将投资者的信息向有权部门或相关机构披露；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以产品管理人的名义，依照法律法规相关规定、本理财产品销售文件的约定以及为本理财产品的利益，对被投资的资管计划/产品、各类基金、公司/企业等行使出资人/投资者权利（包括但不限于表决投票的权利）以及行使因本理财产品财产投资于证券类基础资产（含债券、股票等）或其他基础资产（包括但不限于债权类资产）所产生的相关权利； </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以产品管理人的名义，依照法律法规相关规定、本理财产品销售文件的约定以及代表本理财产品份额持有人的利益行使代为追索的权利（包括但不限于提起诉讼/仲裁、申请保全/执行的权利）或者实施其他风险处置，行使、放弃、变更相关权利义务等法律行为；</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在法律法规、监管政策允许的前提下调整估值日；</w:t>
      </w:r>
    </w:p>
    <w:p>
      <w:pPr>
        <w:widowControl/>
        <w:numPr>
          <w:ilvl w:val="0"/>
          <w:numId w:val="6"/>
        </w:numPr>
        <w:spacing w:line="360" w:lineRule="auto"/>
        <w:ind w:left="0"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法律法规、监管规则规定及本理财产品销售文件约定赋予管理人的其他权利。</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bCs/>
          <w:color w:val="000000"/>
          <w:sz w:val="22"/>
          <w:szCs w:val="22"/>
          <w:highlight w:val="none"/>
        </w:rPr>
        <w:t>产品</w:t>
      </w:r>
      <w:r>
        <w:rPr>
          <w:rFonts w:ascii="Arial" w:hAnsi="Arial" w:cs="Arial" w:eastAsiaTheme="minorEastAsia"/>
          <w:b/>
          <w:sz w:val="22"/>
          <w:szCs w:val="22"/>
          <w:highlight w:val="none"/>
        </w:rPr>
        <w:t>托管人：</w:t>
      </w:r>
      <w:r>
        <w:rPr>
          <w:rFonts w:hint="eastAsia" w:asciiTheme="minorEastAsia" w:hAnsiTheme="minorEastAsia" w:eastAsiaTheme="minorEastAsia" w:cstheme="minorEastAsia"/>
          <w:b/>
          <w:bCs/>
          <w:sz w:val="22"/>
          <w:szCs w:val="22"/>
          <w:highlight w:val="none"/>
        </w:rPr>
        <w:t>平安银行股份有限公司</w:t>
      </w:r>
      <w:r>
        <w:rPr>
          <w:rFonts w:ascii="Arial" w:hAnsi="Arial" w:cs="Arial" w:eastAsiaTheme="minorEastAsia"/>
          <w:sz w:val="22"/>
          <w:szCs w:val="22"/>
          <w:highlight w:val="none"/>
        </w:rPr>
        <w:t>。产品托管人基本信息及主要职责如下：</w:t>
      </w:r>
    </w:p>
    <w:tbl>
      <w:tblPr>
        <w:tblStyle w:val="9"/>
        <w:tblW w:w="8890"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0"/>
        <w:gridCol w:w="7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产品托管人</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平安银行股份有限公司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成立时间</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1987年12月22日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rPr>
              <w:t>住所</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深圳市罗湖区深南东路5047号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0" w:type="dxa"/>
          </w:tcPr>
          <w:p>
            <w:pPr>
              <w:widowControl/>
              <w:spacing w:line="360" w:lineRule="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主要职责</w:t>
            </w:r>
          </w:p>
        </w:tc>
        <w:tc>
          <w:tcPr>
            <w:tcW w:w="7520" w:type="dxa"/>
          </w:tcPr>
          <w:p>
            <w:pPr>
              <w:widowControl/>
              <w:spacing w:line="360" w:lineRule="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提供包括账户开立、资金保管、资金清算、估值核算等本理财产品托管服务。</w:t>
            </w:r>
          </w:p>
        </w:tc>
      </w:tr>
    </w:tbl>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 </w:t>
      </w:r>
    </w:p>
    <w:p>
      <w:pPr>
        <w:widowControl/>
        <w:numPr>
          <w:ilvl w:val="0"/>
          <w:numId w:val="5"/>
        </w:num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销售服务机构：指产品管理人以及符合《理财公司理财产品销售管理暂行办法》和国家金融监督管理总局规定，办理理财产品销售业务的机构。</w:t>
      </w:r>
      <w:r>
        <w:rPr>
          <w:rFonts w:ascii="Arial" w:hAnsi="Arial" w:cs="Arial" w:eastAsiaTheme="minorEastAsia"/>
          <w:sz w:val="22"/>
          <w:szCs w:val="22"/>
          <w:highlight w:val="none"/>
        </w:rPr>
        <w:t>销售服务机构的主要职责为提供包括本理财产品宣传推广，投资者风险承受能力评估和投资者适当性管理，客户身份识别、尽职调查等反洗钱、反恐怖融资、反扩散融资及非居民金融账户涉税信息尽职调查等工作；份额认购、协助管理人与投资者签署本理财产品销售文件、协助投资者与管理人沟通和客户维护等销售服务。</w:t>
      </w:r>
    </w:p>
    <w:p>
      <w:pPr>
        <w:widowControl/>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本理财产品销售服务机构的基本信息如下：</w:t>
      </w:r>
    </w:p>
    <w:tbl>
      <w:tblPr>
        <w:tblStyle w:val="8"/>
        <w:tblW w:w="8500" w:type="dxa"/>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76"/>
        <w:gridCol w:w="1676"/>
        <w:gridCol w:w="514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Align w:val="center"/>
          </w:tcPr>
          <w:p>
            <w:pPr>
              <w:jc w:val="left"/>
              <w:rPr>
                <w:highlight w:val="none"/>
              </w:rPr>
            </w:pPr>
            <w:r>
              <w:rPr>
                <w:rFonts w:ascii="宋体" w:hAnsi="宋体" w:cs="宋体"/>
                <w:b/>
                <w:sz w:val="22"/>
                <w:highlight w:val="none"/>
              </w:rPr>
              <w:t>销售服务机构</w:t>
            </w:r>
          </w:p>
        </w:tc>
        <w:tc>
          <w:tcPr>
            <w:tcW w:w="500" w:type="dxa"/>
            <w:gridSpan w:val="2"/>
            <w:vAlign w:val="center"/>
          </w:tcPr>
          <w:p>
            <w:pPr>
              <w:jc w:val="left"/>
              <w:rPr>
                <w:highlight w:val="none"/>
              </w:rPr>
            </w:pPr>
            <w:r>
              <w:rPr>
                <w:rFonts w:ascii="宋体" w:hAnsi="宋体" w:cs="宋体"/>
                <w:b/>
                <w:sz w:val="22"/>
                <w:highlight w:val="none"/>
              </w:rPr>
              <w:t>基本信息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佛山农村商业银行股份有限公司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2007年3月13日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广东省佛山市禅城区华远东路5号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96138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浙江舟山定海海洋农村商业银行股份有限公司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1994年11月23日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浙江省舟山市定海区环城东路81号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0580-2030956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湖州吴兴农村商业银行股份有限公司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2005年7月16日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浙江省湖州市东街55号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 xml:space="preserve"> 96596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浙商银行股份有限公司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1993年4月16日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浙江省杭州市萧山区鸿宁路1788号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95527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平安银行股份有限公司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1987年12月22日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深圳市罗湖区深南东路5047号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95511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浙江长兴农村商业银行有限公司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2005年3月31日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浙江省湖州市长兴县太湖街道明珠路1298号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 xml:space="preserve"> 96596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徽商银行股份有限公司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1997年4月4日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安徽省合肥市云谷路1699号徽银大厦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4008896588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苏州银行股份有限公司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2004年12月24日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中国（江苏）自由贸易试验区苏州片区苏州工业园区钟园路728号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96067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富邦华一银行有限公司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1997年3月20日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上海市中国（上海）自有贸易试验区世纪大道1168号A座</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021-962811</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中国银行股份有限公司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1983年10月31日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北京市西城区复兴门内大街1号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95566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华夏银行股份有限公司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1992年10月14日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北京市东城区建国门内大街22号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95577</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交通银行股份有限公司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1987年3月30日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中国（上海）自由贸易试验区银城中路188号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95559</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上海浦东发展银行股份有限公司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1992年10月19日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上海市中山东一路12号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95528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张家口银行股份有限公司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2003年3月8日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河北省张家口市桥东区胜利北路51号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4006896368</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浙江乐清农村商业银行股份有限公司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2005年5月19日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浙江省乐清市城南街道伯乐西路99号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96596</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500" w:type="dxa"/>
            <w:vMerge w:val="restart"/>
            <w:vAlign w:val="center"/>
          </w:tcPr>
          <w:p>
            <w:pPr>
              <w:jc w:val="left"/>
              <w:rPr>
                <w:highlight w:val="none"/>
              </w:rPr>
            </w:pPr>
            <w:r>
              <w:rPr>
                <w:rFonts w:ascii="宋体" w:hAnsi="宋体" w:cs="宋体"/>
                <w:b/>
                <w:sz w:val="22"/>
                <w:highlight w:val="none"/>
              </w:rPr>
              <w:t>浙江德清农村商业银行股份有限公司</w:t>
            </w:r>
          </w:p>
        </w:tc>
        <w:tc>
          <w:tcPr>
            <w:tcW w:w="500" w:type="dxa"/>
            <w:vAlign w:val="center"/>
          </w:tcPr>
          <w:p>
            <w:pPr>
              <w:jc w:val="left"/>
              <w:rPr>
                <w:highlight w:val="none"/>
              </w:rPr>
            </w:pPr>
            <w:r>
              <w:rPr>
                <w:rFonts w:ascii="宋体" w:hAnsi="宋体" w:cs="宋体"/>
                <w:sz w:val="22"/>
                <w:highlight w:val="none"/>
              </w:rPr>
              <w:t>成立时间</w:t>
            </w:r>
          </w:p>
        </w:tc>
        <w:tc>
          <w:tcPr>
            <w:tcW w:w="500" w:type="dxa"/>
            <w:vAlign w:val="center"/>
          </w:tcPr>
          <w:p>
            <w:pPr>
              <w:jc w:val="left"/>
              <w:rPr>
                <w:highlight w:val="none"/>
              </w:rPr>
            </w:pPr>
            <w:r>
              <w:rPr>
                <w:rFonts w:ascii="宋体" w:hAnsi="宋体" w:cs="宋体"/>
                <w:sz w:val="22"/>
                <w:highlight w:val="none"/>
              </w:rPr>
              <w:t>2008年8月21日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住所</w:t>
            </w:r>
          </w:p>
        </w:tc>
        <w:tc>
          <w:tcPr>
            <w:tcW w:w="500" w:type="dxa"/>
            <w:vAlign w:val="center"/>
          </w:tcPr>
          <w:p>
            <w:pPr>
              <w:jc w:val="left"/>
              <w:rPr>
                <w:highlight w:val="none"/>
              </w:rPr>
            </w:pPr>
            <w:r>
              <w:rPr>
                <w:rFonts w:ascii="宋体" w:hAnsi="宋体" w:cs="宋体"/>
                <w:sz w:val="22"/>
                <w:highlight w:val="none"/>
              </w:rPr>
              <w:t>浙江省德清县武康街道沈长圩街50号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00" w:hRule="atLeast"/>
          <w:jc w:val="center"/>
        </w:trPr>
        <w:tc>
          <w:tcPr>
            <w:tcW w:w="0" w:type="auto"/>
            <w:vMerge w:val="continue"/>
          </w:tcPr>
          <w:p>
            <w:pPr>
              <w:rPr>
                <w:highlight w:val="none"/>
              </w:rPr>
            </w:pPr>
          </w:p>
        </w:tc>
        <w:tc>
          <w:tcPr>
            <w:tcW w:w="500" w:type="dxa"/>
            <w:vAlign w:val="center"/>
          </w:tcPr>
          <w:p>
            <w:pPr>
              <w:jc w:val="left"/>
              <w:rPr>
                <w:highlight w:val="none"/>
              </w:rPr>
            </w:pPr>
            <w:r>
              <w:rPr>
                <w:rFonts w:ascii="宋体" w:hAnsi="宋体" w:cs="宋体"/>
                <w:sz w:val="22"/>
                <w:highlight w:val="none"/>
              </w:rPr>
              <w:t>客户服务热线</w:t>
            </w:r>
          </w:p>
        </w:tc>
        <w:tc>
          <w:tcPr>
            <w:tcW w:w="500" w:type="dxa"/>
            <w:vAlign w:val="center"/>
          </w:tcPr>
          <w:p>
            <w:pPr>
              <w:jc w:val="left"/>
              <w:rPr>
                <w:highlight w:val="none"/>
              </w:rPr>
            </w:pPr>
            <w:r>
              <w:rPr>
                <w:rFonts w:ascii="宋体" w:hAnsi="宋体" w:cs="宋体"/>
                <w:sz w:val="22"/>
                <w:highlight w:val="none"/>
              </w:rPr>
              <w:t>96596</w:t>
            </w:r>
          </w:p>
        </w:tc>
      </w:tr>
    </w:tbl>
    <w:p>
      <w:pPr>
        <w:widowControl/>
        <w:spacing w:line="360" w:lineRule="auto"/>
        <w:ind w:firstLine="440" w:firstLineChars="200"/>
        <w:rPr>
          <w:rFonts w:ascii="Arial" w:hAnsi="Arial" w:cs="Arial" w:eastAsiaTheme="minorEastAsia"/>
          <w:highlight w:val="none"/>
        </w:rPr>
      </w:pPr>
      <w:r>
        <w:rPr>
          <w:rFonts w:ascii="Arial" w:hAnsi="Arial" w:cs="Arial" w:eastAsiaTheme="minorEastAsia"/>
          <w:sz w:val="22"/>
          <w:szCs w:val="22"/>
          <w:highlight w:val="none"/>
        </w:rPr>
        <w:t>如有新增销售服务机构，新增销售服务机构的基本信息以管理人公告为准。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交易规则</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理财产品认购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认购份额：本理财产品份额以“份”为单位，</w:t>
      </w:r>
      <w:r>
        <w:rPr>
          <w:rFonts w:hint="eastAsia" w:ascii="Arial" w:hAnsi="Arial" w:cs="Arial"/>
          <w:color w:val="000000"/>
          <w:sz w:val="22"/>
          <w:szCs w:val="22"/>
          <w:highlight w:val="none"/>
          <w:lang w:bidi="ar"/>
        </w:rPr>
        <w:t>认购期每份理财产品份额面值为人民币</w:t>
      </w:r>
      <w:r>
        <w:rPr>
          <w:rFonts w:ascii="Arial" w:hAnsi="Arial" w:cs="Arial"/>
          <w:color w:val="000000"/>
          <w:sz w:val="22"/>
          <w:szCs w:val="22"/>
          <w:highlight w:val="none"/>
          <w:lang w:bidi="ar"/>
        </w:rPr>
        <w:t>1</w:t>
      </w:r>
      <w:r>
        <w:rPr>
          <w:rFonts w:hint="eastAsia" w:ascii="Arial" w:hAnsi="Arial" w:cs="Arial"/>
          <w:color w:val="000000"/>
          <w:sz w:val="22"/>
          <w:szCs w:val="22"/>
          <w:highlight w:val="none"/>
          <w:lang w:bidi="ar"/>
        </w:rPr>
        <w:t>元</w:t>
      </w:r>
      <w:r>
        <w:rPr>
          <w:rFonts w:ascii="Arial" w:hAnsi="Arial" w:cs="Arial" w:eastAsiaTheme="minorEastAsia"/>
          <w:snapToGrid w:val="0"/>
          <w:color w:val="000000"/>
          <w:sz w:val="22"/>
          <w:szCs w:val="22"/>
          <w:highlight w:val="none"/>
        </w:rPr>
        <w:t xml:space="preserve">。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认购期：</w:t>
      </w:r>
      <w:r>
        <w:rPr>
          <w:rFonts w:ascii="Arial" w:hAnsi="Arial" w:cs="Arial" w:eastAsiaTheme="minorEastAsia"/>
          <w:snapToGrid w:val="0"/>
          <w:color w:val="000000"/>
          <w:sz w:val="22"/>
          <w:szCs w:val="22"/>
          <w:highlight w:val="none"/>
        </w:rPr>
        <w:t>2024年12月24日09:30</w:t>
      </w:r>
      <w:r>
        <w:rPr>
          <w:rFonts w:ascii="Arial" w:hAnsi="Arial" w:cs="Arial" w:eastAsiaTheme="minorEastAsia"/>
          <w:snapToGrid w:val="0"/>
          <w:color w:val="000000"/>
          <w:sz w:val="22"/>
          <w:szCs w:val="22"/>
          <w:highlight w:val="none"/>
        </w:rPr>
        <w:t xml:space="preserve"> - </w:t>
      </w:r>
      <w:r>
        <w:rPr>
          <w:rFonts w:ascii="Arial" w:hAnsi="Arial" w:cs="Arial" w:eastAsiaTheme="minorEastAsia"/>
          <w:snapToGrid w:val="0"/>
          <w:color w:val="000000"/>
          <w:sz w:val="22"/>
          <w:szCs w:val="22"/>
          <w:highlight w:val="none"/>
        </w:rPr>
        <w:t>2024年12月30日</w:t>
      </w:r>
      <w:r>
        <w:rPr>
          <w:rFonts w:ascii="Arial" w:hAnsi="Arial" w:cs="Arial" w:eastAsiaTheme="minorEastAsia"/>
          <w:snapToGrid w:val="0"/>
          <w:color w:val="000000"/>
          <w:sz w:val="22"/>
          <w:szCs w:val="22"/>
          <w:highlight w:val="none"/>
        </w:rPr>
        <w:fldChar w:fldCharType="begin"/>
      </w:r>
      <w:r>
        <w:rPr>
          <w:rFonts w:ascii="Arial" w:hAnsi="Arial" w:cs="Arial" w:eastAsiaTheme="minorEastAsia"/>
          <w:snapToGrid w:val="0"/>
          <w:color w:val="000000"/>
          <w:sz w:val="22"/>
          <w:szCs w:val="22"/>
          <w:highlight w:val="none"/>
        </w:rPr>
        <w:instrText xml:space="preserve"> MERGEFIELD 结束时间 </w:instrText>
      </w:r>
      <w:r>
        <w:rPr>
          <w:rFonts w:ascii="Arial" w:hAnsi="Arial" w:cs="Arial" w:eastAsiaTheme="minorEastAsia"/>
          <w:snapToGrid w:val="0"/>
          <w:color w:val="000000"/>
          <w:sz w:val="22"/>
          <w:szCs w:val="22"/>
          <w:highlight w:val="none"/>
        </w:rPr>
        <w:fldChar w:fldCharType="separate"/>
      </w:r>
      <w:r>
        <w:rPr>
          <w:rFonts w:ascii="Arial" w:hAnsi="Arial" w:cs="Arial" w:eastAsiaTheme="minorEastAsia"/>
          <w:snapToGrid w:val="0"/>
          <w:color w:val="000000"/>
          <w:sz w:val="22"/>
          <w:szCs w:val="22"/>
          <w:highlight w:val="none"/>
        </w:rPr>
        <w:t>17:00</w:t>
      </w:r>
      <w:r>
        <w:rPr>
          <w:rFonts w:ascii="Arial" w:hAnsi="Arial" w:cs="Arial" w:eastAsiaTheme="minorEastAsia"/>
          <w:snapToGrid w:val="0"/>
          <w:color w:val="000000"/>
          <w:sz w:val="22"/>
          <w:szCs w:val="22"/>
          <w:highlight w:val="none"/>
        </w:rPr>
        <w:t>（不含）</w:t>
      </w:r>
      <w:r>
        <w:rPr>
          <w:rFonts w:ascii="Arial" w:hAnsi="Arial" w:cs="Arial" w:eastAsiaTheme="minorEastAsia"/>
          <w:snapToGrid w:val="0"/>
          <w:color w:val="000000"/>
          <w:sz w:val="22"/>
          <w:szCs w:val="22"/>
          <w:highlight w:val="none"/>
        </w:rPr>
        <w:fldChar w:fldCharType="end"/>
      </w:r>
      <w:r>
        <w:rPr>
          <w:rFonts w:ascii="Arial" w:hAnsi="Arial" w:cs="Arial" w:eastAsiaTheme="minorEastAsia"/>
          <w:snapToGrid w:val="0"/>
          <w:color w:val="000000"/>
          <w:sz w:val="22"/>
          <w:szCs w:val="22"/>
          <w:highlight w:val="none"/>
        </w:rPr>
        <w:t>，管理人保留延长或提前终止产品认购期的权利。如有变动，产品实际认购期以管理人公告为准。投资者可通过销售服务机构手机银行APP或者管理人认可的其他方式参与认购。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认购撤单：认购期内允许撤单。</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认购</w:t>
      </w:r>
      <w:r>
        <w:rPr>
          <w:rFonts w:hint="eastAsia" w:ascii="Arial" w:hAnsi="Arial" w:cs="Arial" w:eastAsiaTheme="minorEastAsia"/>
          <w:snapToGrid w:val="0"/>
          <w:color w:val="000000"/>
          <w:sz w:val="22"/>
          <w:szCs w:val="22"/>
          <w:highlight w:val="none"/>
        </w:rPr>
        <w:t>起点</w:t>
      </w:r>
      <w:r>
        <w:rPr>
          <w:rFonts w:ascii="Arial" w:hAnsi="Arial" w:cs="Arial" w:eastAsiaTheme="minorEastAsia"/>
          <w:snapToGrid w:val="0"/>
          <w:color w:val="000000"/>
          <w:sz w:val="22"/>
          <w:szCs w:val="22"/>
          <w:highlight w:val="none"/>
        </w:rPr>
        <w:t xml:space="preserve">：在认购期内， </w:t>
      </w:r>
      <w:r>
        <w:rPr>
          <w:rFonts w:ascii="Arial" w:hAnsi="Arial" w:cs="Arial" w:eastAsiaTheme="minorEastAsia"/>
          <w:color w:val="000000"/>
          <w:sz w:val="22"/>
          <w:szCs w:val="22"/>
          <w:highlight w:val="none"/>
        </w:rPr>
        <w:t>A份额认购起点为1元，超过认购起点部分应为0.01元的整数倍；B份额认购起点为1元，超过认购起点部分应为0.01元的整数倍；C份额认购起点为1元，超过认购起点部分应为0.01元的整数倍；D份额认购起点为10万元，超过认购起点部分应为0.01元的整数倍；E份额认购起点为1元，超过认购起点部分应为0.01元的整数倍；F份额认购起点为1元，超过认购起点部分应为0.01元的整数倍；H份额认购起点为1元，超过认购起点部分应为0.01元的整数倍；I份额认购起点为1元，超过认购起点部分应为0.01元的整数倍；J份额认购起点为1元，超过认购起点部分应为0.01元的整数倍</w:t>
      </w:r>
      <w:r>
        <w:rPr>
          <w:rFonts w:ascii="Arial" w:hAnsi="Arial" w:cs="Arial" w:eastAsiaTheme="minorEastAsia"/>
          <w:color w:val="000000"/>
          <w:sz w:val="22"/>
          <w:szCs w:val="22"/>
          <w:highlight w:val="none"/>
        </w:rPr>
        <w:t>。</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单笔认购上限：</w:t>
      </w:r>
      <w:r>
        <w:rPr>
          <w:rFonts w:ascii="Arial" w:hAnsi="Arial" w:cs="Arial" w:eastAsiaTheme="minorEastAsia"/>
          <w:sz w:val="22"/>
          <w:szCs w:val="22"/>
          <w:highlight w:val="none"/>
        </w:rPr>
        <w:t>本理财产品</w:t>
      </w:r>
      <w:r>
        <w:rPr>
          <w:rFonts w:ascii="Arial" w:hAnsi="Arial" w:cs="Arial" w:eastAsiaTheme="minorEastAsia"/>
          <w:color w:val="000000"/>
          <w:sz w:val="22"/>
          <w:szCs w:val="22"/>
          <w:highlight w:val="none"/>
        </w:rPr>
        <w:t>A份额单笔认购上限为1亿元；B份额单笔认购上限为1亿元；C份额单笔认购上限为1亿元；D份额单笔认购上限为1亿元；E份额单笔认购上限为1亿元；F份额单笔认购上限为1亿元；H份额单笔认购上限为1亿元；I份额单笔认购上限为1亿元；J份额单笔认购上限为1亿元。</w:t>
      </w:r>
      <w:r>
        <w:rPr>
          <w:rFonts w:ascii="Arial" w:hAnsi="Arial" w:cs="Arial" w:eastAsiaTheme="minorEastAsia"/>
          <w:sz w:val="22"/>
          <w:szCs w:val="22"/>
          <w:highlight w:val="none"/>
        </w:rPr>
        <w:t>如发生超额申请，经管理人评估同意后可予以受理。</w:t>
      </w:r>
      <w:r>
        <w:rPr>
          <w:rFonts w:ascii="Arial" w:hAnsi="Arial" w:cs="Arial" w:eastAsiaTheme="minorEastAsia"/>
          <w:snapToGrid w:val="0"/>
          <w:color w:val="000000"/>
          <w:sz w:val="22"/>
          <w:szCs w:val="22"/>
          <w:highlight w:val="none"/>
        </w:rPr>
        <w:t>管理人有权以公告形式调整单笔认购上限。在认购期内，投资者可多次认购。</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单一投资者持有上限：本理财产品</w:t>
      </w:r>
      <w:r>
        <w:rPr>
          <w:rFonts w:ascii="Arial" w:hAnsi="Arial" w:cs="Arial" w:eastAsiaTheme="minorEastAsia"/>
          <w:color w:val="000000"/>
          <w:sz w:val="22"/>
          <w:szCs w:val="22"/>
          <w:highlight w:val="none"/>
        </w:rPr>
        <w:t>A份额的单一投资者持有上限为1亿元；B份额的单一投资者持有上限为1亿元；C份额的单一投资者持有上限为1亿元；D份额的单一投资者持有上限为1亿元；E份额的单一投资者持有上限为1亿元；F份额的单一投资者持有上限为1亿元；H份额的单一投资者持有上限为1亿元；I份额的单一投资者持有上限为1亿元；J份额的单一投资者持有上限为1亿元</w:t>
      </w:r>
      <w:r>
        <w:rPr>
          <w:rFonts w:ascii="Arial" w:hAnsi="Arial" w:cs="Arial" w:eastAsiaTheme="minorEastAsia"/>
          <w:snapToGrid w:val="0"/>
          <w:color w:val="000000"/>
          <w:sz w:val="22"/>
          <w:szCs w:val="22"/>
          <w:highlight w:val="none"/>
        </w:rPr>
        <w:t xml:space="preserve">，管理人有权以公告形式调整各类份额单一投资者持有上限。如发生超额申请，管理人有权根据实际情况决定拒绝或受理。在产品运作过程中因收益分配、净值波动等被动超上限的情形除外。管理人不得接受各类份额单一投资者购买超过产品份额总数50%的申请（在产品运作过程中因份额赎回、收益结转等情形导致持有份额被动超过此规则的情形除外）。 </w:t>
      </w:r>
    </w:p>
    <w:p>
      <w:pPr>
        <w:numPr>
          <w:ilvl w:val="0"/>
          <w:numId w:val="8"/>
        </w:numPr>
        <w:tabs>
          <w:tab w:val="left" w:pos="851"/>
        </w:tabs>
        <w:autoSpaceDE w:val="0"/>
        <w:autoSpaceDN w:val="0"/>
        <w:adjustRightInd w:val="0"/>
        <w:spacing w:line="360" w:lineRule="auto"/>
        <w:ind w:left="0"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管理人、销售服务机构受理认购申请并不表示对该申请成功的确认，而仅代表管理人、销售服务机构收到了认购申请，申请是否有效应以管理人的确认为准。管理人在认购登记日为投资者成功登记认购份额，视为投资者的申请交易成功。投资者应在本理财产品成立后及时查询最终成交确认情况和认购的份额。</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themeColor="text1"/>
          <w:sz w:val="22"/>
          <w:szCs w:val="22"/>
          <w:highlight w:val="none"/>
          <w14:textFill>
            <w14:solidFill>
              <w14:schemeClr w14:val="tx1"/>
            </w14:solidFill>
          </w14:textFill>
        </w:rPr>
      </w:pPr>
      <w:r>
        <w:rPr>
          <w:rFonts w:ascii="Arial" w:hAnsi="Arial" w:cs="Arial" w:eastAsiaTheme="minorEastAsia"/>
          <w:b/>
          <w:snapToGrid w:val="0"/>
          <w:color w:val="000000" w:themeColor="text1"/>
          <w:sz w:val="22"/>
          <w:szCs w:val="22"/>
          <w:highlight w:val="none"/>
          <w14:textFill>
            <w14:solidFill>
              <w14:schemeClr w14:val="tx1"/>
            </w14:solidFill>
          </w14:textFill>
        </w:rPr>
        <w:t>理财产品份额净值的计算</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highlight w:val="none"/>
        </w:rPr>
        <w:t>本理财产品某一类份额的份额净值=本理财产品该类份额总资产净值÷本理财产品该类份额数</w:t>
      </w:r>
      <w:r>
        <w:rPr>
          <w:rFonts w:ascii="Arial" w:hAnsi="Arial" w:cs="Arial" w:eastAsiaTheme="minorEastAsia"/>
          <w:color w:val="000000"/>
          <w:sz w:val="22"/>
          <w:szCs w:val="22"/>
          <w:highlight w:val="none"/>
        </w:rPr>
        <w:t xml:space="preserve">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本理财产品份额净值的计算，按</w:t>
      </w:r>
      <w:r>
        <w:rPr>
          <w:rFonts w:ascii="Arial" w:hAnsi="Arial" w:cs="Arial" w:eastAsiaTheme="minorEastAsia"/>
          <w:snapToGrid w:val="0"/>
          <w:color w:val="000000" w:themeColor="text1"/>
          <w:sz w:val="22"/>
          <w:szCs w:val="22"/>
          <w:highlight w:val="none"/>
          <w14:textFill>
            <w14:solidFill>
              <w14:schemeClr w14:val="tx1"/>
            </w14:solidFill>
          </w14:textFill>
        </w:rPr>
        <w:t>四舍五入法</w:t>
      </w:r>
      <w:r>
        <w:rPr>
          <w:rFonts w:ascii="Arial" w:hAnsi="Arial" w:cs="Arial" w:eastAsiaTheme="minorEastAsia"/>
          <w:color w:val="000000" w:themeColor="text1"/>
          <w:sz w:val="22"/>
          <w:szCs w:val="22"/>
          <w:highlight w:val="none"/>
          <w14:textFill>
            <w14:solidFill>
              <w14:schemeClr w14:val="tx1"/>
            </w14:solidFill>
          </w14:textFill>
        </w:rPr>
        <w:t>保留到小数点后4位，由此误差产生的收益或损失由本理财产品财产承担。为保护理财份额持有人利益或理财产品运作管理需要，管理人有权调整或临时调整份额净值保留位数，如对产品份额净值保留位数进行调整，管理人将以公告形式公布调整事宜。</w:t>
      </w:r>
    </w:p>
    <w:p>
      <w:pPr>
        <w:numPr>
          <w:ilvl w:val="1"/>
          <w:numId w:val="7"/>
        </w:numPr>
        <w:autoSpaceDE w:val="0"/>
        <w:autoSpaceDN w:val="0"/>
        <w:adjustRightInd w:val="0"/>
        <w:spacing w:line="360" w:lineRule="auto"/>
        <w:ind w:left="0" w:firstLine="442" w:firstLineChars="200"/>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拒绝或暂停接受认购申请的情形及处理方式</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发生下列情况时，管理人有权拒绝或暂停接受、办理投资者的认购申请：</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（1）因战争、自然灾害等不可抗力导致本理财产品无法正常运作。</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（2）银行间市场交易所或证券交易所交易时间非正常停市，导致管理人无法计算当日本理财产品资产净值。</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（3）</w:t>
      </w:r>
      <w:r>
        <w:rPr>
          <w:rFonts w:hint="eastAsia" w:ascii="Arial" w:hAnsi="Arial" w:cs="Arial" w:eastAsiaTheme="minorEastAsia"/>
          <w:color w:val="000000" w:themeColor="text1"/>
          <w:spacing w:val="4"/>
          <w:sz w:val="22"/>
          <w:szCs w:val="22"/>
          <w:highlight w:val="none"/>
          <w14:textFill>
            <w14:solidFill>
              <w14:schemeClr w14:val="tx1"/>
            </w14:solidFill>
          </w14:textFill>
        </w:rPr>
        <w:t>本理财产品投资的主要证券、期货交易市场或外汇市场休市或处于公众节假日，可能影响本理财产品正常估值时。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hint="eastAsia" w:ascii="Arial" w:hAnsi="Arial" w:cs="Arial" w:eastAsiaTheme="minorEastAsia"/>
          <w:color w:val="000000" w:themeColor="text1"/>
          <w:spacing w:val="4"/>
          <w:sz w:val="22"/>
          <w:szCs w:val="22"/>
          <w:highlight w:val="none"/>
          <w14:textFill>
            <w14:solidFill>
              <w14:schemeClr w14:val="tx1"/>
            </w14:solidFill>
          </w14:textFill>
        </w:rPr>
        <w:t>（4）</w:t>
      </w:r>
      <w:r>
        <w:rPr>
          <w:rFonts w:ascii="Arial" w:hAnsi="Arial" w:cs="Arial" w:eastAsiaTheme="minorEastAsia"/>
          <w:color w:val="000000" w:themeColor="text1"/>
          <w:spacing w:val="4"/>
          <w:sz w:val="22"/>
          <w:szCs w:val="22"/>
          <w:highlight w:val="none"/>
          <w14:textFill>
            <w14:solidFill>
              <w14:schemeClr w14:val="tx1"/>
            </w14:solidFill>
          </w14:textFill>
        </w:rPr>
        <w:t>发生本理财产品说明书约定的暂停本理财产品资产估值情况。</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5</w:t>
      </w:r>
      <w:r>
        <w:rPr>
          <w:rFonts w:ascii="Arial" w:hAnsi="Arial" w:cs="Arial" w:eastAsiaTheme="minorEastAsia"/>
          <w:color w:val="000000" w:themeColor="text1"/>
          <w:spacing w:val="4"/>
          <w:sz w:val="22"/>
          <w:szCs w:val="22"/>
          <w:highlight w:val="none"/>
          <w14:textFill>
            <w14:solidFill>
              <w14:schemeClr w14:val="tx1"/>
            </w14:solidFill>
          </w14:textFill>
        </w:rPr>
        <w:t>）投资者认购超过本产品说明书约定的发行规模上限、单笔认购上限、单一投资者持有上限等。</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6</w:t>
      </w:r>
      <w:r>
        <w:rPr>
          <w:rFonts w:ascii="Arial" w:hAnsi="Arial" w:cs="Arial" w:eastAsiaTheme="minorEastAsia"/>
          <w:color w:val="000000" w:themeColor="text1"/>
          <w:spacing w:val="4"/>
          <w:sz w:val="22"/>
          <w:szCs w:val="22"/>
          <w:highlight w:val="none"/>
          <w14:textFill>
            <w14:solidFill>
              <w14:schemeClr w14:val="tx1"/>
            </w14:solidFill>
          </w14:textFill>
        </w:rPr>
        <w:t>）理财产品管理人接受某笔或者某些认购申请有可能导致单一投资者持有理财产品份额的比例达到或者超过50%。</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7</w:t>
      </w:r>
      <w:r>
        <w:rPr>
          <w:rFonts w:ascii="Arial" w:hAnsi="Arial" w:cs="Arial" w:eastAsiaTheme="minorEastAsia"/>
          <w:color w:val="000000" w:themeColor="text1"/>
          <w:spacing w:val="4"/>
          <w:sz w:val="22"/>
          <w:szCs w:val="22"/>
          <w:highlight w:val="none"/>
          <w14:textFill>
            <w14:solidFill>
              <w14:schemeClr w14:val="tx1"/>
            </w14:solidFill>
          </w14:textFill>
        </w:rPr>
        <w:t>）当本理财产品规模过大，管理人无法找到合适的投资品种，或存在其他可能对本理财产品投资业绩产生负面影响的情形时。</w:t>
      </w:r>
    </w:p>
    <w:p>
      <w:pPr>
        <w:pStyle w:val="20"/>
        <w:spacing w:line="360" w:lineRule="auto"/>
        <w:ind w:firstLine="424" w:firstLineChars="186"/>
        <w:jc w:val="left"/>
        <w:rPr>
          <w:rFonts w:ascii="Arial" w:hAnsi="Arial" w:cs="Arial" w:eastAsiaTheme="minorEastAsia"/>
          <w:color w:val="000000" w:themeColor="text1"/>
          <w:spacing w:val="4"/>
          <w:sz w:val="22"/>
          <w:szCs w:val="22"/>
          <w:highlight w:val="none"/>
          <w14:textFill>
            <w14:solidFill>
              <w14:schemeClr w14:val="tx1"/>
            </w14:solidFill>
          </w14:textFill>
        </w:rPr>
      </w:pPr>
      <w:r>
        <w:rPr>
          <w:rFonts w:ascii="Arial" w:hAnsi="Arial" w:cs="Arial" w:eastAsiaTheme="minorEastAsia"/>
          <w:color w:val="000000" w:themeColor="text1"/>
          <w:spacing w:val="4"/>
          <w:sz w:val="22"/>
          <w:szCs w:val="22"/>
          <w:highlight w:val="none"/>
          <w14:textFill>
            <w14:solidFill>
              <w14:schemeClr w14:val="tx1"/>
            </w14:solidFill>
          </w14:textFill>
        </w:rPr>
        <w:t>（</w:t>
      </w:r>
      <w:r>
        <w:rPr>
          <w:rFonts w:hint="eastAsia" w:ascii="Arial" w:hAnsi="Arial" w:cs="Arial" w:eastAsiaTheme="minorEastAsia"/>
          <w:color w:val="000000" w:themeColor="text1"/>
          <w:spacing w:val="4"/>
          <w:sz w:val="22"/>
          <w:szCs w:val="22"/>
          <w:highlight w:val="none"/>
          <w14:textFill>
            <w14:solidFill>
              <w14:schemeClr w14:val="tx1"/>
            </w14:solidFill>
          </w14:textFill>
        </w:rPr>
        <w:t>8</w:t>
      </w:r>
      <w:r>
        <w:rPr>
          <w:rFonts w:ascii="Arial" w:hAnsi="Arial" w:cs="Arial" w:eastAsiaTheme="minorEastAsia"/>
          <w:color w:val="000000" w:themeColor="text1"/>
          <w:spacing w:val="4"/>
          <w:sz w:val="22"/>
          <w:szCs w:val="22"/>
          <w:highlight w:val="none"/>
          <w14:textFill>
            <w14:solidFill>
              <w14:schemeClr w14:val="tx1"/>
            </w14:solidFill>
          </w14:textFill>
        </w:rPr>
        <w:t>）法律法规规定或国家金融监督管理总局等监管机构认定的其他情形。</w:t>
      </w:r>
    </w:p>
    <w:p>
      <w:pPr>
        <w:tabs>
          <w:tab w:val="left" w:pos="426"/>
        </w:tabs>
        <w:spacing w:line="360" w:lineRule="auto"/>
        <w:ind w:firstLine="456" w:firstLineChars="200"/>
        <w:rPr>
          <w:rFonts w:ascii="Arial" w:hAnsi="Arial" w:cs="Arial" w:eastAsiaTheme="minorEastAsia"/>
          <w:color w:val="000000"/>
          <w:sz w:val="22"/>
          <w:szCs w:val="22"/>
          <w:highlight w:val="none"/>
        </w:rPr>
      </w:pPr>
      <w:r>
        <w:rPr>
          <w:rFonts w:ascii="Arial" w:hAnsi="Arial" w:cs="Arial" w:eastAsiaTheme="minorEastAsia"/>
          <w:color w:val="000000" w:themeColor="text1"/>
          <w:spacing w:val="4"/>
          <w:sz w:val="22"/>
          <w:szCs w:val="22"/>
          <w:highlight w:val="none"/>
          <w14:textFill>
            <w14:solidFill>
              <w14:schemeClr w14:val="tx1"/>
            </w14:solidFill>
          </w14:textFill>
        </w:rPr>
        <w:t>发生上述暂停认购等情形时，管理人应于3个交易日内按照产品说明书约定的信息披露方式进行公告，并说明原因及应对安排。如果投资者的认购申请被拒绝，被拒绝的认购款项将退还给投资者，管理人不承担投资者由此产生的利息等损失。在暂停认购的情况消除时，管理人应及时公告并恢复认购业务的办理。</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产品估值方法</w:t>
      </w:r>
    </w:p>
    <w:p>
      <w:pPr>
        <w:pStyle w:val="20"/>
        <w:numPr>
          <w:ilvl w:val="0"/>
          <w:numId w:val="9"/>
        </w:numPr>
        <w:snapToGrid w:val="0"/>
        <w:spacing w:line="360" w:lineRule="auto"/>
        <w:ind w:firstLineChars="0"/>
        <w:jc w:val="left"/>
        <w:rPr>
          <w:rFonts w:ascii="Arial" w:hAnsi="Arial" w:cs="Arial" w:eastAsiaTheme="minorEastAsia"/>
          <w:b/>
          <w:color w:val="000000"/>
          <w:spacing w:val="4"/>
          <w:sz w:val="22"/>
          <w:szCs w:val="22"/>
          <w:highlight w:val="none"/>
        </w:rPr>
      </w:pPr>
      <w:r>
        <w:rPr>
          <w:rFonts w:ascii="Arial" w:hAnsi="Arial" w:cs="Arial" w:eastAsiaTheme="minorEastAsia"/>
          <w:b/>
          <w:color w:val="000000"/>
          <w:spacing w:val="4"/>
          <w:sz w:val="22"/>
          <w:szCs w:val="22"/>
          <w:highlight w:val="none"/>
        </w:rPr>
        <w:t>估值对象</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本理财产品所持有的一切金融资产和金融负债。</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估值日</w:t>
      </w:r>
    </w:p>
    <w:p>
      <w:pPr>
        <w:widowControl/>
        <w:spacing w:line="360" w:lineRule="auto"/>
        <w:ind w:firstLine="440" w:firstLineChars="200"/>
        <w:jc w:val="left"/>
        <w:rPr>
          <w:rFonts w:ascii="Arial" w:hAnsi="Arial" w:cs="Arial" w:eastAsiaTheme="minorEastAsia"/>
          <w:highlight w:val="none"/>
        </w:rPr>
      </w:pPr>
      <w:r>
        <w:rPr>
          <w:rFonts w:ascii="Arial" w:hAnsi="Arial" w:cs="Arial" w:eastAsiaTheme="minorEastAsia"/>
          <w:sz w:val="22"/>
          <w:szCs w:val="22"/>
          <w:highlight w:val="none"/>
        </w:rPr>
        <w:t>本理财产品存续期间，产品管理人每个交易日进行估值，经产品托管人复核无误后，由产品管理人每周进行公告。</w:t>
      </w:r>
    </w:p>
    <w:p>
      <w:pPr>
        <w:pStyle w:val="20"/>
        <w:numPr>
          <w:ilvl w:val="0"/>
          <w:numId w:val="9"/>
        </w:numPr>
        <w:snapToGrid w:val="0"/>
        <w:spacing w:line="360" w:lineRule="auto"/>
        <w:ind w:firstLineChars="0"/>
        <w:jc w:val="left"/>
        <w:rPr>
          <w:rFonts w:ascii="Arial" w:hAnsi="Arial" w:cs="Arial" w:eastAsiaTheme="minorEastAsia"/>
          <w:b/>
          <w:bCs/>
          <w:spacing w:val="4"/>
          <w:sz w:val="22"/>
          <w:szCs w:val="22"/>
          <w:highlight w:val="none"/>
        </w:rPr>
      </w:pPr>
      <w:r>
        <w:rPr>
          <w:rFonts w:ascii="Arial" w:hAnsi="Arial" w:cs="Arial" w:eastAsiaTheme="minorEastAsia"/>
          <w:b/>
          <w:bCs/>
          <w:spacing w:val="4"/>
          <w:sz w:val="22"/>
          <w:szCs w:val="22"/>
          <w:highlight w:val="none"/>
        </w:rPr>
        <w:t>估值方法</w:t>
      </w:r>
    </w:p>
    <w:p>
      <w:pPr>
        <w:autoSpaceDE w:val="0"/>
        <w:autoSpaceDN w:val="0"/>
        <w:adjustRightInd w:val="0"/>
        <w:spacing w:line="360" w:lineRule="auto"/>
        <w:ind w:firstLine="440" w:firstLineChars="200"/>
        <w:jc w:val="left"/>
        <w:rPr>
          <w:rFonts w:ascii="Arial" w:hAnsi="Arial" w:cs="Arial" w:eastAsiaTheme="minorEastAsia"/>
          <w:kern w:val="0"/>
          <w:sz w:val="22"/>
          <w:highlight w:val="none"/>
        </w:rPr>
      </w:pPr>
      <w:r>
        <w:rPr>
          <w:rFonts w:ascii="Arial" w:hAnsi="Arial" w:cs="Arial" w:eastAsiaTheme="minorEastAsia"/>
          <w:kern w:val="0"/>
          <w:sz w:val="22"/>
          <w:highlight w:val="none"/>
        </w:rPr>
        <w:t>对于初始确认的资产，如其业务模式为以收取合同现金流量为目标而持有，且其合同现金流量特征与基本借贷安排相一致，即在特定日期产生的现金流量，仅为对本金和以未偿付本金金额为基础的利息的支付，则分类为以摊余成本计量的资产；对于不分类为以摊余成本计量的资产，则分类为以公允价值计量且其变动计入当期损益的资产。</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具体估值方法如下：</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货币市场工具类资产的估值：</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一般性存款按其适用利率逐日计提利息；</w:t>
      </w:r>
    </w:p>
    <w:p>
      <w:pPr>
        <w:pStyle w:val="20"/>
        <w:numPr>
          <w:ilvl w:val="0"/>
          <w:numId w:val="11"/>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债券回购和拆借、同业存款按其约定利率逐日计提利息。</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以摊余成本计量的资产：</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对于合同现金流量与基本借贷安排相一致且以收取合同现金流量为目标而持有的债券资产/非标准化债权资产，本理财产品估值采用摊余成本法，即估值对象以买入成本列示，按票面利率或协议利率并考虑其买入时的溢价与折价，在其剩余存续期内按实际利率法进行摊销，确认利息收入并评估减值准备；</w:t>
      </w:r>
    </w:p>
    <w:p>
      <w:pPr>
        <w:pStyle w:val="20"/>
        <w:numPr>
          <w:ilvl w:val="0"/>
          <w:numId w:val="12"/>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如有确凿证据表明本理财产品部分资产在封闭期内因投资策略发生变化或其他原因，导致按原有摊余成本法估值不能客观反映上述资产或负债的公允价值的，管理人可根据具体情况与托管人商定后，按最能反映上述资产或负债的公允价值的方法估值。为最大限度保护持有人利益，管理人可采用的风险控制手段包括但不限于：处置信用风险显著增加的固定收益品种、及时评估和计提固定收益品种减值损失、调整估值方法为按公允价值计算理财产品份额净值等。</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以公允价值计量且其变动计入当期损益的资产：</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在证券交易所和全国银行间市场交易的债券类资产的估值：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a.不含转股权的债券，按第三方估值机构（中债、中证等）提供的估值数据，对本理财产品持有的债券进行估值，具体第三方估值机构及取值方法由管理人和托管人具体协商确定；</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 xml:space="preserve">b.含转股权的债券（如可转换债券、可交换债券等），实行全价交易的，按照估值日收盘价减去收盘价中所含债券应收利息后得到的净价进行估值；实行净价交易的，采用估值日收盘价估值； </w:t>
      </w:r>
    </w:p>
    <w:p>
      <w:pPr>
        <w:pStyle w:val="20"/>
        <w:spacing w:line="360" w:lineRule="auto"/>
        <w:ind w:firstLine="440"/>
        <w:rPr>
          <w:rFonts w:ascii="Arial" w:hAnsi="Arial" w:cs="Arial" w:eastAsiaTheme="minorEastAsia"/>
          <w:color w:val="000000"/>
          <w:sz w:val="22"/>
          <w:szCs w:val="22"/>
          <w:highlight w:val="none"/>
        </w:rPr>
      </w:pPr>
      <w:r>
        <w:rPr>
          <w:rFonts w:ascii="Arial" w:hAnsi="Arial" w:cs="Arial" w:eastAsiaTheme="minorEastAsia"/>
          <w:kern w:val="0"/>
          <w:sz w:val="22"/>
          <w:szCs w:val="22"/>
          <w:highlight w:val="none"/>
        </w:rPr>
        <w:t>c.同一债券同时在两个或两个以上市场交易的</w:t>
      </w:r>
      <w:r>
        <w:rPr>
          <w:rFonts w:ascii="Arial" w:hAnsi="Arial" w:cs="Arial" w:eastAsiaTheme="minorEastAsia"/>
          <w:color w:val="000000"/>
          <w:sz w:val="22"/>
          <w:szCs w:val="22"/>
          <w:highlight w:val="none"/>
        </w:rPr>
        <w:t>，按债券所处的市场分别估值；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d.如监管对此另有规定的，按照监管的最新规定进行调整。</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证券投资基金的估值：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sz w:val="22"/>
          <w:highlight w:val="none"/>
        </w:rPr>
        <w:t>a.非上市基金估值</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境内非货币市场基金，按所投资基金估值日的份额净值估值；境内货币市场基金，按所投资基金前一估值日后至估值日期间（含节假日）的万份收益计提估值日基金收益。</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b.上市基金估值</w:t>
      </w:r>
    </w:p>
    <w:p>
      <w:pPr>
        <w:spacing w:line="360" w:lineRule="auto"/>
        <w:ind w:firstLine="424" w:firstLineChars="193"/>
        <w:rPr>
          <w:rFonts w:ascii="Arial" w:hAnsi="Arial" w:cs="Arial" w:eastAsiaTheme="minorEastAsia"/>
          <w:sz w:val="22"/>
          <w:highlight w:val="none"/>
        </w:rPr>
      </w:pPr>
      <w:r>
        <w:rPr>
          <w:rFonts w:ascii="Arial" w:hAnsi="Arial" w:cs="Arial" w:eastAsiaTheme="minorEastAsia"/>
          <w:sz w:val="22"/>
          <w:highlight w:val="none"/>
        </w:rPr>
        <w:t>交易所上市流通的基金，按估值日其所在证券交易所的收盘价估值,</w:t>
      </w:r>
      <w:r>
        <w:rPr>
          <w:rFonts w:ascii="Arial" w:hAnsi="Arial" w:cs="Arial" w:eastAsiaTheme="minorEastAsia"/>
          <w:color w:val="000000"/>
          <w:sz w:val="22"/>
          <w:highlight w:val="none"/>
        </w:rPr>
        <w:t xml:space="preserve"> </w:t>
      </w:r>
      <w:r>
        <w:rPr>
          <w:rFonts w:ascii="Arial" w:hAnsi="Arial" w:cs="Arial" w:eastAsiaTheme="minorEastAsia"/>
          <w:sz w:val="22"/>
          <w:highlight w:val="none"/>
        </w:rPr>
        <w:t>境内上市的货币市场基金，如基金管理人披露份额净值的，按基金管理人披露的估值日份额净值进行估值，基金管理人披露万份收益的，按所投资基金前一估值日后至估值日期间（含节假日）的万份收益计提估值日基金收益；</w:t>
      </w:r>
      <w:r>
        <w:rPr>
          <w:rFonts w:ascii="Arial" w:hAnsi="Arial" w:cs="Arial" w:eastAsiaTheme="minorEastAsia"/>
          <w:color w:val="000000"/>
          <w:sz w:val="22"/>
          <w:highlight w:val="none"/>
        </w:rPr>
        <w:t>交易所上市的开放式基金（LOF），按所投资基金估值日的份额净值估值；</w:t>
      </w:r>
      <w:r>
        <w:rPr>
          <w:rFonts w:ascii="Arial" w:hAnsi="Arial" w:cs="Arial" w:eastAsiaTheme="minorEastAsia"/>
          <w:sz w:val="22"/>
          <w:highlight w:val="none"/>
        </w:rPr>
        <w:t>公募 REITs，</w:t>
      </w:r>
      <w:r>
        <w:rPr>
          <w:rFonts w:ascii="Arial" w:hAnsi="Arial" w:cs="Arial" w:eastAsiaTheme="minorEastAsia"/>
          <w:color w:val="000000"/>
          <w:sz w:val="22"/>
          <w:highlight w:val="none"/>
        </w:rPr>
        <w:t>按监管机构或行业协会有关规定确定公允价值</w:t>
      </w:r>
      <w:r>
        <w:rPr>
          <w:rFonts w:ascii="Arial" w:hAnsi="Arial" w:cs="Arial" w:eastAsiaTheme="minorEastAsia"/>
          <w:sz w:val="22"/>
          <w:highlight w:val="none"/>
        </w:rPr>
        <w:t>。</w:t>
      </w:r>
    </w:p>
    <w:p>
      <w:pPr>
        <w:spacing w:line="360" w:lineRule="auto"/>
        <w:ind w:firstLine="440" w:firstLineChars="200"/>
        <w:rPr>
          <w:rFonts w:ascii="Arial" w:hAnsi="Arial" w:cs="Arial" w:eastAsiaTheme="minorEastAsia"/>
          <w:sz w:val="22"/>
          <w:highlight w:val="none"/>
        </w:rPr>
      </w:pPr>
      <w:r>
        <w:rPr>
          <w:rFonts w:ascii="Arial" w:hAnsi="Arial" w:cs="Arial" w:eastAsiaTheme="minorEastAsia"/>
          <w:sz w:val="22"/>
          <w:highlight w:val="none"/>
        </w:rPr>
        <w:t>c.如遇所投资基金不公布基金份额净值、进行折算或拆分、估值日无交易等特殊情况，按照以下原则进行估值：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①</w:t>
      </w:r>
      <w:r>
        <w:rPr>
          <w:rFonts w:ascii="Arial" w:hAnsi="Arial" w:cs="Arial" w:eastAsiaTheme="minorEastAsia"/>
          <w:sz w:val="22"/>
          <w:highlight w:val="none"/>
        </w:rPr>
        <w:t>以所投基金的基金份额净值估值的，若所投资基金管理人未公布估值日基金份额净值，按其最近公布的基金份额净值为基础估值。</w:t>
      </w:r>
    </w:p>
    <w:p>
      <w:pPr>
        <w:adjustRightInd w:val="0"/>
        <w:spacing w:line="360" w:lineRule="auto"/>
        <w:ind w:firstLine="440" w:firstLineChars="200"/>
        <w:rPr>
          <w:rFonts w:ascii="Arial" w:hAnsi="Arial" w:cs="Arial" w:eastAsiaTheme="minorEastAsia"/>
          <w:sz w:val="22"/>
          <w:highlight w:val="none"/>
        </w:rPr>
      </w:pPr>
      <w:r>
        <w:rPr>
          <w:rFonts w:hint="eastAsia" w:ascii="微软雅黑" w:hAnsi="微软雅黑" w:eastAsia="微软雅黑" w:cs="微软雅黑"/>
          <w:sz w:val="22"/>
          <w:highlight w:val="none"/>
        </w:rPr>
        <w:t>②</w:t>
      </w:r>
      <w:r>
        <w:rPr>
          <w:rFonts w:ascii="Arial" w:hAnsi="Arial" w:cs="Arial" w:eastAsiaTheme="minorEastAsia"/>
          <w:sz w:val="22"/>
          <w:highlight w:val="none"/>
        </w:rPr>
        <w:t>以所投资基金的收盘价估值的，若估值日无交易，且最近交易日后市场环境未发生重大变化，按最近交易日的收盘价估值；如最近交易日后市场环境发生了重大变化的，可使用最新的基金份额净值为基础或参考类似投资品种的现行市场及重大变化因素调整最近交易市场，确定公允价值。</w:t>
      </w:r>
    </w:p>
    <w:p>
      <w:pPr>
        <w:adjustRightInd w:val="0"/>
        <w:spacing w:line="360" w:lineRule="auto"/>
        <w:ind w:firstLine="440" w:firstLineChars="200"/>
        <w:rPr>
          <w:rFonts w:ascii="Arial" w:hAnsi="Arial" w:cs="Arial" w:eastAsiaTheme="minorEastAsia"/>
          <w:kern w:val="0"/>
          <w:sz w:val="22"/>
          <w:highlight w:val="none"/>
        </w:rPr>
      </w:pPr>
      <w:r>
        <w:rPr>
          <w:rFonts w:hint="eastAsia" w:ascii="微软雅黑" w:hAnsi="微软雅黑" w:eastAsia="微软雅黑" w:cs="微软雅黑"/>
          <w:sz w:val="22"/>
          <w:highlight w:val="none"/>
        </w:rPr>
        <w:t>③</w:t>
      </w:r>
      <w:r>
        <w:rPr>
          <w:rFonts w:ascii="Arial" w:hAnsi="Arial" w:cs="Arial" w:eastAsiaTheme="minorEastAsia"/>
          <w:sz w:val="22"/>
          <w:highlight w:val="none"/>
        </w:rPr>
        <w:t>如果所投资基金前一估值日至估值日期间发生分红除权、折算或拆分，基金管理人应根据基金份额净值或收盘价、单位基金份额分红金额、折算拆分比例、持仓份额等因素合理确定公允价值。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其他资产管理产品的估值：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a.以估值日截止时点能够获得的、由所投资产管理产品的管理人和资产托管人共同确认的最新份额净值或投资收益情况进行估值；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b.如所投资产管理产品的产品合同未约定估值方案或其管理人提供的估值数据不公允，由管理人和托管人根据合理判断按反映产品公允价值的计量方案进行估值。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衍生品金融工具估值，包括但不限于利率互换等：</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a.场内交易的衍生品金融工具，以交易所最近交易日结算价或收盘价进行估值；</w:t>
      </w:r>
    </w:p>
    <w:p>
      <w:pPr>
        <w:spacing w:line="360" w:lineRule="auto"/>
        <w:ind w:firstLine="440" w:firstLineChars="200"/>
        <w:rPr>
          <w:rFonts w:ascii="Arial" w:hAnsi="Arial" w:cs="Arial" w:eastAsiaTheme="minorEastAsia"/>
          <w:kern w:val="0"/>
          <w:sz w:val="22"/>
          <w:highlight w:val="none"/>
        </w:rPr>
      </w:pPr>
      <w:r>
        <w:rPr>
          <w:rFonts w:ascii="Arial" w:hAnsi="Arial" w:cs="Arial" w:eastAsiaTheme="minorEastAsia"/>
          <w:kern w:val="0"/>
          <w:sz w:val="22"/>
          <w:highlight w:val="none"/>
        </w:rPr>
        <w:t>b.场外交易的衍生品金融工具，采用估值技术确定其公允价值，按照管理人和托管人认可的估值模型或第三方数据进行估值。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优先股的估值：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优先股按第三方估值机构（中债、中证等）提供的估值数据进行估值；无第三方估值的，由管理人和托管人根据合理判断按反映产品公允价值的计量方案进行估值。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结构性产品的估值：</w:t>
      </w:r>
    </w:p>
    <w:p>
      <w:pPr>
        <w:pStyle w:val="20"/>
        <w:spacing w:line="360" w:lineRule="auto"/>
        <w:ind w:firstLine="440"/>
        <w:rPr>
          <w:rFonts w:ascii="Arial" w:hAnsi="Arial" w:cs="Arial" w:eastAsiaTheme="minorEastAsia"/>
          <w:kern w:val="0"/>
          <w:sz w:val="22"/>
          <w:highlight w:val="none"/>
        </w:rPr>
      </w:pPr>
      <w:r>
        <w:rPr>
          <w:rFonts w:ascii="Arial" w:hAnsi="Arial" w:cs="Arial" w:eastAsiaTheme="minorEastAsia"/>
          <w:kern w:val="0"/>
          <w:sz w:val="22"/>
          <w:highlight w:val="none"/>
        </w:rPr>
        <w:t>结构性产品以发行人提供的最新估值价格或管理人与托管人认可的估值技术进行估值。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非标准化债权类资产的估值：</w:t>
      </w:r>
    </w:p>
    <w:p>
      <w:pPr>
        <w:pStyle w:val="20"/>
        <w:spacing w:line="360" w:lineRule="auto"/>
        <w:ind w:firstLine="440"/>
        <w:rPr>
          <w:rFonts w:ascii="Arial" w:hAnsi="Arial" w:cs="Arial" w:eastAsiaTheme="minorEastAsia"/>
          <w:kern w:val="0"/>
          <w:sz w:val="22"/>
          <w:szCs w:val="22"/>
          <w:highlight w:val="none"/>
        </w:rPr>
      </w:pPr>
      <w:r>
        <w:rPr>
          <w:rFonts w:ascii="Arial" w:hAnsi="Arial" w:cs="Arial" w:eastAsiaTheme="minorEastAsia"/>
          <w:kern w:val="0"/>
          <w:sz w:val="22"/>
          <w:highlight w:val="none"/>
        </w:rPr>
        <w:t>非标准化债权类资产按照管理人和托管人认可的估值方式进行估值。</w:t>
      </w:r>
    </w:p>
    <w:p>
      <w:pPr>
        <w:pStyle w:val="20"/>
        <w:numPr>
          <w:ilvl w:val="0"/>
          <w:numId w:val="13"/>
        </w:numPr>
        <w:spacing w:line="360" w:lineRule="auto"/>
        <w:ind w:left="0" w:firstLine="440"/>
        <w:rPr>
          <w:rFonts w:ascii="Arial" w:hAnsi="Arial" w:cs="Arial" w:eastAsiaTheme="minorEastAsia"/>
          <w:kern w:val="0"/>
          <w:sz w:val="22"/>
          <w:szCs w:val="22"/>
          <w:highlight w:val="none"/>
        </w:rPr>
      </w:pPr>
      <w:r>
        <w:rPr>
          <w:rFonts w:ascii="Arial" w:hAnsi="Arial" w:cs="Arial" w:eastAsiaTheme="minorEastAsia"/>
          <w:kern w:val="0"/>
          <w:sz w:val="22"/>
          <w:szCs w:val="22"/>
          <w:highlight w:val="none"/>
        </w:rPr>
        <w:t>其他类资产的估值：若本理财产品存续期间持有其他投资品种，以管理人和托管人共同认可的方法估值。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在任何情况下，如采用以上规定的方法对资产进行估值，均应被认为采用了适当的估值方法。如管理人有证据表明按上述规定不能客观反映本理财产品资产公允价值的，管理人可根据具体情况，在综合考虑市场成交价、市场报价、流动性、收益率曲线、标的信用风险等多种因素基础上，按最能反映本理财产品资产公允价值的方法估值。</w:t>
      </w:r>
    </w:p>
    <w:p>
      <w:pPr>
        <w:pStyle w:val="20"/>
        <w:numPr>
          <w:ilvl w:val="0"/>
          <w:numId w:val="10"/>
        </w:numPr>
        <w:spacing w:line="360" w:lineRule="auto"/>
        <w:ind w:left="0" w:firstLine="442"/>
        <w:rPr>
          <w:rFonts w:ascii="Arial" w:hAnsi="Arial" w:cs="Arial" w:eastAsiaTheme="minorEastAsia"/>
          <w:b/>
          <w:kern w:val="0"/>
          <w:sz w:val="22"/>
          <w:szCs w:val="22"/>
          <w:highlight w:val="none"/>
        </w:rPr>
      </w:pPr>
      <w:r>
        <w:rPr>
          <w:rFonts w:ascii="Arial" w:hAnsi="Arial" w:cs="Arial" w:eastAsiaTheme="minorEastAsia"/>
          <w:b/>
          <w:kern w:val="0"/>
          <w:sz w:val="22"/>
          <w:szCs w:val="22"/>
          <w:highlight w:val="none"/>
        </w:rPr>
        <w:t>相关法律法规以及监管部门、自律规则另有规定的，从其规定。如有新增事项，按国家最新规定估值。</w:t>
      </w:r>
    </w:p>
    <w:p>
      <w:pPr>
        <w:pStyle w:val="20"/>
        <w:numPr>
          <w:ilvl w:val="0"/>
          <w:numId w:val="9"/>
        </w:numPr>
        <w:snapToGrid w:val="0"/>
        <w:spacing w:line="360" w:lineRule="auto"/>
        <w:ind w:firstLineChars="0"/>
        <w:jc w:val="left"/>
        <w:rPr>
          <w:rFonts w:ascii="Arial" w:hAnsi="Arial" w:cs="Arial" w:eastAsiaTheme="minorEastAsia"/>
          <w:sz w:val="22"/>
          <w:szCs w:val="22"/>
          <w:highlight w:val="none"/>
        </w:rPr>
      </w:pPr>
      <w:r>
        <w:rPr>
          <w:rFonts w:ascii="Arial" w:hAnsi="Arial" w:cs="Arial" w:eastAsiaTheme="minorEastAsia"/>
          <w:b/>
          <w:spacing w:val="4"/>
          <w:sz w:val="22"/>
          <w:szCs w:val="22"/>
          <w:highlight w:val="none"/>
        </w:rPr>
        <w:t>暂停估值的情形</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根据本理财产品投资所涉及的交易场所遇法定假日或因其它原因暂停营业时；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因其他任何不可抗力致使产品管理人（或其授权人）、产品托管人无法准确评估理财所投资产价值时；</w:t>
      </w:r>
    </w:p>
    <w:p>
      <w:pPr>
        <w:pStyle w:val="20"/>
        <w:numPr>
          <w:ilvl w:val="0"/>
          <w:numId w:val="14"/>
        </w:numPr>
        <w:spacing w:line="360" w:lineRule="auto"/>
        <w:ind w:firstLine="440"/>
        <w:rPr>
          <w:rFonts w:ascii="Arial" w:hAnsi="Arial" w:cs="Arial" w:eastAsiaTheme="minorEastAsia"/>
          <w:color w:val="000000" w:themeColor="text1"/>
          <w:sz w:val="22"/>
          <w:highlight w:val="none"/>
          <w14:textFill>
            <w14:solidFill>
              <w14:schemeClr w14:val="tx1"/>
            </w14:solidFill>
          </w14:textFill>
        </w:rPr>
      </w:pPr>
      <w:r>
        <w:rPr>
          <w:rFonts w:ascii="Arial" w:hAnsi="Arial" w:cs="Arial" w:eastAsiaTheme="minorEastAsia"/>
          <w:color w:val="000000" w:themeColor="text1"/>
          <w:sz w:val="22"/>
          <w:highlight w:val="none"/>
          <w14:textFill>
            <w14:solidFill>
              <w14:schemeClr w14:val="tx1"/>
            </w14:solidFill>
          </w14:textFill>
        </w:rPr>
        <w:t>占本理财产品所投资产相当比例的投资品种的估值出现重大转变，而产品管理人（或其授权人）</w:t>
      </w:r>
      <w:r>
        <w:rPr>
          <w:rFonts w:ascii="Arial" w:hAnsi="Arial" w:cs="Arial" w:eastAsiaTheme="minorEastAsia"/>
          <w:color w:val="000000" w:themeColor="text1"/>
          <w:sz w:val="22"/>
          <w:szCs w:val="22"/>
          <w:highlight w:val="none"/>
          <w14:textFill>
            <w14:solidFill>
              <w14:schemeClr w14:val="tx1"/>
            </w14:solidFill>
          </w14:textFill>
        </w:rPr>
        <w:t>为保障资产委托人的利益</w:t>
      </w:r>
      <w:r>
        <w:rPr>
          <w:rFonts w:ascii="Arial" w:hAnsi="Arial" w:cs="Arial" w:eastAsiaTheme="minorEastAsia"/>
          <w:color w:val="000000" w:themeColor="text1"/>
          <w:sz w:val="22"/>
          <w:highlight w:val="none"/>
          <w14:textFill>
            <w14:solidFill>
              <w14:schemeClr w14:val="tx1"/>
            </w14:solidFill>
          </w14:textFill>
        </w:rPr>
        <w:t>，决定延迟估值并征得产品托管人同意的；</w:t>
      </w:r>
    </w:p>
    <w:p>
      <w:pPr>
        <w:pStyle w:val="20"/>
        <w:numPr>
          <w:ilvl w:val="0"/>
          <w:numId w:val="14"/>
        </w:numPr>
        <w:spacing w:line="360" w:lineRule="auto"/>
        <w:ind w:firstLine="440"/>
        <w:rPr>
          <w:rFonts w:ascii="Arial" w:hAnsi="Arial" w:cs="Arial" w:eastAsiaTheme="minorEastAsia"/>
          <w:highlight w:val="none"/>
        </w:rPr>
      </w:pPr>
      <w:r>
        <w:rPr>
          <w:rFonts w:ascii="Arial" w:hAnsi="Arial" w:cs="Arial" w:eastAsiaTheme="minorEastAsia"/>
          <w:color w:val="000000" w:themeColor="text1"/>
          <w:sz w:val="22"/>
          <w:highlight w:val="none"/>
          <w14:textFill>
            <w14:solidFill>
              <w14:schemeClr w14:val="tx1"/>
            </w14:solidFill>
          </w14:textFill>
        </w:rPr>
        <w:t>监管部门认定的其他情形。</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估值错误的处理</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（1）估值错误处理原则</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1）由于理财产品管理人或理财产品托管人自身的过错造成估值错误，导致投资者遭受损失的，由估值错误责任方按照各自过错程度对该估值错误导致投资者遭受的直接损失给予赔偿，承担赔偿责任。</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w:t>
      </w:r>
      <w:r>
        <w:rPr>
          <w:rFonts w:ascii="Arial" w:hAnsi="Arial" w:cs="Arial" w:eastAsiaTheme="minorEastAsia"/>
          <w:highlight w:val="none"/>
        </w:rPr>
        <w:t>因理财产品托管人估值错误造成财产损失，管理人先行赔付的，管理人有权向托管人追偿。</w:t>
      </w:r>
      <w:r>
        <w:rPr>
          <w:rFonts w:ascii="Arial" w:hAnsi="Arial" w:cs="Arial" w:eastAsiaTheme="minorEastAsia"/>
          <w:spacing w:val="4"/>
          <w:sz w:val="22"/>
          <w:szCs w:val="22"/>
          <w:highlight w:val="none"/>
        </w:rPr>
        <w:t>若理财产品管理人和理财产品托管人之外的第三方估值差错造成财产的损失，并拒绝进行赔偿时，由理财产品管理人负责向差错方追偿；追偿过程中产生的有关费用，应列入理财产品费用，由理财产品承担。</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4）当估值出现错误时，因估值错误而获得不当得利的投资者负有及时返还不当得利的义务。</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5）按法律法规规定的其他原则处理估值错误。</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（2）估值错误处理程序</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估值错误被发现后，有关的当事人应当及时进行处理，处理的程序如下：</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1）查明估值错误发生的原因，列明所有的当事人，并根据估值错误发生的原因确定估值错误的责任方；</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2）根据估值错误处理原则或当事人协商的方法对因估值错误造成的损失进行评估；</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3）根据估值错误处理原则或当事人协商的方法由估值错误的责任方进行更正和赔偿损失；</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4）根据估值错误处理的方法，需要修改理财产品登记机构交易数据的，由理财产品管理人进行更正，并就估值错误的更正向有关当事人进行确认。</w:t>
      </w:r>
    </w:p>
    <w:p>
      <w:pPr>
        <w:snapToGrid w:val="0"/>
        <w:spacing w:line="360" w:lineRule="auto"/>
        <w:ind w:firstLine="458" w:firstLineChars="20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（3）特殊情况的处理</w:t>
      </w:r>
    </w:p>
    <w:p>
      <w:pPr>
        <w:snapToGrid w:val="0"/>
        <w:spacing w:line="360" w:lineRule="auto"/>
        <w:ind w:firstLine="456" w:firstLineChars="200"/>
        <w:jc w:val="left"/>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1）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pPr>
        <w:snapToGrid w:val="0"/>
        <w:spacing w:line="360" w:lineRule="auto"/>
        <w:ind w:firstLine="456" w:firstLineChars="200"/>
        <w:rPr>
          <w:rFonts w:ascii="Arial" w:hAnsi="Arial" w:cs="Arial" w:eastAsiaTheme="minorEastAsia"/>
          <w:spacing w:val="4"/>
          <w:sz w:val="22"/>
          <w:szCs w:val="22"/>
          <w:highlight w:val="none"/>
        </w:rPr>
      </w:pPr>
      <w:r>
        <w:rPr>
          <w:rFonts w:ascii="Arial" w:hAnsi="Arial" w:cs="Arial" w:eastAsiaTheme="minorEastAsia"/>
          <w:spacing w:val="4"/>
          <w:sz w:val="22"/>
          <w:szCs w:val="22"/>
          <w:highlight w:val="none"/>
        </w:rPr>
        <w:t>2）前述内容如法律法规、监管机关另有规定的，或有关会计准则发生变化等，按照国家最新规定估值。如果行业另有通行做法，理财产品管理人和托管人双方本着平等和保护份额持有人利益的原则进行协商。</w:t>
      </w:r>
    </w:p>
    <w:p>
      <w:pPr>
        <w:pStyle w:val="20"/>
        <w:numPr>
          <w:ilvl w:val="0"/>
          <w:numId w:val="9"/>
        </w:numPr>
        <w:snapToGrid w:val="0"/>
        <w:spacing w:line="360" w:lineRule="auto"/>
        <w:ind w:firstLineChars="0"/>
        <w:jc w:val="left"/>
        <w:rPr>
          <w:rFonts w:ascii="Arial" w:hAnsi="Arial" w:cs="Arial" w:eastAsiaTheme="minorEastAsia"/>
          <w:b/>
          <w:spacing w:val="4"/>
          <w:sz w:val="22"/>
          <w:szCs w:val="22"/>
          <w:highlight w:val="none"/>
        </w:rPr>
      </w:pPr>
      <w:r>
        <w:rPr>
          <w:rFonts w:ascii="Arial" w:hAnsi="Arial" w:cs="Arial" w:eastAsiaTheme="minorEastAsia"/>
          <w:b/>
          <w:spacing w:val="4"/>
          <w:sz w:val="22"/>
          <w:szCs w:val="22"/>
          <w:highlight w:val="none"/>
        </w:rPr>
        <w:t>其他</w:t>
      </w:r>
    </w:p>
    <w:p>
      <w:pPr>
        <w:snapToGrid w:val="0"/>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若因国家规定或有确凿证据表明按上述方法进行计价不能客观反映公允价值的，产品管理人有权按照最能反映其公允价值的方法计价，并及时向投资者公告。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理财资金所承担的相关费用</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本理财产品所承担的费用包括产品固定管理费、产品托管费、销售服务费、浮动管理费（如有）、增值税及附加税费等费用以及其它应由本理财产品资产承担的产品费用。</w:t>
      </w:r>
    </w:p>
    <w:p>
      <w:pPr>
        <w:tabs>
          <w:tab w:val="left" w:pos="8647"/>
        </w:tabs>
        <w:autoSpaceDE w:val="0"/>
        <w:autoSpaceDN w:val="0"/>
        <w:adjustRightInd w:val="0"/>
        <w:spacing w:line="360" w:lineRule="auto"/>
        <w:ind w:firstLine="440" w:firstLineChars="200"/>
        <w:rPr>
          <w:rFonts w:ascii="Arial" w:hAnsi="Arial" w:cs="Arial"/>
          <w:color w:val="000000"/>
          <w:sz w:val="22"/>
          <w:szCs w:val="22"/>
          <w:highlight w:val="none"/>
        </w:rPr>
      </w:pPr>
      <w:r>
        <w:rPr>
          <w:rFonts w:hint="eastAsia" w:ascii="Arial" w:hAnsi="Arial" w:cs="Arial"/>
          <w:color w:val="000000"/>
          <w:sz w:val="22"/>
          <w:szCs w:val="22"/>
          <w:highlight w:val="none"/>
        </w:rPr>
        <w:t>本</w:t>
      </w:r>
      <w:r>
        <w:rPr>
          <w:rFonts w:ascii="Arial" w:hAnsi="Arial" w:cs="Arial"/>
          <w:color w:val="000000"/>
          <w:sz w:val="22"/>
          <w:szCs w:val="22"/>
          <w:highlight w:val="none"/>
        </w:rPr>
        <w:t>理财</w:t>
      </w:r>
      <w:r>
        <w:rPr>
          <w:rFonts w:hint="eastAsia" w:ascii="Arial" w:hAnsi="Arial" w:cs="Arial"/>
          <w:color w:val="000000"/>
          <w:sz w:val="22"/>
          <w:szCs w:val="22"/>
          <w:highlight w:val="none"/>
        </w:rPr>
        <w:t>产品</w:t>
      </w:r>
      <w:r>
        <w:rPr>
          <w:rFonts w:ascii="Arial" w:hAnsi="Arial" w:cs="Arial"/>
          <w:color w:val="000000"/>
          <w:sz w:val="22"/>
          <w:szCs w:val="22"/>
          <w:highlight w:val="none"/>
        </w:rPr>
        <w:t>费用按本</w:t>
      </w:r>
      <w:r>
        <w:rPr>
          <w:rFonts w:hint="eastAsia" w:ascii="Arial" w:hAnsi="Arial" w:cs="Arial"/>
          <w:color w:val="000000"/>
          <w:sz w:val="22"/>
          <w:szCs w:val="22"/>
          <w:highlight w:val="none"/>
        </w:rPr>
        <w:t>理财</w:t>
      </w:r>
      <w:r>
        <w:rPr>
          <w:rFonts w:ascii="Arial" w:hAnsi="Arial" w:cs="Arial"/>
          <w:color w:val="000000"/>
          <w:sz w:val="22"/>
          <w:szCs w:val="22"/>
          <w:highlight w:val="none"/>
        </w:rPr>
        <w:t>产品说明书及管理人与费用收取方之间的协议约定从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理财产品资产中支付。管理人或</w:t>
      </w:r>
      <w:r>
        <w:rPr>
          <w:rFonts w:hint="eastAsia" w:ascii="Arial" w:hAnsi="Arial" w:cs="Arial"/>
          <w:color w:val="000000"/>
          <w:sz w:val="22"/>
          <w:szCs w:val="22"/>
          <w:highlight w:val="none"/>
        </w:rPr>
        <w:t>本</w:t>
      </w:r>
      <w:r>
        <w:rPr>
          <w:rFonts w:ascii="Arial" w:hAnsi="Arial" w:cs="Arial"/>
          <w:color w:val="000000"/>
          <w:sz w:val="22"/>
          <w:szCs w:val="22"/>
          <w:highlight w:val="none"/>
        </w:rPr>
        <w:t>理财产品参与方以固有财产先行垫付的，有权从</w:t>
      </w:r>
      <w:r>
        <w:rPr>
          <w:rFonts w:hint="eastAsia" w:ascii="Arial" w:hAnsi="Arial" w:cs="Arial"/>
          <w:color w:val="000000"/>
          <w:sz w:val="22"/>
          <w:szCs w:val="22"/>
          <w:highlight w:val="none"/>
        </w:rPr>
        <w:t>本</w:t>
      </w:r>
      <w:r>
        <w:rPr>
          <w:rFonts w:ascii="Arial" w:hAnsi="Arial" w:cs="Arial"/>
          <w:color w:val="000000"/>
          <w:sz w:val="22"/>
          <w:szCs w:val="22"/>
          <w:highlight w:val="none"/>
        </w:rPr>
        <w:t>理财产品资产中优先受偿。</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hint="eastAsia" w:ascii="Arial" w:hAnsi="Arial" w:cs="Arial"/>
          <w:color w:val="000000"/>
          <w:sz w:val="22"/>
          <w:szCs w:val="22"/>
          <w:highlight w:val="none"/>
        </w:rPr>
        <w:t>产品</w:t>
      </w:r>
      <w:r>
        <w:rPr>
          <w:rFonts w:ascii="Arial" w:hAnsi="Arial" w:cs="Arial"/>
          <w:color w:val="000000"/>
          <w:sz w:val="22"/>
          <w:szCs w:val="22"/>
          <w:highlight w:val="none"/>
        </w:rPr>
        <w:t>固定管理费</w:t>
      </w:r>
      <w:r>
        <w:rPr>
          <w:rFonts w:hint="eastAsia" w:ascii="Arial" w:hAnsi="Arial" w:cs="Arial"/>
          <w:color w:val="000000"/>
          <w:sz w:val="22"/>
          <w:szCs w:val="22"/>
          <w:highlight w:val="none"/>
        </w:rPr>
        <w:t>、托管费、销售服务费</w:t>
      </w:r>
      <w:r>
        <w:rPr>
          <w:rFonts w:ascii="Arial" w:hAnsi="Arial" w:cs="Arial"/>
          <w:color w:val="000000"/>
          <w:sz w:val="22"/>
          <w:szCs w:val="22"/>
          <w:highlight w:val="none"/>
        </w:rPr>
        <w:t>精确到小数点后2位，小数点2位以后</w:t>
      </w:r>
      <w:r>
        <w:rPr>
          <w:rFonts w:hint="eastAsia" w:ascii="Arial" w:hAnsi="Arial" w:cs="Arial"/>
          <w:color w:val="000000"/>
          <w:sz w:val="22"/>
          <w:szCs w:val="22"/>
          <w:highlight w:val="none"/>
        </w:rPr>
        <w:t>四舍五入</w:t>
      </w:r>
      <w:r>
        <w:rPr>
          <w:rFonts w:ascii="Arial" w:hAnsi="Arial" w:cs="Arial"/>
          <w:color w:val="000000" w:themeColor="text1"/>
          <w:sz w:val="22"/>
          <w:szCs w:val="22"/>
          <w:highlight w:val="none"/>
          <w14:textFill>
            <w14:solidFill>
              <w14:schemeClr w14:val="tx1"/>
            </w14:solidFill>
          </w14:textFill>
        </w:rPr>
        <w:t>。</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产品固定管理费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各类份额产品固定管理费按不超过前一日本理财产品对应份额的资产净值的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年费率计提。各类份额的固定管理费率以管理人公告为准。计算方法如下：</w:t>
      </w:r>
    </w:p>
    <w:p>
      <w:pPr>
        <w:autoSpaceDE w:val="0"/>
        <w:autoSpaceDN w:val="0"/>
        <w:adjustRightInd w:val="0"/>
        <w:spacing w:line="360" w:lineRule="auto"/>
        <w:ind w:firstLine="440" w:firstLineChars="200"/>
        <w:rPr>
          <w:rFonts w:ascii="Arial" w:hAnsi="Arial" w:cs="Arial" w:eastAsiaTheme="minorEastAsia"/>
          <w:color w:val="000000"/>
          <w:sz w:val="22"/>
          <w:highlight w:val="none"/>
          <w:vertAlign w:val="subscript"/>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×固定管理费率÷365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H为每日应计提的产品固定管理费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产品固定管理费每日计提，按期支付。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各类份额产品托管费按不超过前一日本理财产品对应份额的资产净值的</w:t>
      </w:r>
      <w:r>
        <w:rPr>
          <w:rFonts w:ascii="Arial" w:hAnsi="Arial" w:cs="Arial" w:eastAsiaTheme="minorEastAsia"/>
          <w:color w:val="000000"/>
          <w:sz w:val="22"/>
          <w:szCs w:val="22"/>
          <w:highlight w:val="none"/>
        </w:rPr>
        <w:t>0.03</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年费率计提。各类份额的托管费率以管理人公告为准。计算方法如下： </w:t>
      </w:r>
    </w:p>
    <w:p>
      <w:pPr>
        <w:tabs>
          <w:tab w:val="left" w:pos="8647"/>
        </w:tabs>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×托管费率÷365</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H为每日应计提的产品托管费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产品托管费每日计提，按期支付。</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产品销售服务费</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各类份额销售服务费按不超过前一日本理财产品对应份额的资产净值的</w:t>
      </w:r>
      <w:r>
        <w:rPr>
          <w:rFonts w:ascii="Arial" w:hAnsi="Arial" w:cs="Arial" w:eastAsiaTheme="minorEastAsia"/>
          <w:color w:val="000000"/>
          <w:sz w:val="22"/>
          <w:szCs w:val="22"/>
          <w:highlight w:val="none"/>
        </w:rPr>
        <w:t>0.50</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 xml:space="preserve">年费率计提。各类份额的销售服务费率以管理人公告为准。计算方法如下： </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w:t>
      </w:r>
      <m:oMath>
        <m:nary>
          <m:naryPr>
            <m:chr m:val="∑"/>
            <m:limLoc m:val="undOvr"/>
            <m:subHide m:val="1"/>
            <m:supHide m:val="1"/>
            <m:ctrlPr>
              <w:rPr>
                <w:rFonts w:ascii="Cambria Math" w:hAnsi="Cambria Math" w:cs="Arial" w:eastAsiaTheme="minorEastAsia"/>
                <w:color w:val="000000"/>
                <w:sz w:val="22"/>
                <w:szCs w:val="22"/>
                <w:highlight w:val="none"/>
              </w:rPr>
            </m:ctrlPr>
          </m:naryPr>
          <m:sub>
            <m:ctrlPr>
              <w:rPr>
                <w:rFonts w:ascii="Cambria Math" w:hAnsi="Cambria Math" w:cs="Arial" w:eastAsiaTheme="minorEastAsia"/>
                <w:color w:val="000000"/>
                <w:sz w:val="22"/>
                <w:szCs w:val="22"/>
                <w:highlight w:val="none"/>
              </w:rPr>
            </m:ctrlPr>
          </m:sub>
          <m:sup>
            <m:ctrlPr>
              <w:rPr>
                <w:rFonts w:ascii="Cambria Math" w:hAnsi="Cambria Math" w:cs="Arial" w:eastAsiaTheme="minorEastAsia"/>
                <w:color w:val="000000"/>
                <w:sz w:val="22"/>
                <w:szCs w:val="22"/>
                <w:highlight w:val="none"/>
              </w:rPr>
            </m:ctrlPr>
          </m:sup>
          <m:e>
            <m:sSub>
              <m:sSubPr>
                <m:ctrlPr>
                  <w:rPr>
                    <w:rFonts w:ascii="Cambria Math" w:hAnsi="Cambria Math" w:cs="Arial" w:eastAsiaTheme="minorEastAsia"/>
                    <w:color w:val="000000"/>
                    <w:sz w:val="22"/>
                    <w:szCs w:val="22"/>
                    <w:highlight w:val="none"/>
                  </w:rPr>
                </m:ctrlPr>
              </m:sSubPr>
              <m:e>
                <m:r>
                  <m:rPr/>
                  <w:rPr>
                    <w:rFonts w:ascii="Cambria Math" w:hAnsi="Cambria Math" w:cs="Arial" w:eastAsiaTheme="minorEastAsia"/>
                    <w:color w:val="000000"/>
                    <w:sz w:val="22"/>
                    <w:szCs w:val="22"/>
                    <w:highlight w:val="none"/>
                  </w:rPr>
                  <m:t>E</m:t>
                </m:r>
                <m:ctrlPr>
                  <w:rPr>
                    <w:rFonts w:ascii="Cambria Math" w:hAnsi="Cambria Math" w:cs="Arial" w:eastAsiaTheme="minorEastAsia"/>
                    <w:color w:val="000000"/>
                    <w:sz w:val="22"/>
                    <w:szCs w:val="22"/>
                    <w:highlight w:val="none"/>
                  </w:rPr>
                </m:ctrlPr>
              </m:e>
              <m:sub>
                <m:r>
                  <m:rPr/>
                  <w:rPr>
                    <w:rFonts w:ascii="Cambria Math" w:hAnsi="Cambria Math" w:cs="Arial" w:eastAsiaTheme="minorEastAsia"/>
                    <w:color w:val="000000"/>
                    <w:sz w:val="22"/>
                    <w:szCs w:val="22"/>
                    <w:highlight w:val="none"/>
                  </w:rPr>
                  <m:t>i</m:t>
                </m:r>
                <m:ctrlPr>
                  <w:rPr>
                    <w:rFonts w:ascii="Cambria Math" w:hAnsi="Cambria Math" w:cs="Arial" w:eastAsiaTheme="minorEastAsia"/>
                    <w:color w:val="000000"/>
                    <w:sz w:val="22"/>
                    <w:szCs w:val="22"/>
                    <w:highlight w:val="none"/>
                  </w:rPr>
                </m:ctrlPr>
              </m:sub>
            </m:sSub>
            <m:ctrlPr>
              <w:rPr>
                <w:rFonts w:ascii="Cambria Math" w:hAnsi="Cambria Math" w:cs="Arial" w:eastAsiaTheme="minorEastAsia"/>
                <w:color w:val="000000"/>
                <w:sz w:val="22"/>
                <w:szCs w:val="22"/>
                <w:highlight w:val="none"/>
              </w:rPr>
            </m:ctrlPr>
          </m:e>
        </m:nary>
      </m:oMath>
      <w:r>
        <w:rPr>
          <w:rFonts w:ascii="Arial" w:hAnsi="Arial" w:cs="Arial" w:eastAsiaTheme="minorEastAsia"/>
          <w:color w:val="000000"/>
          <w:sz w:val="22"/>
          <w:szCs w:val="22"/>
          <w:highlight w:val="none"/>
        </w:rPr>
        <w:t>×各份额销售服务费率</w:t>
      </w:r>
      <w:r>
        <w:rPr>
          <w:rFonts w:ascii="Arial" w:hAnsi="Arial" w:cs="Arial" w:eastAsiaTheme="minorEastAsia"/>
          <w:color w:val="000000"/>
          <w:sz w:val="22"/>
          <w:highlight w:val="none"/>
        </w:rPr>
        <w:t>÷365</w:t>
      </w:r>
    </w:p>
    <w:p>
      <w:pPr>
        <w:autoSpaceDE w:val="0"/>
        <w:autoSpaceDN w:val="0"/>
        <w:adjustRightInd w:val="0"/>
        <w:spacing w:line="360" w:lineRule="auto"/>
        <w:ind w:firstLine="440" w:firstLineChars="200"/>
        <w:rPr>
          <w:rFonts w:ascii="Arial" w:hAnsi="Arial" w:cs="Arial" w:eastAsiaTheme="minorEastAsia"/>
          <w:color w:val="000000"/>
          <w:sz w:val="22"/>
          <w:highlight w:val="none"/>
        </w:rPr>
      </w:pPr>
      <w:r>
        <w:rPr>
          <w:rFonts w:ascii="Arial" w:hAnsi="Arial" w:cs="Arial" w:eastAsiaTheme="minorEastAsia"/>
          <w:color w:val="000000"/>
          <w:sz w:val="22"/>
          <w:highlight w:val="none"/>
        </w:rPr>
        <w:t>H为每日应计提的销售服务费</w:t>
      </w:r>
    </w:p>
    <w:p>
      <w:pPr>
        <w:autoSpaceDE w:val="0"/>
        <w:autoSpaceDN w:val="0"/>
        <w:adjustRightInd w:val="0"/>
        <w:spacing w:line="360" w:lineRule="auto"/>
        <w:ind w:firstLine="480" w:firstLineChars="200"/>
        <w:rPr>
          <w:rFonts w:ascii="Arial" w:hAnsi="Arial" w:cs="Arial" w:eastAsiaTheme="minorEastAsia"/>
          <w:color w:val="000000"/>
          <w:sz w:val="22"/>
          <w:szCs w:val="22"/>
          <w:highlight w:val="none"/>
        </w:rPr>
      </w:pPr>
      <m:oMath>
        <m:sSub>
          <m:sSubPr>
            <m:ctrlPr>
              <w:rPr>
                <w:rFonts w:ascii="Cambria Math" w:hAnsi="Cambria Math" w:cs="Arial" w:eastAsiaTheme="minorEastAsia"/>
                <w:color w:val="000000"/>
                <w:sz w:val="24"/>
                <w:highlight w:val="none"/>
              </w:rPr>
            </m:ctrlPr>
          </m:sSubPr>
          <m:e>
            <m:r>
              <m:rPr/>
              <w:rPr>
                <w:rFonts w:ascii="Cambria Math" w:hAnsi="Cambria Math" w:cs="Arial" w:eastAsiaTheme="minorEastAsia"/>
                <w:color w:val="000000"/>
                <w:sz w:val="24"/>
                <w:highlight w:val="none"/>
              </w:rPr>
              <m:t>E</m:t>
            </m:r>
            <m:ctrlPr>
              <w:rPr>
                <w:rFonts w:ascii="Cambria Math" w:hAnsi="Cambria Math" w:cs="Arial" w:eastAsiaTheme="minorEastAsia"/>
                <w:color w:val="000000"/>
                <w:sz w:val="24"/>
                <w:highlight w:val="none"/>
              </w:rPr>
            </m:ctrlPr>
          </m:e>
          <m:sub>
            <m:r>
              <m:rPr/>
              <w:rPr>
                <w:rFonts w:ascii="Cambria Math" w:hAnsi="Cambria Math" w:cs="Arial" w:eastAsiaTheme="minorEastAsia"/>
                <w:color w:val="000000"/>
                <w:sz w:val="24"/>
                <w:highlight w:val="none"/>
              </w:rPr>
              <m:t>i</m:t>
            </m:r>
            <m:ctrlPr>
              <w:rPr>
                <w:rFonts w:ascii="Cambria Math" w:hAnsi="Cambria Math" w:cs="Arial" w:eastAsiaTheme="minorEastAsia"/>
                <w:color w:val="000000"/>
                <w:sz w:val="24"/>
                <w:highlight w:val="none"/>
              </w:rPr>
            </m:ctrlPr>
          </m:sub>
        </m:sSub>
      </m:oMath>
      <w:r>
        <w:rPr>
          <w:rFonts w:ascii="Arial" w:hAnsi="Arial" w:cs="Arial" w:eastAsiaTheme="minorEastAsia"/>
          <w:color w:val="000000"/>
          <w:sz w:val="22"/>
          <w:szCs w:val="22"/>
          <w:highlight w:val="none"/>
        </w:rPr>
        <w:t>为前一日本理财产品某类份额资产净值</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产品销售服务费每日计提，按期支付。</w:t>
      </w:r>
    </w:p>
    <w:p>
      <w:pPr>
        <w:widowControl/>
        <w:numPr>
          <w:ilvl w:val="0"/>
          <w:numId w:val="16"/>
        </w:numPr>
        <w:autoSpaceDE w:val="0"/>
        <w:autoSpaceDN w:val="0"/>
        <w:adjustRightInd w:val="0"/>
        <w:spacing w:line="360" w:lineRule="auto"/>
        <w:ind w:hanging="3679"/>
        <w:rPr>
          <w:rFonts w:ascii="Arial" w:hAnsi="Arial" w:cs="Arial" w:eastAsiaTheme="minorEastAsia"/>
          <w:b/>
          <w:color w:val="000000" w:themeColor="text1"/>
          <w:sz w:val="22"/>
          <w:szCs w:val="22"/>
          <w:highlight w:val="none"/>
          <w14:textFill>
            <w14:solidFill>
              <w14:schemeClr w14:val="tx1"/>
            </w14:solidFill>
          </w14:textFill>
        </w:rPr>
      </w:pPr>
      <w:r>
        <w:rPr>
          <w:rFonts w:ascii="Arial" w:hAnsi="Arial" w:cs="Arial" w:eastAsiaTheme="minorEastAsia"/>
          <w:b/>
          <w:color w:val="000000" w:themeColor="text1"/>
          <w:sz w:val="22"/>
          <w:szCs w:val="22"/>
          <w:highlight w:val="none"/>
          <w14:textFill>
            <w14:solidFill>
              <w14:schemeClr w14:val="tx1"/>
            </w14:solidFill>
          </w14:textFill>
        </w:rPr>
        <w:t>浮动管理费（如有）</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kern w:val="0"/>
          <w:sz w:val="22"/>
          <w:szCs w:val="22"/>
          <w:highlight w:val="none"/>
        </w:rPr>
        <w:t>本理财产品浮动管理费计提基准为</w:t>
      </w:r>
      <w:r>
        <w:rPr>
          <w:rFonts w:ascii="Arial" w:hAnsi="Arial" w:cs="Arial" w:eastAsiaTheme="minorEastAsia"/>
          <w:b/>
          <w:sz w:val="22"/>
          <w:szCs w:val="22"/>
          <w:highlight w:val="none"/>
        </w:rPr>
        <w:t>各类份额的业绩比较基准上限</w:t>
      </w:r>
      <w:r>
        <w:rPr>
          <w:rFonts w:ascii="Arial" w:hAnsi="Arial" w:cs="Arial" w:eastAsiaTheme="minorEastAsia"/>
          <w:color w:val="000000" w:themeColor="text1"/>
          <w:kern w:val="0"/>
          <w:sz w:val="22"/>
          <w:szCs w:val="22"/>
          <w:highlight w:val="none"/>
          <w14:textFill>
            <w14:solidFill>
              <w14:schemeClr w14:val="tx1"/>
            </w14:solidFill>
          </w14:textFill>
        </w:rPr>
        <w:t>。在浮动管理费计提评价日，若本理财产品扣除各项费用后的年化投资收益率大于浮动管理费计提基准，管理人将收取超过浮动管理费计提基准部分的</w:t>
      </w:r>
      <w:r>
        <w:rPr>
          <w:rFonts w:ascii="Arial" w:hAnsi="Arial" w:cs="Arial" w:eastAsiaTheme="minorEastAsia"/>
          <w:color w:val="000000" w:themeColor="text1"/>
          <w:kern w:val="0"/>
          <w:sz w:val="22"/>
          <w:szCs w:val="22"/>
          <w:highlight w:val="none"/>
          <w14:textFill>
            <w14:solidFill>
              <w14:schemeClr w14:val="tx1"/>
            </w14:solidFill>
          </w14:textFill>
        </w:rPr>
        <w:t>【</w:t>
      </w:r>
      <w:r>
        <w:rPr>
          <w:rFonts w:hint="eastAsia" w:ascii="Arial" w:hAnsi="Arial" w:cs="Arial" w:eastAsiaTheme="minorEastAsia"/>
          <w:color w:val="000000" w:themeColor="text1"/>
          <w:kern w:val="0"/>
          <w:sz w:val="22"/>
          <w:szCs w:val="22"/>
          <w:highlight w:val="none"/>
          <w14:textFill>
            <w14:solidFill>
              <w14:schemeClr w14:val="tx1"/>
            </w14:solidFill>
          </w14:textFill>
        </w:rPr>
        <w:t>50.00</w:t>
      </w:r>
      <w:r>
        <w:rPr>
          <w:rFonts w:ascii="Arial" w:hAnsi="Arial" w:cs="Arial" w:eastAsiaTheme="minorEastAsia"/>
          <w:color w:val="000000" w:themeColor="text1"/>
          <w:kern w:val="0"/>
          <w:sz w:val="22"/>
          <w:szCs w:val="22"/>
          <w:highlight w:val="none"/>
          <w14:textFill>
            <w14:solidFill>
              <w14:schemeClr w14:val="tx1"/>
            </w14:solidFill>
          </w14:textFill>
        </w:rPr>
        <w:t>】</w:t>
      </w:r>
      <w:r>
        <w:rPr>
          <w:rFonts w:ascii="Arial" w:hAnsi="Arial" w:cs="Arial" w:eastAsiaTheme="minorEastAsia"/>
          <w:color w:val="000000" w:themeColor="text1"/>
          <w:kern w:val="0"/>
          <w:sz w:val="22"/>
          <w:szCs w:val="22"/>
          <w:highlight w:val="none"/>
          <w14:textFill>
            <w14:solidFill>
              <w14:schemeClr w14:val="tx1"/>
            </w14:solidFill>
          </w14:textFill>
        </w:rPr>
        <w:t>%作为浮动管理费。本理财产品的浮动管理费计提评价日为本理财产品终止日。</w:t>
      </w:r>
      <w:r>
        <w:rPr>
          <w:rFonts w:ascii="Arial" w:hAnsi="Arial" w:cs="Arial" w:eastAsiaTheme="minorEastAsia"/>
          <w:b/>
          <w:color w:val="000000" w:themeColor="text1"/>
          <w:kern w:val="0"/>
          <w:sz w:val="22"/>
          <w:szCs w:val="22"/>
          <w:highlight w:val="none"/>
          <w14:textFill>
            <w14:solidFill>
              <w14:schemeClr w14:val="tx1"/>
            </w14:solidFill>
          </w14:textFill>
        </w:rPr>
        <w:t>浮动管理费计提基准仅作为计算管理人浮动管理费的依据，不代表本理财产品的未来表现和实际收益，不构成管理人对本理财产品的任何收益承诺。</w:t>
      </w:r>
    </w:p>
    <w:p>
      <w:pPr>
        <w:spacing w:line="360" w:lineRule="auto"/>
        <w:ind w:firstLine="440" w:firstLineChars="20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浮动管理费计算方法如下：</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 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×365/D</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X 表示本理财产品的不同份额，本理财产品份额类型以本理财产品说明书相关约定为准</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 xml:space="preserve">为本理财产品终止日X份额计提浮动管理费前的持有期年化投资收益率（按四舍五入法保留6位小数）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X本理财产品终止日累计单位净值</w:t>
      </w:r>
      <w:r>
        <w:rPr>
          <w:rFonts w:ascii="Arial" w:hAnsi="Arial" w:cs="Arial" w:eastAsiaTheme="minorEastAsia"/>
          <w:color w:val="000000"/>
          <w:sz w:val="22"/>
          <w:szCs w:val="22"/>
          <w:highlight w:val="none"/>
        </w:rPr>
        <w:t xml:space="preserve">为本理财产品终止日X份额浮动管理费计提前的产品累计单位净值 </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P</w:t>
      </w:r>
      <w:r>
        <w:rPr>
          <w:rFonts w:ascii="Arial" w:hAnsi="Arial" w:cs="Arial" w:eastAsiaTheme="minorEastAsia"/>
          <w:color w:val="000000"/>
          <w:sz w:val="22"/>
          <w:szCs w:val="22"/>
          <w:highlight w:val="none"/>
          <w:vertAlign w:val="subscript"/>
        </w:rPr>
        <w:t>X成立日单位净值</w:t>
      </w:r>
      <w:r>
        <w:rPr>
          <w:rFonts w:ascii="Arial" w:hAnsi="Arial" w:cs="Arial" w:eastAsiaTheme="minorEastAsia"/>
          <w:color w:val="000000"/>
          <w:sz w:val="22"/>
          <w:szCs w:val="22"/>
          <w:highlight w:val="none"/>
        </w:rPr>
        <w:t>为本理财产品成立日X份额的期初单位净值</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D为理财产品成立日（含）至本理财产品终止日（含）的持有天数</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r>
        <w:rPr>
          <w:rFonts w:hint="eastAsia" w:ascii="Arial" w:hAnsi="Arial" w:cs="Arial" w:eastAsiaTheme="minorEastAsia"/>
          <w:color w:val="000000"/>
          <w:sz w:val="22"/>
          <w:szCs w:val="22"/>
          <w:highlight w:val="none"/>
        </w:rPr>
        <w:t>50.00</w:t>
      </w:r>
      <w:r>
        <w:rPr>
          <w:rFonts w:ascii="Arial" w:hAnsi="Arial" w:cs="Arial" w:eastAsiaTheme="minorEastAsia"/>
          <w:color w:val="000000"/>
          <w:sz w:val="22"/>
          <w:szCs w:val="22"/>
          <w:highlight w:val="none"/>
        </w:rPr>
        <w:t>】</w:t>
      </w:r>
      <w:r>
        <w:rPr>
          <w:rFonts w:ascii="Arial" w:hAnsi="Arial" w:cs="Arial" w:eastAsiaTheme="minorEastAsia"/>
          <w:color w:val="000000"/>
          <w:sz w:val="22"/>
          <w:szCs w:val="22"/>
          <w:highlight w:val="none"/>
        </w:rPr>
        <w:t>%</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M</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为本理财产品终止日X份额应计提的浮动管理费费率</w:t>
      </w:r>
    </w:p>
    <w:p>
      <w:pPr>
        <w:spacing w:line="360" w:lineRule="auto"/>
        <w:ind w:right="141" w:firstLine="44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r</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为X份额的浮动管理费计提基准</w:t>
      </w:r>
    </w:p>
    <w:p>
      <w:pPr>
        <w:spacing w:line="360" w:lineRule="auto"/>
        <w:ind w:right="141" w:firstLine="440" w:firstLineChars="20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F</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=M</w:t>
      </w:r>
      <w:r>
        <w:rPr>
          <w:rFonts w:ascii="Arial" w:hAnsi="Arial" w:cs="Arial" w:eastAsiaTheme="minorEastAsia"/>
          <w:color w:val="000000"/>
          <w:kern w:val="0"/>
          <w:sz w:val="22"/>
          <w:szCs w:val="22"/>
          <w:highlight w:val="none"/>
          <w:vertAlign w:val="subscript"/>
        </w:rPr>
        <w:t>X</w:t>
      </w:r>
      <w:r>
        <w:rPr>
          <w:rFonts w:ascii="Arial" w:hAnsi="Arial" w:cs="Arial" w:eastAsiaTheme="minorEastAsia"/>
          <w:color w:val="000000"/>
          <w:kern w:val="0"/>
          <w:sz w:val="22"/>
          <w:szCs w:val="22"/>
          <w:highlight w:val="none"/>
        </w:rPr>
        <w:t>×本理财产品X份额终止日的总份额×P</w:t>
      </w:r>
      <w:r>
        <w:rPr>
          <w:rFonts w:ascii="Arial" w:hAnsi="Arial" w:cs="Arial" w:eastAsiaTheme="minorEastAsia"/>
          <w:color w:val="000000"/>
          <w:kern w:val="0"/>
          <w:sz w:val="22"/>
          <w:szCs w:val="22"/>
          <w:highlight w:val="none"/>
          <w:vertAlign w:val="subscript"/>
        </w:rPr>
        <w:t>X成立日单位净值</w:t>
      </w:r>
      <w:r>
        <w:rPr>
          <w:rFonts w:ascii="Arial" w:hAnsi="Arial" w:cs="Arial" w:eastAsiaTheme="minorEastAsia"/>
          <w:color w:val="000000"/>
          <w:kern w:val="0"/>
          <w:sz w:val="22"/>
          <w:szCs w:val="22"/>
          <w:highlight w:val="none"/>
        </w:rPr>
        <w:t>×D/365</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F</w:t>
      </w:r>
      <w:r>
        <w:rPr>
          <w:rFonts w:ascii="Arial" w:hAnsi="Arial" w:cs="Arial" w:eastAsiaTheme="minorEastAsia"/>
          <w:color w:val="000000"/>
          <w:sz w:val="22"/>
          <w:szCs w:val="22"/>
          <w:highlight w:val="none"/>
          <w:vertAlign w:val="subscript"/>
        </w:rPr>
        <w:t>X</w:t>
      </w:r>
      <w:r>
        <w:rPr>
          <w:rFonts w:ascii="Arial" w:hAnsi="Arial" w:cs="Arial" w:eastAsiaTheme="minorEastAsia"/>
          <w:color w:val="000000"/>
          <w:sz w:val="22"/>
          <w:szCs w:val="22"/>
          <w:highlight w:val="none"/>
        </w:rPr>
        <w:t>为管理人向X份额收取的浮动管理费（按四舍五入法保留2位小数）</w:t>
      </w:r>
    </w:p>
    <w:p>
      <w:pPr>
        <w:autoSpaceDE w:val="0"/>
        <w:autoSpaceDN w:val="0"/>
        <w:adjustRightInd w:val="0"/>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管理人于每日模拟产品在当日终止的情形，按照产品说明书约定的浮动管理费计算方法暂估计提浮动管理费，用于产品会计和估值核算。投资者需知悉，管理人对外披露的净值为暂估计提浮动管理费后的结果，但仅本理财产品终止日当天确认计提的浮动管理费作为浮动管理费的结算依据。</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增值税及附加税费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根据中国增值税相关法律法规、税收政策等要求，本理财产品运营过程中发生的增值税应税行为，以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 </w:t>
      </w:r>
    </w:p>
    <w:p>
      <w:pPr>
        <w:widowControl/>
        <w:numPr>
          <w:ilvl w:val="0"/>
          <w:numId w:val="16"/>
        </w:numPr>
        <w:autoSpaceDE w:val="0"/>
        <w:autoSpaceDN w:val="0"/>
        <w:adjustRightInd w:val="0"/>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其它费用</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 </w:t>
      </w:r>
    </w:p>
    <w:p>
      <w:pPr>
        <w:widowControl/>
        <w:numPr>
          <w:ilvl w:val="0"/>
          <w:numId w:val="16"/>
        </w:numPr>
        <w:autoSpaceDE w:val="0"/>
        <w:autoSpaceDN w:val="0"/>
        <w:adjustRightInd w:val="0"/>
        <w:spacing w:line="360" w:lineRule="auto"/>
        <w:ind w:left="0"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本理财产品的产品成立日不计提固定费用。</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sz w:val="22"/>
          <w:szCs w:val="22"/>
          <w:highlight w:val="none"/>
        </w:rPr>
        <w:t>认购费</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本理财产品不收取认购费。</w:t>
      </w:r>
    </w:p>
    <w:p>
      <w:pPr>
        <w:pStyle w:val="20"/>
        <w:widowControl/>
        <w:numPr>
          <w:ilvl w:val="0"/>
          <w:numId w:val="15"/>
        </w:numPr>
        <w:spacing w:line="360" w:lineRule="auto"/>
        <w:ind w:left="0" w:firstLine="510" w:firstLineChars="0"/>
        <w:jc w:val="left"/>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费用调整</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bookmarkStart w:id="0" w:name="TCSignMonth"/>
      <w:bookmarkEnd w:id="0"/>
      <w:bookmarkStart w:id="1" w:name="TAttachment"/>
      <w:bookmarkEnd w:id="1"/>
      <w:bookmarkStart w:id="2" w:name="TCSignYear"/>
      <w:bookmarkEnd w:id="2"/>
      <w:bookmarkStart w:id="3" w:name="TCSignDay"/>
      <w:bookmarkEnd w:id="3"/>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 xml:space="preserve">管理人有权根据国家政策和适用法律的规定并结合实际情况，对本理财产品收费项目、收费条件、计算方法、收取方式及费率等在约定范围内进行调整，具体以管理人公告为准。  </w:t>
      </w:r>
    </w:p>
    <w:p>
      <w:pPr>
        <w:spacing w:line="360" w:lineRule="auto"/>
        <w:ind w:firstLine="440" w:firstLineChars="200"/>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pPr>
      <w:r>
        <w:rPr>
          <w:rFonts w:ascii="Arial" w:hAnsi="Arial" w:cs="Arial" w:eastAsiaTheme="minorEastAsia"/>
          <w:color w:val="0D0D0D" w:themeColor="text1" w:themeTint="F2"/>
          <w:sz w:val="22"/>
          <w:szCs w:val="22"/>
          <w:highlight w:val="none"/>
          <w14:textFill>
            <w14:solidFill>
              <w14:schemeClr w14:val="tx1">
                <w14:lumMod w14:val="95000"/>
                <w14:lumOff w14:val="5000"/>
              </w14:schemeClr>
            </w14:solidFill>
          </w14:textFill>
        </w:rPr>
        <w:t>超出约定范围的调整，管理人将至少提前5个工作日进行公告，投资者在信息披露期间未提出书面异议的，即视为书面同意。本理财产品说明书相关事项变更自信息披露期结束后自动生效。投资者如不同意调整的，投资者有权按照本理财产品销售文件的约定提前赎回本理财产品，此种情况下管理人将可能单独设置特殊开放期间，具体以届时管理人的信息披露为准，逾期未赎回的视为投资者同意接受前述调整且继续持有本理财产品。</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产品收益分配</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收益的构成</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的收益包括：投资债券、货币市场工具等监管机构认可的相关资产或管理产品所产生的利息收入、买卖证券差价收入、银行存款利息以及已实现的其他合法收入。净收益是收益扣除按监管部门有关规定可以在产品收益中提取的有关费用等项目后得出的余额。</w:t>
      </w:r>
      <w:r>
        <w:rPr>
          <w:rFonts w:ascii="Arial" w:hAnsi="Arial" w:cs="Arial" w:eastAsiaTheme="minorEastAsia"/>
          <w:b/>
          <w:color w:val="000000"/>
          <w:sz w:val="22"/>
          <w:szCs w:val="22"/>
          <w:highlight w:val="none"/>
        </w:rPr>
        <w:t>该收益的构成不代表投资者一定可以获得收益。</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收益分配原则</w:t>
      </w:r>
    </w:p>
    <w:p>
      <w:pPr>
        <w:numPr>
          <w:ilvl w:val="0"/>
          <w:numId w:val="18"/>
        </w:numPr>
        <w:spacing w:line="360" w:lineRule="auto"/>
        <w:ind w:left="0" w:firstLine="440" w:firstLineChars="200"/>
        <w:rPr>
          <w:rFonts w:ascii="Arial" w:hAnsi="Arial" w:cs="Arial" w:eastAsiaTheme="minorEastAsia"/>
          <w:color w:val="000000"/>
          <w:sz w:val="22"/>
          <w:szCs w:val="22"/>
          <w:highlight w:val="none"/>
        </w:rPr>
      </w:pPr>
      <w:r>
        <w:rPr>
          <w:rFonts w:ascii="Arial" w:hAnsi="Arial" w:cs="Arial" w:eastAsiaTheme="minorEastAsia"/>
          <w:snapToGrid w:val="0"/>
          <w:color w:val="000000"/>
          <w:sz w:val="22"/>
          <w:szCs w:val="22"/>
          <w:highlight w:val="none"/>
        </w:rPr>
        <w:t>收益采用现金分配方式</w:t>
      </w:r>
      <w:r>
        <w:rPr>
          <w:rFonts w:ascii="Arial" w:hAnsi="Arial" w:cs="Arial" w:eastAsiaTheme="minorEastAsia"/>
          <w:color w:val="000000"/>
          <w:sz w:val="22"/>
          <w:szCs w:val="22"/>
          <w:highlight w:val="none"/>
        </w:rPr>
        <w:t>；</w:t>
      </w:r>
    </w:p>
    <w:p>
      <w:pPr>
        <w:numPr>
          <w:ilvl w:val="0"/>
          <w:numId w:val="18"/>
        </w:numPr>
        <w:snapToGrid w:val="0"/>
        <w:spacing w:line="360" w:lineRule="auto"/>
        <w:ind w:left="0" w:firstLine="442" w:firstLineChars="200"/>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同一类别的每一份额享有同等分配权</w:t>
      </w:r>
      <w:r>
        <w:rPr>
          <w:rFonts w:ascii="Arial" w:hAnsi="Arial" w:cs="Arial" w:eastAsiaTheme="minorEastAsia"/>
          <w:snapToGrid w:val="0"/>
          <w:color w:val="000000"/>
          <w:sz w:val="22"/>
          <w:szCs w:val="22"/>
          <w:highlight w:val="none"/>
        </w:rPr>
        <w:t>。</w:t>
      </w:r>
    </w:p>
    <w:p>
      <w:pPr>
        <w:snapToGrid w:val="0"/>
        <w:spacing w:line="360" w:lineRule="auto"/>
        <w:ind w:firstLine="440" w:firstLineChars="200"/>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如投资周期内涉及收益分配的，具体分配规则以管理人的公告为准。</w:t>
      </w:r>
    </w:p>
    <w:p>
      <w:pPr>
        <w:numPr>
          <w:ilvl w:val="1"/>
          <w:numId w:val="17"/>
        </w:numPr>
        <w:spacing w:line="360" w:lineRule="auto"/>
        <w:ind w:left="0" w:firstLine="442" w:firstLineChars="200"/>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风险示例</w:t>
      </w:r>
    </w:p>
    <w:p>
      <w:pPr>
        <w:spacing w:line="360" w:lineRule="auto"/>
        <w:ind w:firstLine="440" w:firstLineChars="200"/>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本理财产品实际收益率容易受到企业信用变化、市场利率的变化、实际投资运作情况以及投资管理方投资能力的影响，</w:t>
      </w:r>
      <w:r>
        <w:rPr>
          <w:rFonts w:ascii="Arial" w:hAnsi="Arial" w:cs="Arial" w:eastAsiaTheme="minorEastAsia"/>
          <w:b/>
          <w:color w:val="000000"/>
          <w:sz w:val="22"/>
          <w:szCs w:val="22"/>
          <w:highlight w:val="none"/>
        </w:rPr>
        <w:t>在发生资产违约且无法正常处置等最不利的情况下，本理财产品收益率可能为零或负，投资者有可能损失全部本金。</w:t>
      </w:r>
      <w:r>
        <w:rPr>
          <w:rFonts w:ascii="Arial" w:hAnsi="Arial" w:cs="Arial" w:eastAsiaTheme="minorEastAsia"/>
          <w:color w:val="000000"/>
          <w:sz w:val="22"/>
          <w:szCs w:val="22"/>
          <w:highlight w:val="none"/>
        </w:rPr>
        <w:t>对于因信用风险导致的损失，管理人将向发生信用风险的投资品种的发行主体进行追偿。所追偿的全部收益在扣除相关费用后，将继续向投资者进行清偿。</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产品终止和清算</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出现以下情况，管理人有权终止本理财产品：</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themeColor="text1"/>
          <w:kern w:val="0"/>
          <w:sz w:val="22"/>
          <w:szCs w:val="22"/>
          <w:highlight w:val="none"/>
          <w14:textFill>
            <w14:solidFill>
              <w14:schemeClr w14:val="tx1"/>
            </w14:solidFill>
          </w14:textFill>
        </w:rPr>
      </w:pPr>
      <w:r>
        <w:rPr>
          <w:rFonts w:ascii="Arial" w:hAnsi="Arial" w:cs="Arial" w:eastAsiaTheme="minorEastAsia"/>
          <w:color w:val="000000" w:themeColor="text1"/>
          <w:kern w:val="0"/>
          <w:sz w:val="22"/>
          <w:szCs w:val="22"/>
          <w:highlight w:val="none"/>
          <w14:textFill>
            <w14:solidFill>
              <w14:schemeClr w14:val="tx1"/>
            </w14:solidFill>
          </w14:textFill>
        </w:rPr>
        <w:t>本理财产品期限届满的；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根据法律法规规定、监管要求、本理财产品销售文件约定等需要终止本理财产品的；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经投资者、管理人、托管人协商一致后决定终止的；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因不可抗力或意外事件导致产品管理人无法继续履行本理财产品销售文件约定事项的；</w:t>
      </w:r>
    </w:p>
    <w:p>
      <w:pPr>
        <w:pStyle w:val="20"/>
        <w:numPr>
          <w:ilvl w:val="0"/>
          <w:numId w:val="20"/>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管理人根据市场情况、实际投资情况、产品运营情况等认为需要终止产品的。</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理财产品清算程序：</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本理财产品终止情形出现时，由管理人及托管人对产品进行清算；</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对本理财产品财产和债权债务进行清理和确认；</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对本理财产品财产进行估值和变现；</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制作本理财产品到期报告；</w:t>
      </w:r>
    </w:p>
    <w:p>
      <w:pPr>
        <w:pStyle w:val="20"/>
        <w:numPr>
          <w:ilvl w:val="0"/>
          <w:numId w:val="21"/>
        </w:numPr>
        <w:autoSpaceDE w:val="0"/>
        <w:autoSpaceDN w:val="0"/>
        <w:adjustRightInd w:val="0"/>
        <w:spacing w:line="360" w:lineRule="auto"/>
        <w:ind w:left="0" w:firstLine="440"/>
        <w:rPr>
          <w:rFonts w:ascii="Arial" w:hAnsi="Arial" w:cs="Arial" w:eastAsiaTheme="minorEastAsia"/>
          <w:color w:val="000000"/>
          <w:kern w:val="0"/>
          <w:sz w:val="22"/>
          <w:szCs w:val="22"/>
          <w:highlight w:val="none"/>
        </w:rPr>
      </w:pPr>
      <w:r>
        <w:rPr>
          <w:rFonts w:ascii="Arial" w:hAnsi="Arial" w:cs="Arial" w:eastAsiaTheme="minorEastAsia"/>
          <w:color w:val="000000"/>
          <w:kern w:val="0"/>
          <w:sz w:val="22"/>
          <w:szCs w:val="22"/>
          <w:highlight w:val="none"/>
        </w:rPr>
        <w:t>对本理财产品剩余财产进行分配。</w:t>
      </w:r>
    </w:p>
    <w:p>
      <w:pPr>
        <w:pStyle w:val="20"/>
        <w:numPr>
          <w:ilvl w:val="0"/>
          <w:numId w:val="19"/>
        </w:numPr>
        <w:autoSpaceDE w:val="0"/>
        <w:autoSpaceDN w:val="0"/>
        <w:adjustRightInd w:val="0"/>
        <w:spacing w:line="360" w:lineRule="auto"/>
        <w:ind w:left="0" w:firstLine="442"/>
        <w:rPr>
          <w:rFonts w:ascii="Arial" w:hAnsi="Arial" w:cs="Arial" w:eastAsiaTheme="minorEastAsia"/>
          <w:b/>
          <w:color w:val="000000"/>
          <w:kern w:val="0"/>
          <w:sz w:val="22"/>
          <w:szCs w:val="22"/>
          <w:highlight w:val="none"/>
        </w:rPr>
      </w:pPr>
      <w:r>
        <w:rPr>
          <w:rFonts w:ascii="Arial" w:hAnsi="Arial" w:cs="Arial" w:eastAsiaTheme="minorEastAsia"/>
          <w:b/>
          <w:color w:val="000000"/>
          <w:kern w:val="0"/>
          <w:sz w:val="22"/>
          <w:szCs w:val="22"/>
          <w:highlight w:val="none"/>
        </w:rPr>
        <w:t>理财产品财产清算剩余资产的分配</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依据理财产品财产清算的分配方案，在理财产品终止日如理财产品项下资产全部变现，将理财产品财产清算后的全部剩余资产扣除理财产品财产清算费用、交纳所欠税款并清偿理财产品债务，按照“四、交易规则”中的约定，计算各类份额的资产净值，并以各类份额资产净值为限，按照投资者持有该类份额比例在5个工作日内向投资者分配。如理财产品项下所投资的标的资产因市场风险、信用风险等原因不能全部变现，则管理人将现金类资产扣除应由理财产品承担的税费及费用（包括但不限于固定管理费、销售服务费、托管费、由管理人或第三方垫付的费用等，下同）后，参考“四、交易规则”中的约定，计算各类份额对应的可分配资产净值，并按照各投资者持有理财产品某一类份额占该类份额比例在5个工作日内向投资者分配。对于未变现资产部分，管理人以投资者利益最大化的原则，寻求未变现资产变现方式，在资产变现后，扣除应由理财产品承担的税费及费用后，参考“四、交易规则”中的约定，计算各类份额对应的剩余可分配资产净值，按照各投资者持有理财产品某一类份额占该类份额比例在5个工作日内向投资者分配。自终止日起资金不计付收益。</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信息披露</w:t>
      </w:r>
    </w:p>
    <w:p>
      <w:pPr>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本理财产品的公开信息将按照产品说明书约定通过管理人授权的场所进行披露。</w:t>
      </w:r>
    </w:p>
    <w:p>
      <w:pPr>
        <w:tabs>
          <w:tab w:val="left" w:pos="8647"/>
        </w:tabs>
        <w:adjustRightInd w:val="0"/>
        <w:snapToGrid w:val="0"/>
        <w:spacing w:line="360" w:lineRule="auto"/>
        <w:ind w:firstLine="440" w:firstLineChars="200"/>
        <w:textAlignment w:val="center"/>
        <w:rPr>
          <w:rFonts w:ascii="Arial" w:hAnsi="Arial" w:cs="Arial" w:eastAsiaTheme="minorEastAsia"/>
          <w:bCs/>
          <w:snapToGrid w:val="0"/>
          <w:color w:val="000000"/>
          <w:sz w:val="22"/>
          <w:szCs w:val="22"/>
          <w:highlight w:val="none"/>
        </w:rPr>
      </w:pPr>
      <w:r>
        <w:rPr>
          <w:rFonts w:ascii="Arial" w:hAnsi="Arial" w:cs="Arial" w:eastAsiaTheme="minorEastAsia"/>
          <w:bCs/>
          <w:snapToGrid w:val="0"/>
          <w:color w:val="000000"/>
          <w:sz w:val="22"/>
          <w:szCs w:val="22"/>
          <w:highlight w:val="none"/>
        </w:rPr>
        <w:t>本理财产品信息披露的具体内容和时间规定等详见本理财产品销售文件，请投资者详细阅读并注意查阅相关产品信息。</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信息披露的渠道 </w:t>
      </w:r>
    </w:p>
    <w:p>
      <w:pPr>
        <w:spacing w:line="360" w:lineRule="auto"/>
        <w:ind w:firstLine="442" w:firstLineChars="200"/>
        <w:rPr>
          <w:rFonts w:ascii="Arial" w:hAnsi="Arial" w:cs="Arial" w:eastAsiaTheme="minorEastAsia"/>
          <w:sz w:val="22"/>
          <w:szCs w:val="22"/>
          <w:highlight w:val="none"/>
        </w:rPr>
      </w:pPr>
      <w:r>
        <w:rPr>
          <w:rFonts w:ascii="Arial" w:hAnsi="Arial" w:cs="Arial" w:eastAsiaTheme="minorEastAsia"/>
          <w:b/>
          <w:sz w:val="22"/>
          <w:szCs w:val="22"/>
          <w:highlight w:val="none"/>
        </w:rPr>
        <w:t>平安理财官方网站（https://wm.pingan.com）及管理人授权销售服务机构指定信息披露渠道（官方网站或APP或营业网点等） 作为本理财产品的信息披露场所。本理财产品认购期和存续期间，管理人将通过前述信息披露渠道进行本理财产品相关的信息披露。投资者应定期通过上述相关渠道获知有关本理财产品相关信息。</w:t>
      </w:r>
      <w:r>
        <w:rPr>
          <w:rFonts w:ascii="Arial" w:hAnsi="Arial" w:cs="Arial" w:eastAsiaTheme="minorEastAsia"/>
          <w:sz w:val="22"/>
          <w:szCs w:val="22"/>
          <w:highlight w:val="none"/>
        </w:rPr>
        <w:t xml:space="preserve">以上相关信息自披露之日即视为已送达投资者，也视为管理人与销售服务机构已适当披露代销本理财产品相关信息。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如有新增授权的信息披露场所，将以管理人公告为准。</w:t>
      </w:r>
    </w:p>
    <w:p>
      <w:pPr>
        <w:widowControl/>
        <w:numPr>
          <w:ilvl w:val="0"/>
          <w:numId w:val="22"/>
        </w:numPr>
        <w:spacing w:line="360" w:lineRule="auto"/>
        <w:ind w:left="0"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信息披露的内容和时间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理财产品发行公告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成立之后5个工作日内披露发行公告，包括本理财产品成立日期和募集规模等信息。若认购期内新出台的法律、法规导致本理财产品不适宜成立运行，或出现其他经管理人合理判断认为影响本理财产品正常运作的情况，则管理人有权宣布本理财产品不能成立，并在决定本理财产品不成立后的5个工作日内进行披露。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管理人将在每个季度结束之日起的 15 个工作日内、每个上半年度结束之日起的60个工作日内、每个年度结束之日起的90个工作日内向投资者披露季度、半年和年度报告等定期报告。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本理财产品成立不足90个工作日或者剩余存续期不超过90个工作日的，管理人可以不编制本理财产品当期的季度、半年和年度报告。 </w:t>
      </w:r>
    </w:p>
    <w:p>
      <w:pPr>
        <w:spacing w:line="360" w:lineRule="auto"/>
        <w:ind w:firstLine="440" w:firstLineChars="200"/>
        <w:rPr>
          <w:rFonts w:ascii="Arial" w:hAnsi="Arial" w:cs="Arial" w:eastAsiaTheme="minorEastAsia"/>
          <w:color w:val="000000" w:themeColor="text1"/>
          <w:sz w:val="22"/>
          <w:szCs w:val="22"/>
          <w:highlight w:val="none"/>
          <w14:textFill>
            <w14:solidFill>
              <w14:schemeClr w14:val="tx1"/>
            </w14:solidFill>
          </w14:textFill>
        </w:rPr>
      </w:pPr>
      <w:r>
        <w:rPr>
          <w:rFonts w:ascii="Arial" w:hAnsi="Arial" w:cs="Arial" w:eastAsiaTheme="minorEastAsia"/>
          <w:color w:val="000000" w:themeColor="text1"/>
          <w:sz w:val="22"/>
          <w:szCs w:val="22"/>
          <w:highlight w:val="none"/>
          <w14:textFill>
            <w14:solidFill>
              <w14:schemeClr w14:val="tx1"/>
            </w14:solidFill>
          </w14:textFill>
        </w:rPr>
        <w:t>管理人将在本理财产品定期报告中披露本理财产品在季度、半年和年度最后一个交易日的理财产品的份额净值、份额累计净值和资产净值等。</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管理人有权仅向本理财产品持有人披露定期报告。</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理财产品临时性信息披露 </w:t>
      </w:r>
    </w:p>
    <w:p>
      <w:pPr>
        <w:pStyle w:val="20"/>
        <w:numPr>
          <w:ilvl w:val="0"/>
          <w:numId w:val="24"/>
        </w:numPr>
        <w:spacing w:line="360" w:lineRule="auto"/>
        <w:ind w:left="0"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发生管理人、托管人变更情形的，管理人将提前 5 个工作日以临时公告形式向投资者进行信息披露。 </w:t>
      </w:r>
    </w:p>
    <w:p>
      <w:pPr>
        <w:pStyle w:val="20"/>
        <w:numPr>
          <w:ilvl w:val="0"/>
          <w:numId w:val="24"/>
        </w:numPr>
        <w:spacing w:line="360" w:lineRule="auto"/>
        <w:ind w:firstLineChars="0"/>
        <w:rPr>
          <w:rFonts w:ascii="Arial" w:hAnsi="Arial" w:cs="Arial" w:eastAsiaTheme="minorEastAsia"/>
          <w:sz w:val="22"/>
          <w:szCs w:val="22"/>
          <w:highlight w:val="none"/>
        </w:rPr>
      </w:pPr>
      <w:r>
        <w:rPr>
          <w:rFonts w:ascii="Arial" w:hAnsi="Arial" w:cs="Arial" w:eastAsiaTheme="minorEastAsia"/>
          <w:sz w:val="22"/>
          <w:szCs w:val="22"/>
          <w:highlight w:val="none"/>
        </w:rPr>
        <w:t xml:space="preserve">在本理财产品存续期间，管理人对本理财产品投资范围或比例或其他经管理人判断可能对本理财产品份额持有人权益产生影响的条款进行补充、说明和修改，管理人将提前5个工作日进行信息披露。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单独设置特殊开放期间，具体以届时管理人的公告为准。投资者本金和收益（如有）将在赎回确认日后5个工作日内划转至投资者账户。逾期未赎回的视为投资者书面同意相关调整并继续持有本理财产品。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理财产品重大事项公告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本理财产品存续期间，如果发生管理人认为可能影响产品运作的重大不利事项时，包括但不限于未按照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2个工作日内向投资者披露相关信息。 </w:t>
      </w:r>
    </w:p>
    <w:p>
      <w:pPr>
        <w:widowControl/>
        <w:numPr>
          <w:ilvl w:val="0"/>
          <w:numId w:val="23"/>
        </w:numPr>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理财产品到期公告 </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管理人将在本理财产品终止后的5个工作日内披露本理财产品到期公告。终止公告的内容包括本理财产品的存续期限、终止日期、收费情况和收益分配情况等信息。 </w:t>
      </w:r>
    </w:p>
    <w:p>
      <w:pPr>
        <w:widowControl/>
        <w:numPr>
          <w:ilvl w:val="0"/>
          <w:numId w:val="23"/>
        </w:numPr>
        <w:spacing w:line="360" w:lineRule="auto"/>
        <w:rPr>
          <w:rFonts w:ascii="Arial" w:hAnsi="Arial" w:cs="Arial" w:eastAsiaTheme="minorEastAsia"/>
          <w:b/>
          <w:sz w:val="22"/>
          <w:szCs w:val="22"/>
          <w:highlight w:val="none"/>
        </w:rPr>
      </w:pPr>
      <w:r>
        <w:rPr>
          <w:rFonts w:ascii="Arial" w:hAnsi="Arial" w:cs="Arial" w:eastAsiaTheme="minorEastAsia"/>
          <w:b/>
          <w:sz w:val="22"/>
          <w:szCs w:val="22"/>
          <w:highlight w:val="none"/>
        </w:rPr>
        <w:t xml:space="preserve">产品存续期间，投资者应定期通过本条第1款“信息披露的渠道”获取与本理财产品相关的信息。 </w:t>
      </w:r>
    </w:p>
    <w:p>
      <w:pPr>
        <w:widowControl/>
        <w:spacing w:line="360" w:lineRule="auto"/>
        <w:ind w:firstLine="442" w:firstLineChars="200"/>
        <w:rPr>
          <w:rFonts w:ascii="Arial" w:hAnsi="Arial" w:cs="Arial" w:eastAsiaTheme="minorEastAsia"/>
          <w:b/>
          <w:sz w:val="22"/>
          <w:szCs w:val="22"/>
          <w:highlight w:val="none"/>
        </w:rPr>
      </w:pPr>
      <w:r>
        <w:rPr>
          <w:rFonts w:ascii="Arial" w:hAnsi="Arial" w:cs="Arial" w:eastAsiaTheme="minorEastAsia"/>
          <w:b/>
          <w:sz w:val="22"/>
          <w:szCs w:val="22"/>
          <w:highlight w:val="none"/>
        </w:rPr>
        <w:t>在本理财产品存续期内，如出于维持本理财产品正常运营的需要且在不损害投资者利益的前提下，或因国家法律法规、监管规定发生变化，管理人有权单方对本理财产品销售文件进行修订。管理人决定对本理财产品销售文件进行修订的，将提前5个工作日通过授权进行信息披露的场所发布相关信息公告通知投资者。修订后的本理财产品销售文件对投资者具有法律约束力。</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风险揭示</w:t>
      </w:r>
    </w:p>
    <w:p>
      <w:pPr>
        <w:tabs>
          <w:tab w:val="left" w:pos="8647"/>
        </w:tabs>
        <w:adjustRightInd w:val="0"/>
        <w:snapToGrid w:val="0"/>
        <w:spacing w:line="360" w:lineRule="auto"/>
        <w:ind w:firstLine="440"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sz w:val="22"/>
          <w:szCs w:val="22"/>
          <w:highlight w:val="none"/>
        </w:rPr>
        <w:t>管理人对本理财产品的本金和收益不提供保证承诺</w:t>
      </w:r>
      <w:r>
        <w:rPr>
          <w:rFonts w:ascii="Arial" w:hAnsi="Arial" w:cs="Arial" w:eastAsiaTheme="minorEastAsia"/>
          <w:snapToGrid w:val="0"/>
          <w:color w:val="000000"/>
          <w:sz w:val="22"/>
          <w:szCs w:val="22"/>
          <w:highlight w:val="none"/>
        </w:rPr>
        <w:t>，您的本金可能因市场变动而蒙受重大损失，您应充分认识投资风险，谨慎投资。</w:t>
      </w: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snapToGrid w:val="0"/>
          <w:color w:val="000000"/>
          <w:sz w:val="22"/>
          <w:szCs w:val="22"/>
          <w:highlight w:val="none"/>
        </w:rPr>
        <w:t>本理财产品有投资风险，不保证理财本金和收益，投资者应该充分认识投资风险，谨慎投资。</w:t>
      </w:r>
      <w:r>
        <w:rPr>
          <w:rFonts w:ascii="Arial" w:hAnsi="Arial" w:cs="Arial" w:eastAsiaTheme="minorEastAsia"/>
          <w:snapToGrid w:val="0"/>
          <w:color w:val="000000"/>
          <w:sz w:val="22"/>
          <w:szCs w:val="22"/>
          <w:highlight w:val="none"/>
        </w:rPr>
        <w:t>本理财产品风险揭示内容详见《</w:t>
      </w:r>
      <w:r>
        <w:rPr>
          <w:rFonts w:ascii="Arial" w:hAnsi="Arial" w:cs="Arial" w:eastAsiaTheme="minorEastAsia"/>
          <w:snapToGrid w:val="0"/>
          <w:color w:val="000000"/>
          <w:sz w:val="22"/>
          <w:szCs w:val="22"/>
          <w:highlight w:val="none"/>
        </w:rPr>
        <w:t>平安理财新启航第415期封闭固收类理财产品</w:t>
      </w:r>
      <w:r>
        <w:rPr>
          <w:rFonts w:ascii="Arial" w:hAnsi="Arial" w:cs="Arial" w:eastAsiaTheme="minorEastAsia"/>
          <w:snapToGrid w:val="0"/>
          <w:color w:val="000000"/>
          <w:sz w:val="22"/>
          <w:szCs w:val="22"/>
          <w:highlight w:val="none"/>
        </w:rPr>
        <w:t>风险揭示书》，请投资者详细阅读，在充分了解并清楚知晓本理财产品蕴含风险的基础上，通过自身判断自主参与交易，并自愿承担相关风险。</w:t>
      </w:r>
    </w:p>
    <w:p>
      <w:pPr>
        <w:pStyle w:val="2"/>
        <w:numPr>
          <w:ilvl w:val="0"/>
          <w:numId w:val="2"/>
        </w:numPr>
        <w:tabs>
          <w:tab w:val="left" w:pos="426"/>
        </w:tabs>
        <w:spacing w:line="240" w:lineRule="auto"/>
        <w:rPr>
          <w:rFonts w:ascii="Arial" w:hAnsi="Arial" w:cs="Arial" w:eastAsiaTheme="minorEastAsia"/>
          <w:sz w:val="22"/>
          <w:szCs w:val="22"/>
          <w:highlight w:val="none"/>
        </w:rPr>
      </w:pPr>
      <w:r>
        <w:rPr>
          <w:rFonts w:ascii="Arial" w:hAnsi="Arial" w:cs="Arial" w:eastAsiaTheme="minorEastAsia"/>
          <w:sz w:val="22"/>
          <w:szCs w:val="22"/>
          <w:highlight w:val="none"/>
        </w:rPr>
        <w:t>其他重要事项说明</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1.</w:t>
      </w:r>
      <w:r>
        <w:rPr>
          <w:rFonts w:ascii="Arial" w:hAnsi="Arial" w:cs="Arial" w:eastAsiaTheme="minorEastAsia"/>
          <w:b/>
          <w:snapToGrid w:val="0"/>
          <w:color w:val="000000"/>
          <w:sz w:val="22"/>
          <w:szCs w:val="22"/>
          <w:highlight w:val="none"/>
        </w:rPr>
        <w:t>由于投资者原因导致管理人终止双方理财关系的情形</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若因投资者原因导致扣款失败，则投资者认购本理财产品失败。</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pPr>
        <w:pStyle w:val="20"/>
        <w:numPr>
          <w:ilvl w:val="0"/>
          <w:numId w:val="25"/>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由于投资者原因导致，在法律允许的范围内管理人认定必须终止与该投资者对于本理财产品的理财关系的其他情形。</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snapToGrid w:val="0"/>
          <w:color w:val="000000"/>
          <w:sz w:val="22"/>
          <w:szCs w:val="22"/>
          <w:highlight w:val="none"/>
        </w:rPr>
      </w:pPr>
      <w:r>
        <w:rPr>
          <w:rFonts w:hint="eastAsia" w:ascii="Arial" w:hAnsi="Arial" w:cs="Arial" w:eastAsiaTheme="minorEastAsia"/>
          <w:b/>
          <w:snapToGrid w:val="0"/>
          <w:color w:val="000000"/>
          <w:sz w:val="22"/>
          <w:szCs w:val="22"/>
          <w:highlight w:val="none"/>
        </w:rPr>
        <w:t>2.</w:t>
      </w:r>
      <w:r>
        <w:rPr>
          <w:rFonts w:ascii="Arial" w:hAnsi="Arial" w:cs="Arial" w:eastAsiaTheme="minorEastAsia"/>
          <w:b/>
          <w:snapToGrid w:val="0"/>
          <w:color w:val="000000"/>
          <w:sz w:val="22"/>
          <w:szCs w:val="22"/>
          <w:highlight w:val="none"/>
        </w:rPr>
        <w:t>理财产品销售文件违约</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napToGrid w:val="0"/>
          <w:color w:val="000000"/>
          <w:sz w:val="22"/>
          <w:szCs w:val="22"/>
          <w:highlight w:val="none"/>
        </w:rPr>
        <w:t>本理财产品存续期内，投资者不得以本理财资金设定除销售服务机构或管理人外其他任何第三方权益。</w:t>
      </w:r>
      <w:r>
        <w:rPr>
          <w:rFonts w:ascii="Arial" w:hAnsi="Arial" w:cs="Arial" w:eastAsiaTheme="minorEastAsia"/>
          <w:snapToGrid w:val="0"/>
          <w:color w:val="000000"/>
          <w:sz w:val="22"/>
          <w:szCs w:val="22"/>
          <w:highlight w:val="none"/>
        </w:rPr>
        <w:t>如因司法或行政机构采取强制措施导致理财账户内资产的部分或全部被扣划，均被视为投资者违反本理财产品销售文件，投资者应承担由此造成的全部经济损失。</w:t>
      </w:r>
    </w:p>
    <w:p>
      <w:pPr>
        <w:pStyle w:val="20"/>
        <w:numPr>
          <w:ilvl w:val="0"/>
          <w:numId w:val="26"/>
        </w:numPr>
        <w:adjustRightInd w:val="0"/>
        <w:snapToGrid w:val="0"/>
        <w:spacing w:line="360" w:lineRule="auto"/>
        <w:ind w:left="0" w:firstLine="440"/>
        <w:textAlignment w:val="center"/>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本理财产品</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适用中国法律并依据中国法律解释。为本</w:t>
      </w:r>
      <w:r>
        <w:rPr>
          <w:rFonts w:hint="eastAsia" w:ascii="Arial" w:hAnsi="Arial" w:cs="Arial" w:eastAsiaTheme="minorEastAsia"/>
          <w:b/>
          <w:sz w:val="22"/>
          <w:szCs w:val="22"/>
          <w:highlight w:val="none"/>
        </w:rPr>
        <w:t>销售文件</w:t>
      </w:r>
      <w:r>
        <w:rPr>
          <w:rFonts w:ascii="Arial" w:hAnsi="Arial" w:cs="Arial" w:eastAsiaTheme="minorEastAsia"/>
          <w:b/>
          <w:sz w:val="22"/>
          <w:szCs w:val="22"/>
          <w:highlight w:val="none"/>
        </w:rPr>
        <w:t>之目的，中国法律指中华人民共和国大陆地区的法律，不包括香港特别行政区、澳门特别行政区和台湾地区的法律。</w:t>
      </w:r>
    </w:p>
    <w:p>
      <w:pPr>
        <w:pStyle w:val="20"/>
        <w:numPr>
          <w:ilvl w:val="0"/>
          <w:numId w:val="26"/>
        </w:numPr>
        <w:adjustRightInd w:val="0"/>
        <w:snapToGrid w:val="0"/>
        <w:spacing w:line="360" w:lineRule="auto"/>
        <w:ind w:left="0" w:firstLine="442"/>
        <w:textAlignment w:val="center"/>
        <w:rPr>
          <w:rFonts w:ascii="Arial" w:hAnsi="Arial" w:cs="Arial" w:eastAsiaTheme="minorEastAsia"/>
          <w:b/>
          <w:snapToGrid w:val="0"/>
          <w:color w:val="000000"/>
          <w:sz w:val="22"/>
          <w:szCs w:val="22"/>
          <w:highlight w:val="none"/>
        </w:rPr>
      </w:pPr>
      <w:r>
        <w:rPr>
          <w:rFonts w:ascii="Arial" w:hAnsi="Arial" w:cs="Arial" w:eastAsiaTheme="minorEastAsia"/>
          <w:b/>
          <w:sz w:val="22"/>
          <w:szCs w:val="22"/>
          <w:highlight w:val="none"/>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pPr>
        <w:pStyle w:val="20"/>
        <w:tabs>
          <w:tab w:val="left" w:pos="8647"/>
        </w:tabs>
        <w:adjustRightInd w:val="0"/>
        <w:snapToGrid w:val="0"/>
        <w:spacing w:line="360" w:lineRule="auto"/>
        <w:ind w:left="567" w:firstLine="0" w:firstLineChars="0"/>
        <w:textAlignment w:val="center"/>
        <w:rPr>
          <w:rFonts w:ascii="Arial" w:hAnsi="Arial" w:cs="Arial" w:eastAsiaTheme="minorEastAsia"/>
          <w:b/>
          <w:snapToGrid w:val="0"/>
          <w:color w:val="000000"/>
          <w:sz w:val="22"/>
          <w:szCs w:val="22"/>
          <w:highlight w:val="none"/>
        </w:rPr>
      </w:pPr>
      <w:r>
        <w:rPr>
          <w:rFonts w:hint="eastAsia" w:ascii="Arial" w:hAnsi="Arial" w:cs="Arial" w:eastAsiaTheme="minorEastAsia"/>
          <w:b/>
          <w:snapToGrid w:val="0"/>
          <w:color w:val="000000"/>
          <w:sz w:val="22"/>
          <w:szCs w:val="22"/>
          <w:highlight w:val="none"/>
        </w:rPr>
        <w:t>3.</w:t>
      </w:r>
      <w:r>
        <w:rPr>
          <w:rFonts w:ascii="Arial" w:hAnsi="Arial" w:cs="Arial" w:eastAsiaTheme="minorEastAsia"/>
          <w:b/>
          <w:snapToGrid w:val="0"/>
          <w:color w:val="000000"/>
          <w:sz w:val="22"/>
          <w:szCs w:val="22"/>
          <w:highlight w:val="none"/>
        </w:rPr>
        <w:t>保密信息</w:t>
      </w:r>
    </w:p>
    <w:p>
      <w:pPr>
        <w:spacing w:line="360" w:lineRule="auto"/>
        <w:ind w:firstLine="440" w:firstLineChars="200"/>
        <w:rPr>
          <w:rFonts w:ascii="Arial" w:hAnsi="Arial" w:cs="Arial" w:eastAsiaTheme="minorEastAsia"/>
          <w:sz w:val="22"/>
          <w:szCs w:val="22"/>
          <w:highlight w:val="none"/>
        </w:rPr>
      </w:pPr>
      <w:r>
        <w:rPr>
          <w:rFonts w:ascii="Arial" w:hAnsi="Arial" w:cs="Arial" w:eastAsiaTheme="minorEastAsia"/>
          <w:sz w:val="22"/>
          <w:szCs w:val="22"/>
          <w:highlight w:val="none"/>
        </w:rPr>
        <w:t xml:space="preserve">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理财产品销售文件另有约定的。前述保密义务不因本理财产品销售文件或相关协议的无效、被撤销、终止而受影响。 </w:t>
      </w:r>
    </w:p>
    <w:p>
      <w:pPr>
        <w:pStyle w:val="2"/>
        <w:numPr>
          <w:ilvl w:val="0"/>
          <w:numId w:val="2"/>
        </w:numPr>
        <w:tabs>
          <w:tab w:val="left" w:pos="426"/>
        </w:tabs>
        <w:spacing w:line="240" w:lineRule="auto"/>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特别提示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本理财产品说明书与《</w:t>
      </w:r>
      <w:r>
        <w:rPr>
          <w:rFonts w:ascii="Arial" w:hAnsi="Arial" w:cs="Arial" w:eastAsiaTheme="minorEastAsia"/>
          <w:color w:val="000000"/>
          <w:sz w:val="22"/>
          <w:szCs w:val="22"/>
          <w:highlight w:val="none"/>
        </w:rPr>
        <w:t>平安理财新启航第415期封闭固收类理财产品</w:t>
      </w:r>
      <w:r>
        <w:rPr>
          <w:rFonts w:ascii="Arial" w:hAnsi="Arial" w:cs="Arial" w:eastAsiaTheme="minorEastAsia"/>
          <w:color w:val="000000"/>
          <w:sz w:val="22"/>
          <w:szCs w:val="22"/>
          <w:highlight w:val="none"/>
        </w:rPr>
        <w:t>风险揭示书》、《投资协议书》、《代理销售协议书》、《客户权益须知》共同构成本理财产品销售文件。</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本理财产品说明书为《投资协议书》不可分割之组成部分，与《投资协议书》不同之处，以本理财产品说明书为准。</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本理财产品仅向依据中华人民共和国有关法律法规及本理财产品说明书规定可以购买本理财产品的个人投资者和机构投资者发售。</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在购买本理财产品前，请投资者确保完全了解本理财产品的性质、其中涉及的风险以及投资者的自身情况。</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本理财产品说明书中任何其他收益表述均属不具有法律约束力的用语，不代表投资者可能获得的实际</w:t>
      </w:r>
      <w:bookmarkStart w:id="4" w:name="_GoBack"/>
      <w:bookmarkEnd w:id="4"/>
      <w:r>
        <w:rPr>
          <w:rFonts w:ascii="Arial" w:hAnsi="Arial" w:cs="Arial" w:eastAsiaTheme="minorEastAsia"/>
          <w:b/>
          <w:color w:val="000000"/>
          <w:sz w:val="22"/>
          <w:szCs w:val="22"/>
          <w:highlight w:val="none"/>
        </w:rPr>
        <w:t>收益，亦不构成管理人对本理财产品的额外收益承诺。</w:t>
      </w:r>
    </w:p>
    <w:p>
      <w:pPr>
        <w:spacing w:line="360" w:lineRule="auto"/>
        <w:ind w:firstLine="444" w:firstLineChars="202"/>
        <w:rPr>
          <w:rFonts w:ascii="Arial" w:hAnsi="Arial" w:cs="Arial" w:eastAsiaTheme="minorEastAsia"/>
          <w:color w:val="000000"/>
          <w:sz w:val="22"/>
          <w:szCs w:val="22"/>
          <w:highlight w:val="none"/>
        </w:rPr>
      </w:pPr>
      <w:r>
        <w:rPr>
          <w:rFonts w:ascii="Arial" w:hAnsi="Arial" w:cs="Arial" w:eastAsiaTheme="minorEastAsia"/>
          <w:color w:val="000000"/>
          <w:sz w:val="22"/>
          <w:szCs w:val="22"/>
          <w:highlight w:val="none"/>
        </w:rPr>
        <w:t>本理财产品只根据本理财产品说明书所载的内容操作。</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本理财产品不等同于银行存款。</w:t>
      </w:r>
    </w:p>
    <w:p>
      <w:pPr>
        <w:spacing w:line="360" w:lineRule="auto"/>
        <w:ind w:firstLine="446" w:firstLineChars="202"/>
        <w:rPr>
          <w:rFonts w:ascii="Arial" w:hAnsi="Arial" w:cs="Arial" w:eastAsiaTheme="minorEastAsia"/>
          <w:b/>
          <w:color w:val="000000"/>
          <w:sz w:val="22"/>
          <w:szCs w:val="22"/>
          <w:highlight w:val="none"/>
        </w:rPr>
      </w:pPr>
      <w:r>
        <w:rPr>
          <w:rFonts w:ascii="Arial" w:hAnsi="Arial" w:cs="Arial" w:eastAsiaTheme="minorEastAsia"/>
          <w:b/>
          <w:color w:val="000000"/>
          <w:sz w:val="22"/>
          <w:szCs w:val="22"/>
          <w:highlight w:val="none"/>
        </w:rPr>
        <w:t>如投资者对本理财产品说明书存在任何意见或建议，投资者可通过</w:t>
      </w:r>
      <w:r>
        <w:rPr>
          <w:rFonts w:ascii="Arial" w:hAnsi="Arial" w:cs="Arial" w:eastAsiaTheme="minorEastAsia"/>
          <w:b/>
          <w:sz w:val="22"/>
          <w:szCs w:val="22"/>
          <w:highlight w:val="none"/>
        </w:rPr>
        <w:t>《代理销售协议书》披露的方式</w:t>
      </w:r>
      <w:r>
        <w:rPr>
          <w:rFonts w:ascii="Arial" w:hAnsi="Arial" w:cs="Arial" w:eastAsiaTheme="minorEastAsia"/>
          <w:b/>
          <w:color w:val="000000"/>
          <w:sz w:val="22"/>
          <w:szCs w:val="22"/>
          <w:highlight w:val="none"/>
        </w:rPr>
        <w:t>进行咨询或投诉。</w:t>
      </w:r>
    </w:p>
    <w:p>
      <w:pPr>
        <w:spacing w:line="360" w:lineRule="auto"/>
        <w:ind w:firstLine="444" w:firstLineChars="202"/>
        <w:rPr>
          <w:rFonts w:ascii="Arial" w:hAnsi="Arial" w:cs="Arial" w:eastAsiaTheme="minorEastAsia"/>
          <w:color w:val="000000"/>
          <w:sz w:val="22"/>
          <w:szCs w:val="22"/>
          <w:highlight w:val="none"/>
        </w:rPr>
      </w:pPr>
    </w:p>
    <w:p>
      <w:pPr>
        <w:tabs>
          <w:tab w:val="left" w:pos="8647"/>
        </w:tabs>
        <w:adjustRightInd w:val="0"/>
        <w:snapToGrid w:val="0"/>
        <w:spacing w:line="360" w:lineRule="auto"/>
        <w:rPr>
          <w:rFonts w:ascii="Arial" w:hAnsi="Arial" w:cs="Arial" w:eastAsiaTheme="minorEastAsia"/>
          <w:snapToGrid w:val="0"/>
          <w:color w:val="000000"/>
          <w:sz w:val="22"/>
          <w:szCs w:val="22"/>
          <w:highlight w:val="none"/>
        </w:rPr>
      </w:pPr>
      <w:r>
        <w:rPr>
          <w:rFonts w:ascii="Arial" w:hAnsi="Arial" w:cs="Arial" w:eastAsiaTheme="minorEastAsia"/>
          <w:snapToGrid w:val="0"/>
          <w:color w:val="000000"/>
          <w:sz w:val="22"/>
          <w:szCs w:val="22"/>
          <w:highlight w:val="none"/>
        </w:rPr>
        <w:t>――――――――――――――――――――――――――――――――――――――</w:t>
      </w:r>
    </w:p>
    <w:p>
      <w:pPr>
        <w:adjustRightInd w:val="0"/>
        <w:snapToGrid w:val="0"/>
        <w:spacing w:line="360" w:lineRule="auto"/>
        <w:ind w:firstLine="442" w:firstLineChars="200"/>
        <w:rPr>
          <w:rFonts w:ascii="Arial" w:hAnsi="Arial" w:cs="Arial" w:eastAsiaTheme="minorEastAsia"/>
          <w:b/>
          <w:bCs/>
          <w:color w:val="000000"/>
          <w:kern w:val="0"/>
          <w:sz w:val="22"/>
          <w:szCs w:val="22"/>
          <w:highlight w:val="none"/>
        </w:rPr>
      </w:pPr>
      <w:r>
        <w:rPr>
          <w:rFonts w:ascii="Arial" w:hAnsi="Arial" w:cs="Arial" w:eastAsiaTheme="minorEastAsia"/>
          <w:b/>
          <w:bCs/>
          <w:color w:val="000000"/>
          <w:kern w:val="0"/>
          <w:sz w:val="22"/>
          <w:szCs w:val="22"/>
          <w:highlight w:val="none"/>
        </w:rPr>
        <w:t>本理财产品投资者已阅读并领取《</w:t>
      </w:r>
      <w:r>
        <w:rPr>
          <w:rFonts w:ascii="Arial" w:hAnsi="Arial" w:cs="Arial" w:eastAsiaTheme="minorEastAsia"/>
          <w:b/>
          <w:bCs/>
          <w:color w:val="000000"/>
          <w:kern w:val="0"/>
          <w:sz w:val="22"/>
          <w:szCs w:val="22"/>
          <w:highlight w:val="none"/>
        </w:rPr>
        <w:t>平安理财新启航第415期封闭固收类理财产品</w:t>
      </w:r>
      <w:r>
        <w:rPr>
          <w:rFonts w:ascii="Arial" w:hAnsi="Arial" w:cs="Arial" w:eastAsiaTheme="minorEastAsia"/>
          <w:b/>
          <w:bCs/>
          <w:color w:val="000000"/>
          <w:kern w:val="0"/>
          <w:sz w:val="22"/>
          <w:szCs w:val="22"/>
          <w:highlight w:val="none"/>
        </w:rPr>
        <w:t>说明书》，充分了解本理财产品的收益和风险，自愿购买。</w:t>
      </w:r>
    </w:p>
    <w:p>
      <w:pPr>
        <w:adjustRightInd w:val="0"/>
        <w:snapToGrid w:val="0"/>
        <w:spacing w:line="360" w:lineRule="auto"/>
        <w:ind w:firstLine="442" w:firstLineChars="200"/>
        <w:textAlignment w:val="center"/>
        <w:rPr>
          <w:rFonts w:ascii="Arial" w:hAnsi="Arial" w:cs="Arial" w:eastAsiaTheme="minorEastAsia"/>
          <w:b/>
          <w:bCs/>
          <w:color w:val="000000"/>
          <w:kern w:val="0"/>
          <w:sz w:val="22"/>
          <w:szCs w:val="22"/>
          <w:highlight w:val="none"/>
        </w:rPr>
      </w:pPr>
    </w:p>
    <w:p>
      <w:pPr>
        <w:adjustRightInd w:val="0"/>
        <w:snapToGrid w:val="0"/>
        <w:spacing w:line="360" w:lineRule="auto"/>
        <w:ind w:firstLine="442" w:firstLineChars="200"/>
        <w:textAlignment w:val="center"/>
        <w:rPr>
          <w:rFonts w:ascii="Arial" w:hAnsi="Arial" w:cs="Arial" w:eastAsiaTheme="minorEastAsia"/>
          <w:snapToGrid w:val="0"/>
          <w:color w:val="000000"/>
          <w:sz w:val="22"/>
          <w:szCs w:val="22"/>
          <w:highlight w:val="none"/>
        </w:rPr>
      </w:pPr>
      <w:r>
        <w:rPr>
          <w:rFonts w:ascii="Arial" w:hAnsi="Arial" w:cs="Arial" w:eastAsiaTheme="minorEastAsia"/>
          <w:b/>
          <w:bCs/>
          <w:color w:val="000000"/>
          <w:kern w:val="0"/>
          <w:sz w:val="22"/>
          <w:szCs w:val="22"/>
          <w:highlight w:val="none"/>
        </w:rPr>
        <w:t xml:space="preserve">投资者签字：                     </w:t>
      </w:r>
      <w:r>
        <w:rPr>
          <w:rFonts w:ascii="Arial" w:hAnsi="Arial" w:cs="Arial" w:eastAsiaTheme="minorEastAsia"/>
          <w:b/>
          <w:bCs/>
          <w:color w:val="000000"/>
          <w:kern w:val="0"/>
          <w:sz w:val="24"/>
          <w:highlight w:val="none"/>
        </w:rPr>
        <w:t xml:space="preserve">      </w:t>
      </w:r>
      <w:r>
        <w:rPr>
          <w:rFonts w:ascii="Arial" w:hAnsi="Arial" w:cs="Arial" w:eastAsiaTheme="minorEastAsia"/>
          <w:b/>
          <w:bCs/>
          <w:color w:val="000000"/>
          <w:kern w:val="0"/>
          <w:sz w:val="22"/>
          <w:szCs w:val="22"/>
          <w:highlight w:val="none"/>
        </w:rPr>
        <w:t xml:space="preserve"> 日期：</w:t>
      </w:r>
      <w:r>
        <w:rPr>
          <w:rFonts w:ascii="Arial" w:hAnsi="Arial" w:cs="Arial" w:eastAsiaTheme="minorEastAsia"/>
          <w:b/>
          <w:bCs/>
          <w:color w:val="000000"/>
          <w:kern w:val="0"/>
          <w:sz w:val="24"/>
          <w:highlight w:val="none"/>
        </w:rPr>
        <w:t xml:space="preserve">   </w:t>
      </w:r>
    </w:p>
    <w:sectPr>
      <w:footerReference r:id="rId3" w:type="default"/>
      <w:footerReference r:id="rId4" w:type="even"/>
      <w:pgSz w:w="11906" w:h="16838"/>
      <w:pgMar w:top="1440" w:right="1701" w:bottom="1440"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PUA">
    <w:panose1 w:val="02010600030101010101"/>
    <w:charset w:val="86"/>
    <w:family w:val="auto"/>
    <w:pitch w:val="default"/>
    <w:sig w:usb0="00000000" w:usb1="1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20175508"/>
    </w:sdtPr>
    <w:sdtContent>
      <w:sdt>
        <w:sdtPr>
          <w:id w:val="-1705238520"/>
        </w:sdtPr>
        <w:sdtContent>
          <w:p>
            <w:pPr>
              <w:pStyle w:val="5"/>
              <w:jc w:val="center"/>
            </w:pPr>
            <w:r>
              <w:rPr>
                <w:rFonts w:ascii="Arial" w:hAnsi="Arial" w:cs="Arial"/>
                <w:lang w:val="zh-CN"/>
              </w:rPr>
              <w:t xml:space="preserve"> </w:t>
            </w:r>
            <w:r>
              <w:rPr>
                <w:rFonts w:ascii="Arial" w:hAnsi="Arial" w:cs="Arial"/>
                <w:b/>
                <w:bCs/>
                <w:sz w:val="24"/>
                <w:szCs w:val="24"/>
              </w:rPr>
              <w:fldChar w:fldCharType="begin"/>
            </w:r>
            <w:r>
              <w:rPr>
                <w:rFonts w:ascii="Arial" w:hAnsi="Arial" w:cs="Arial"/>
                <w:b/>
                <w:bCs/>
              </w:rPr>
              <w:instrText xml:space="preserve">PAGE</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r>
              <w:rPr>
                <w:rFonts w:ascii="Arial" w:hAnsi="Arial" w:cs="Arial"/>
                <w:lang w:val="zh-CN"/>
              </w:rPr>
              <w:t xml:space="preserve"> / </w:t>
            </w:r>
            <w:r>
              <w:rPr>
                <w:rFonts w:ascii="Arial" w:hAnsi="Arial" w:cs="Arial"/>
                <w:b/>
                <w:bCs/>
                <w:sz w:val="24"/>
                <w:szCs w:val="24"/>
              </w:rPr>
              <w:fldChar w:fldCharType="begin"/>
            </w:r>
            <w:r>
              <w:rPr>
                <w:rFonts w:ascii="Arial" w:hAnsi="Arial" w:cs="Arial"/>
                <w:b/>
                <w:bCs/>
              </w:rPr>
              <w:instrText xml:space="preserve">NUMPAGES</w:instrText>
            </w:r>
            <w:r>
              <w:rPr>
                <w:rFonts w:ascii="Arial" w:hAnsi="Arial" w:cs="Arial"/>
                <w:b/>
                <w:bCs/>
                <w:sz w:val="24"/>
                <w:szCs w:val="24"/>
              </w:rPr>
              <w:fldChar w:fldCharType="separate"/>
            </w:r>
            <w:r>
              <w:rPr>
                <w:rFonts w:ascii="Arial" w:hAnsi="Arial" w:cs="Arial"/>
                <w:b/>
                <w:bCs/>
              </w:rPr>
              <w:t>2</w:t>
            </w:r>
            <w:r>
              <w:rPr>
                <w:rFonts w:ascii="Arial" w:hAnsi="Arial" w:cs="Arial"/>
                <w:b/>
                <w:bCs/>
                <w:sz w:val="24"/>
                <w:szCs w:val="24"/>
              </w:rPr>
              <w:fldChar w:fldCharType="end"/>
            </w:r>
          </w:p>
        </w:sdtContent>
      </w:sdt>
    </w:sdtContent>
  </w:sdt>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DD41BE"/>
    <w:multiLevelType w:val="multilevel"/>
    <w:tmpl w:val="04DD41BE"/>
    <w:lvl w:ilvl="0" w:tentative="0">
      <w:start w:val="1"/>
      <w:numFmt w:val="decimal"/>
      <w:lvlText w:val="%1）"/>
      <w:lvlJc w:val="left"/>
      <w:pPr>
        <w:ind w:left="844" w:hanging="420"/>
      </w:pPr>
      <w:rPr>
        <w:rFonts w:hint="default" w:ascii="Arial" w:hAnsi="Arial" w:eastAsia="宋体" w:cs="Arial"/>
        <w:b w:val="0"/>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
    <w:nsid w:val="07E45C84"/>
    <w:multiLevelType w:val="multilevel"/>
    <w:tmpl w:val="07E45C84"/>
    <w:lvl w:ilvl="0" w:tentative="0">
      <w:start w:val="1"/>
      <w:numFmt w:val="decimal"/>
      <w:suff w:val="space"/>
      <w:lvlText w:val="（%1）"/>
      <w:lvlJc w:val="left"/>
      <w:pPr>
        <w:ind w:left="703" w:hanging="420"/>
      </w:pPr>
      <w:rPr>
        <w:rFonts w:hint="default" w:ascii="Arial" w:hAnsi="Arial" w:eastAsia="宋体" w:cs="Arial"/>
        <w:b w:val="0"/>
        <w:i w:val="0"/>
        <w:strike w:val="0"/>
        <w:dstrike w:val="0"/>
        <w:color w:val="000000"/>
        <w:sz w:val="22"/>
        <w:szCs w:val="22"/>
        <w:u w:val="none" w:color="000000"/>
        <w:vertAlign w:val="baseline"/>
        <w:lang w:val="en-US"/>
      </w:rPr>
    </w:lvl>
    <w:lvl w:ilvl="1" w:tentative="0">
      <w:start w:val="1"/>
      <w:numFmt w:val="lowerLetter"/>
      <w:lvlText w:val="%2)"/>
      <w:lvlJc w:val="left"/>
      <w:pPr>
        <w:ind w:left="697" w:hanging="420"/>
      </w:pPr>
    </w:lvl>
    <w:lvl w:ilvl="2" w:tentative="0">
      <w:start w:val="1"/>
      <w:numFmt w:val="lowerRoman"/>
      <w:lvlText w:val="%3."/>
      <w:lvlJc w:val="right"/>
      <w:pPr>
        <w:ind w:left="1117" w:hanging="420"/>
      </w:pPr>
    </w:lvl>
    <w:lvl w:ilvl="3" w:tentative="0">
      <w:start w:val="1"/>
      <w:numFmt w:val="decimal"/>
      <w:lvlText w:val="%4."/>
      <w:lvlJc w:val="left"/>
      <w:pPr>
        <w:ind w:left="1537" w:hanging="420"/>
      </w:pPr>
    </w:lvl>
    <w:lvl w:ilvl="4" w:tentative="0">
      <w:start w:val="1"/>
      <w:numFmt w:val="lowerLetter"/>
      <w:lvlText w:val="%5)"/>
      <w:lvlJc w:val="left"/>
      <w:pPr>
        <w:ind w:left="1957" w:hanging="420"/>
      </w:pPr>
    </w:lvl>
    <w:lvl w:ilvl="5" w:tentative="0">
      <w:start w:val="1"/>
      <w:numFmt w:val="lowerRoman"/>
      <w:lvlText w:val="%6."/>
      <w:lvlJc w:val="right"/>
      <w:pPr>
        <w:ind w:left="2377" w:hanging="420"/>
      </w:pPr>
    </w:lvl>
    <w:lvl w:ilvl="6" w:tentative="0">
      <w:start w:val="1"/>
      <w:numFmt w:val="decimal"/>
      <w:lvlText w:val="%7."/>
      <w:lvlJc w:val="left"/>
      <w:pPr>
        <w:ind w:left="2797" w:hanging="420"/>
      </w:pPr>
    </w:lvl>
    <w:lvl w:ilvl="7" w:tentative="0">
      <w:start w:val="1"/>
      <w:numFmt w:val="lowerLetter"/>
      <w:lvlText w:val="%8)"/>
      <w:lvlJc w:val="left"/>
      <w:pPr>
        <w:ind w:left="3217" w:hanging="420"/>
      </w:pPr>
    </w:lvl>
    <w:lvl w:ilvl="8" w:tentative="0">
      <w:start w:val="1"/>
      <w:numFmt w:val="lowerRoman"/>
      <w:lvlText w:val="%9."/>
      <w:lvlJc w:val="right"/>
      <w:pPr>
        <w:ind w:left="3637" w:hanging="420"/>
      </w:pPr>
    </w:lvl>
  </w:abstractNum>
  <w:abstractNum w:abstractNumId="2">
    <w:nsid w:val="1072063C"/>
    <w:multiLevelType w:val="multilevel"/>
    <w:tmpl w:val="1072063C"/>
    <w:lvl w:ilvl="0" w:tentative="0">
      <w:start w:val="1"/>
      <w:numFmt w:val="decimal"/>
      <w:lvlText w:val="%1."/>
      <w:lvlJc w:val="left"/>
      <w:pPr>
        <w:ind w:left="860" w:hanging="420"/>
      </w:p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3">
    <w:nsid w:val="113C626D"/>
    <w:multiLevelType w:val="multilevel"/>
    <w:tmpl w:val="113C626D"/>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118E1C9F"/>
    <w:multiLevelType w:val="multilevel"/>
    <w:tmpl w:val="118E1C9F"/>
    <w:lvl w:ilvl="0" w:tentative="0">
      <w:start w:val="1"/>
      <w:numFmt w:val="decimal"/>
      <w:suff w:val="space"/>
      <w:lvlText w:val="（%1）"/>
      <w:lvlJc w:val="left"/>
      <w:pPr>
        <w:ind w:left="846"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5714EAF"/>
    <w:multiLevelType w:val="multilevel"/>
    <w:tmpl w:val="15714EAF"/>
    <w:lvl w:ilvl="0" w:tentative="0">
      <w:start w:val="1"/>
      <w:numFmt w:val="decimal"/>
      <w:suff w:val="space"/>
      <w:lvlText w:val="（%1）"/>
      <w:lvlJc w:val="left"/>
      <w:pPr>
        <w:ind w:left="780" w:hanging="420"/>
      </w:pPr>
      <w:rPr>
        <w:rFonts w:hint="default" w:ascii="Arial" w:hAnsi="Arial" w:eastAsia="宋体" w:cs="Arial"/>
        <w:b w:val="0"/>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754321B"/>
    <w:multiLevelType w:val="multilevel"/>
    <w:tmpl w:val="1754321B"/>
    <w:lvl w:ilvl="0" w:tentative="0">
      <w:start w:val="1"/>
      <w:numFmt w:val="decimal"/>
      <w:lvlText w:val="%1）"/>
      <w:lvlJc w:val="left"/>
      <w:pPr>
        <w:ind w:left="873" w:hanging="420"/>
      </w:pPr>
      <w:rPr>
        <w:rFonts w:hint="default"/>
        <w:b w:val="0"/>
        <w:i w:val="0"/>
        <w:strike w:val="0"/>
        <w:dstrike w:val="0"/>
        <w:color w:val="000000"/>
        <w:sz w:val="22"/>
        <w:szCs w:val="22"/>
        <w:u w:val="none" w:color="000000"/>
        <w:shd w:val="clear" w:color="auto" w:fill="auto"/>
        <w:vertAlign w:val="baseline"/>
        <w:lang w:val="en-US"/>
      </w:rPr>
    </w:lvl>
    <w:lvl w:ilvl="1" w:tentative="0">
      <w:start w:val="1"/>
      <w:numFmt w:val="lowerLetter"/>
      <w:lvlText w:val="%2)"/>
      <w:lvlJc w:val="left"/>
      <w:pPr>
        <w:ind w:left="1293" w:hanging="420"/>
      </w:pPr>
    </w:lvl>
    <w:lvl w:ilvl="2" w:tentative="0">
      <w:start w:val="1"/>
      <w:numFmt w:val="lowerRoman"/>
      <w:lvlText w:val="%3."/>
      <w:lvlJc w:val="right"/>
      <w:pPr>
        <w:ind w:left="1713" w:hanging="420"/>
      </w:pPr>
    </w:lvl>
    <w:lvl w:ilvl="3" w:tentative="0">
      <w:start w:val="1"/>
      <w:numFmt w:val="decimal"/>
      <w:lvlText w:val="%4."/>
      <w:lvlJc w:val="left"/>
      <w:pPr>
        <w:ind w:left="2133" w:hanging="420"/>
      </w:pPr>
    </w:lvl>
    <w:lvl w:ilvl="4" w:tentative="0">
      <w:start w:val="1"/>
      <w:numFmt w:val="lowerLetter"/>
      <w:lvlText w:val="%5)"/>
      <w:lvlJc w:val="left"/>
      <w:pPr>
        <w:ind w:left="2553" w:hanging="420"/>
      </w:pPr>
    </w:lvl>
    <w:lvl w:ilvl="5" w:tentative="0">
      <w:start w:val="1"/>
      <w:numFmt w:val="lowerRoman"/>
      <w:lvlText w:val="%6."/>
      <w:lvlJc w:val="right"/>
      <w:pPr>
        <w:ind w:left="2973" w:hanging="420"/>
      </w:pPr>
    </w:lvl>
    <w:lvl w:ilvl="6" w:tentative="0">
      <w:start w:val="1"/>
      <w:numFmt w:val="decimal"/>
      <w:lvlText w:val="%7."/>
      <w:lvlJc w:val="left"/>
      <w:pPr>
        <w:ind w:left="3393" w:hanging="420"/>
      </w:pPr>
    </w:lvl>
    <w:lvl w:ilvl="7" w:tentative="0">
      <w:start w:val="1"/>
      <w:numFmt w:val="lowerLetter"/>
      <w:lvlText w:val="%8)"/>
      <w:lvlJc w:val="left"/>
      <w:pPr>
        <w:ind w:left="3813" w:hanging="420"/>
      </w:pPr>
    </w:lvl>
    <w:lvl w:ilvl="8" w:tentative="0">
      <w:start w:val="1"/>
      <w:numFmt w:val="lowerRoman"/>
      <w:lvlText w:val="%9."/>
      <w:lvlJc w:val="right"/>
      <w:pPr>
        <w:ind w:left="4233" w:hanging="420"/>
      </w:pPr>
    </w:lvl>
  </w:abstractNum>
  <w:abstractNum w:abstractNumId="7">
    <w:nsid w:val="281443FE"/>
    <w:multiLevelType w:val="multilevel"/>
    <w:tmpl w:val="281443FE"/>
    <w:lvl w:ilvl="0" w:tentative="0">
      <w:start w:val="1"/>
      <w:numFmt w:val="decimal"/>
      <w:lvlText w:val="%1."/>
      <w:lvlJc w:val="left"/>
      <w:pPr>
        <w:ind w:left="360"/>
      </w:pPr>
      <w:rPr>
        <w:rFonts w:hint="default" w:ascii="Arial" w:hAnsi="Arial" w:eastAsia="宋体-PUA"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8">
    <w:nsid w:val="2A8E417B"/>
    <w:multiLevelType w:val="multilevel"/>
    <w:tmpl w:val="2A8E417B"/>
    <w:lvl w:ilvl="0" w:tentative="0">
      <w:start w:val="1"/>
      <w:numFmt w:val="decimal"/>
      <w:suff w:val="space"/>
      <w:lvlText w:val="（%1）"/>
      <w:lvlJc w:val="left"/>
      <w:pPr>
        <w:ind w:left="0" w:firstLine="0"/>
      </w:pPr>
      <w:rPr>
        <w:rFonts w:hint="default" w:ascii="Arial" w:hAnsi="Arial" w:eastAsia="宋体" w:cs="Arial"/>
        <w:b w:val="0"/>
        <w:i w:val="0"/>
        <w:strike w:val="0"/>
        <w:dstrike w:val="0"/>
        <w:color w:val="000000"/>
        <w:sz w:val="22"/>
        <w:szCs w:val="22"/>
        <w:u w:val="none" w:color="000000"/>
        <w:vertAlign w:val="baseline"/>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9">
    <w:nsid w:val="2AF110EE"/>
    <w:multiLevelType w:val="multilevel"/>
    <w:tmpl w:val="2AF110EE"/>
    <w:lvl w:ilvl="0" w:tentative="0">
      <w:start w:val="1"/>
      <w:numFmt w:val="decimal"/>
      <w:suff w:val="space"/>
      <w:lvlText w:val="（%1）"/>
      <w:lvlJc w:val="left"/>
      <w:pPr>
        <w:ind w:left="4105" w:hanging="420"/>
      </w:pPr>
      <w:rPr>
        <w:rFonts w:hint="default" w:ascii="Arial" w:hAnsi="Arial" w:eastAsia="宋体"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49B6303"/>
    <w:multiLevelType w:val="multilevel"/>
    <w:tmpl w:val="349B6303"/>
    <w:lvl w:ilvl="0" w:tentative="0">
      <w:start w:val="1"/>
      <w:numFmt w:val="chineseCountingThousand"/>
      <w:suff w:val="space"/>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7173988"/>
    <w:multiLevelType w:val="multilevel"/>
    <w:tmpl w:val="37173988"/>
    <w:lvl w:ilvl="0" w:tentative="0">
      <w:start w:val="1"/>
      <w:numFmt w:val="decimal"/>
      <w:lvlText w:val="%1."/>
      <w:lvlJc w:val="left"/>
      <w:pPr>
        <w:ind w:left="0" w:firstLine="0"/>
      </w:pPr>
      <w:rPr>
        <w:rFonts w:hint="eastAsia"/>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429"/>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2149"/>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869"/>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589"/>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4309"/>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5029"/>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749"/>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469"/>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abstractNum w:abstractNumId="12">
    <w:nsid w:val="37FC0210"/>
    <w:multiLevelType w:val="multilevel"/>
    <w:tmpl w:val="37FC0210"/>
    <w:lvl w:ilvl="0" w:tentative="0">
      <w:start w:val="1"/>
      <w:numFmt w:val="chineseCountingThousand"/>
      <w:suff w:val="space"/>
      <w:lvlText w:val="%1、"/>
      <w:lvlJc w:val="left"/>
      <w:pPr>
        <w:ind w:left="1270" w:hanging="420"/>
      </w:pPr>
      <w:rPr>
        <w:rFonts w:hint="eastAsia"/>
      </w:rPr>
    </w:lvl>
    <w:lvl w:ilvl="1" w:tentative="0">
      <w:start w:val="1"/>
      <w:numFmt w:val="lowerLetter"/>
      <w:lvlText w:val="%2)"/>
      <w:lvlJc w:val="left"/>
      <w:pPr>
        <w:ind w:left="-6390" w:hanging="420"/>
      </w:pPr>
    </w:lvl>
    <w:lvl w:ilvl="2" w:tentative="0">
      <w:start w:val="1"/>
      <w:numFmt w:val="lowerRoman"/>
      <w:lvlText w:val="%3."/>
      <w:lvlJc w:val="right"/>
      <w:pPr>
        <w:ind w:left="-5970" w:hanging="420"/>
      </w:pPr>
    </w:lvl>
    <w:lvl w:ilvl="3" w:tentative="0">
      <w:start w:val="1"/>
      <w:numFmt w:val="decimal"/>
      <w:lvlText w:val="%4."/>
      <w:lvlJc w:val="left"/>
      <w:pPr>
        <w:ind w:left="-5550" w:hanging="420"/>
      </w:pPr>
    </w:lvl>
    <w:lvl w:ilvl="4" w:tentative="0">
      <w:start w:val="1"/>
      <w:numFmt w:val="lowerLetter"/>
      <w:lvlText w:val="%5)"/>
      <w:lvlJc w:val="left"/>
      <w:pPr>
        <w:ind w:left="-5130" w:hanging="420"/>
      </w:pPr>
    </w:lvl>
    <w:lvl w:ilvl="5" w:tentative="0">
      <w:start w:val="1"/>
      <w:numFmt w:val="lowerRoman"/>
      <w:lvlText w:val="%6."/>
      <w:lvlJc w:val="right"/>
      <w:pPr>
        <w:ind w:left="-4710" w:hanging="420"/>
      </w:pPr>
    </w:lvl>
    <w:lvl w:ilvl="6" w:tentative="0">
      <w:start w:val="1"/>
      <w:numFmt w:val="decimal"/>
      <w:lvlText w:val="%7."/>
      <w:lvlJc w:val="left"/>
      <w:pPr>
        <w:ind w:left="-4290" w:hanging="420"/>
      </w:pPr>
    </w:lvl>
    <w:lvl w:ilvl="7" w:tentative="0">
      <w:start w:val="1"/>
      <w:numFmt w:val="lowerLetter"/>
      <w:lvlText w:val="%8)"/>
      <w:lvlJc w:val="left"/>
      <w:pPr>
        <w:ind w:left="-3870" w:hanging="420"/>
      </w:pPr>
    </w:lvl>
    <w:lvl w:ilvl="8" w:tentative="0">
      <w:start w:val="1"/>
      <w:numFmt w:val="lowerRoman"/>
      <w:lvlText w:val="%9."/>
      <w:lvlJc w:val="right"/>
      <w:pPr>
        <w:ind w:left="-3450" w:hanging="420"/>
      </w:pPr>
    </w:lvl>
  </w:abstractNum>
  <w:abstractNum w:abstractNumId="13">
    <w:nsid w:val="388A344C"/>
    <w:multiLevelType w:val="multilevel"/>
    <w:tmpl w:val="388A344C"/>
    <w:lvl w:ilvl="0" w:tentative="0">
      <w:start w:val="1"/>
      <w:numFmt w:val="decimal"/>
      <w:lvlText w:val="%1."/>
      <w:lvlJc w:val="left"/>
      <w:pPr>
        <w:ind w:left="453" w:hanging="420"/>
      </w:pPr>
    </w:lvl>
    <w:lvl w:ilvl="1" w:tentative="0">
      <w:start w:val="1"/>
      <w:numFmt w:val="decimal"/>
      <w:lvlText w:val="%2."/>
      <w:lvlJc w:val="left"/>
      <w:pPr>
        <w:ind w:left="873" w:hanging="420"/>
      </w:pPr>
      <w:rPr>
        <w:rFonts w:hint="default" w:ascii="Arial" w:hAnsi="Arial" w:cs="Arial"/>
      </w:rPr>
    </w:lvl>
    <w:lvl w:ilvl="2" w:tentative="0">
      <w:start w:val="4"/>
      <w:numFmt w:val="decimal"/>
      <w:lvlText w:val="%3）"/>
      <w:lvlJc w:val="left"/>
      <w:pPr>
        <w:ind w:left="1233" w:hanging="360"/>
      </w:pPr>
      <w:rPr>
        <w:rFonts w:hint="default"/>
      </w:rPr>
    </w:lvl>
    <w:lvl w:ilvl="3" w:tentative="0">
      <w:start w:val="1"/>
      <w:numFmt w:val="decimal"/>
      <w:lvlText w:val="%4."/>
      <w:lvlJc w:val="left"/>
      <w:pPr>
        <w:ind w:left="1713" w:hanging="420"/>
      </w:pPr>
    </w:lvl>
    <w:lvl w:ilvl="4" w:tentative="0">
      <w:start w:val="1"/>
      <w:numFmt w:val="lowerLetter"/>
      <w:lvlText w:val="%5)"/>
      <w:lvlJc w:val="left"/>
      <w:pPr>
        <w:ind w:left="2133" w:hanging="420"/>
      </w:pPr>
    </w:lvl>
    <w:lvl w:ilvl="5" w:tentative="0">
      <w:start w:val="1"/>
      <w:numFmt w:val="lowerRoman"/>
      <w:lvlText w:val="%6."/>
      <w:lvlJc w:val="right"/>
      <w:pPr>
        <w:ind w:left="2553" w:hanging="420"/>
      </w:pPr>
    </w:lvl>
    <w:lvl w:ilvl="6" w:tentative="0">
      <w:start w:val="1"/>
      <w:numFmt w:val="decimal"/>
      <w:lvlText w:val="%7."/>
      <w:lvlJc w:val="left"/>
      <w:pPr>
        <w:ind w:left="2973" w:hanging="420"/>
      </w:pPr>
    </w:lvl>
    <w:lvl w:ilvl="7" w:tentative="0">
      <w:start w:val="1"/>
      <w:numFmt w:val="lowerLetter"/>
      <w:lvlText w:val="%8)"/>
      <w:lvlJc w:val="left"/>
      <w:pPr>
        <w:ind w:left="3393" w:hanging="420"/>
      </w:pPr>
    </w:lvl>
    <w:lvl w:ilvl="8" w:tentative="0">
      <w:start w:val="1"/>
      <w:numFmt w:val="lowerRoman"/>
      <w:lvlText w:val="%9."/>
      <w:lvlJc w:val="right"/>
      <w:pPr>
        <w:ind w:left="3813" w:hanging="420"/>
      </w:pPr>
    </w:lvl>
  </w:abstractNum>
  <w:abstractNum w:abstractNumId="14">
    <w:nsid w:val="3A940FF7"/>
    <w:multiLevelType w:val="multilevel"/>
    <w:tmpl w:val="3A940FF7"/>
    <w:lvl w:ilvl="0" w:tentative="0">
      <w:start w:val="1"/>
      <w:numFmt w:val="decimal"/>
      <w:lvlText w:val="%1."/>
      <w:lvlJc w:val="left"/>
      <w:pPr>
        <w:ind w:left="792" w:hanging="360"/>
      </w:pPr>
      <w:rPr>
        <w:rFonts w:hint="default"/>
      </w:r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15">
    <w:nsid w:val="3D884594"/>
    <w:multiLevelType w:val="multilevel"/>
    <w:tmpl w:val="3D884594"/>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6">
    <w:nsid w:val="428F2960"/>
    <w:multiLevelType w:val="multilevel"/>
    <w:tmpl w:val="428F2960"/>
    <w:lvl w:ilvl="0" w:tentative="0">
      <w:start w:val="1"/>
      <w:numFmt w:val="decimal"/>
      <w:lvlText w:val="%1."/>
      <w:lvlJc w:val="left"/>
      <w:pPr>
        <w:ind w:left="420" w:hanging="420"/>
      </w:pPr>
      <w:rPr>
        <w:rFonts w:hint="default" w:ascii="Arial" w:hAnsi="Arial" w:cs="Arial"/>
        <w:b/>
        <w:i w:val="0"/>
        <w:strike w:val="0"/>
        <w:dstrike w:val="0"/>
        <w:color w:val="000000"/>
        <w:sz w:val="22"/>
        <w:szCs w:val="22"/>
        <w:u w:val="none" w:color="000000"/>
        <w:vertAlign w:val="baseli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4B6D5B02"/>
    <w:multiLevelType w:val="multilevel"/>
    <w:tmpl w:val="4B6D5B02"/>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8">
    <w:nsid w:val="517F4990"/>
    <w:multiLevelType w:val="multilevel"/>
    <w:tmpl w:val="517F4990"/>
    <w:lvl w:ilvl="0" w:tentative="0">
      <w:start w:val="1"/>
      <w:numFmt w:val="decimal"/>
      <w:lvlText w:val="%1）"/>
      <w:lvlJc w:val="left"/>
      <w:pPr>
        <w:ind w:left="860" w:hanging="420"/>
      </w:pPr>
      <w:rPr>
        <w:rFonts w:hint="default" w:ascii="Arial" w:hAnsi="Arial" w:eastAsia="宋体" w:cs="Arial"/>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9">
    <w:nsid w:val="537271B1"/>
    <w:multiLevelType w:val="multilevel"/>
    <w:tmpl w:val="537271B1"/>
    <w:lvl w:ilvl="0" w:tentative="0">
      <w:start w:val="1"/>
      <w:numFmt w:val="decimal"/>
      <w:suff w:val="space"/>
      <w:lvlText w:val="%1）"/>
      <w:lvlJc w:val="left"/>
      <w:pPr>
        <w:ind w:left="-150" w:firstLine="510"/>
      </w:pPr>
      <w:rPr>
        <w:rFonts w:hint="default"/>
        <w:b w:val="0"/>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20">
    <w:nsid w:val="576E6B0D"/>
    <w:multiLevelType w:val="multilevel"/>
    <w:tmpl w:val="576E6B0D"/>
    <w:lvl w:ilvl="0" w:tentative="0">
      <w:start w:val="1"/>
      <w:numFmt w:val="decimal"/>
      <w:lvlText w:val="%1."/>
      <w:lvlJc w:val="left"/>
      <w:pPr>
        <w:ind w:left="664" w:hanging="420"/>
      </w:pPr>
    </w:lvl>
    <w:lvl w:ilvl="1" w:tentative="0">
      <w:start w:val="1"/>
      <w:numFmt w:val="decimal"/>
      <w:lvlText w:val="%2."/>
      <w:lvlJc w:val="left"/>
      <w:pPr>
        <w:ind w:left="1084" w:hanging="420"/>
      </w:pPr>
    </w:lvl>
    <w:lvl w:ilvl="2" w:tentative="0">
      <w:start w:val="1"/>
      <w:numFmt w:val="lowerRoman"/>
      <w:lvlText w:val="%3."/>
      <w:lvlJc w:val="right"/>
      <w:pPr>
        <w:ind w:left="1504" w:hanging="420"/>
      </w:pPr>
    </w:lvl>
    <w:lvl w:ilvl="3" w:tentative="0">
      <w:start w:val="1"/>
      <w:numFmt w:val="decimal"/>
      <w:lvlText w:val="%4."/>
      <w:lvlJc w:val="left"/>
      <w:pPr>
        <w:ind w:left="1924" w:hanging="420"/>
      </w:pPr>
    </w:lvl>
    <w:lvl w:ilvl="4" w:tentative="0">
      <w:start w:val="1"/>
      <w:numFmt w:val="lowerLetter"/>
      <w:lvlText w:val="%5)"/>
      <w:lvlJc w:val="left"/>
      <w:pPr>
        <w:ind w:left="2344" w:hanging="420"/>
      </w:pPr>
    </w:lvl>
    <w:lvl w:ilvl="5" w:tentative="0">
      <w:start w:val="1"/>
      <w:numFmt w:val="lowerRoman"/>
      <w:lvlText w:val="%6."/>
      <w:lvlJc w:val="right"/>
      <w:pPr>
        <w:ind w:left="2764" w:hanging="420"/>
      </w:pPr>
    </w:lvl>
    <w:lvl w:ilvl="6" w:tentative="0">
      <w:start w:val="1"/>
      <w:numFmt w:val="decimal"/>
      <w:lvlText w:val="%7."/>
      <w:lvlJc w:val="left"/>
      <w:pPr>
        <w:ind w:left="3184" w:hanging="420"/>
      </w:pPr>
    </w:lvl>
    <w:lvl w:ilvl="7" w:tentative="0">
      <w:start w:val="1"/>
      <w:numFmt w:val="lowerLetter"/>
      <w:lvlText w:val="%8)"/>
      <w:lvlJc w:val="left"/>
      <w:pPr>
        <w:ind w:left="3604" w:hanging="420"/>
      </w:pPr>
    </w:lvl>
    <w:lvl w:ilvl="8" w:tentative="0">
      <w:start w:val="1"/>
      <w:numFmt w:val="lowerRoman"/>
      <w:lvlText w:val="%9."/>
      <w:lvlJc w:val="right"/>
      <w:pPr>
        <w:ind w:left="4024" w:hanging="420"/>
      </w:pPr>
    </w:lvl>
  </w:abstractNum>
  <w:abstractNum w:abstractNumId="21">
    <w:nsid w:val="5BE24685"/>
    <w:multiLevelType w:val="multilevel"/>
    <w:tmpl w:val="5BE24685"/>
    <w:lvl w:ilvl="0" w:tentative="0">
      <w:start w:val="1"/>
      <w:numFmt w:val="decimal"/>
      <w:lvlText w:val="%1."/>
      <w:lvlJc w:val="left"/>
      <w:pPr>
        <w:ind w:left="846" w:hanging="420"/>
      </w:pPr>
      <w:rPr>
        <w:b/>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22">
    <w:nsid w:val="5FE63E61"/>
    <w:multiLevelType w:val="multilevel"/>
    <w:tmpl w:val="5FE63E61"/>
    <w:lvl w:ilvl="0" w:tentative="0">
      <w:start w:val="1"/>
      <w:numFmt w:val="decimal"/>
      <w:lvlText w:val="（%1）"/>
      <w:lvlJc w:val="left"/>
      <w:pPr>
        <w:ind w:left="620" w:hanging="420"/>
      </w:pPr>
      <w:rPr>
        <w:rFonts w:hint="eastAsia"/>
        <w:lang w:val="en-US"/>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3">
    <w:nsid w:val="66BA2C95"/>
    <w:multiLevelType w:val="multilevel"/>
    <w:tmpl w:val="66BA2C95"/>
    <w:lvl w:ilvl="0" w:tentative="0">
      <w:start w:val="1"/>
      <w:numFmt w:val="decimal"/>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24">
    <w:nsid w:val="6CB1042F"/>
    <w:multiLevelType w:val="multilevel"/>
    <w:tmpl w:val="6CB1042F"/>
    <w:lvl w:ilvl="0" w:tentative="0">
      <w:start w:val="1"/>
      <w:numFmt w:val="decimal"/>
      <w:lvlText w:val="%1."/>
      <w:lvlJc w:val="left"/>
      <w:pPr>
        <w:ind w:left="852" w:hanging="420"/>
      </w:pPr>
    </w:lvl>
    <w:lvl w:ilvl="1" w:tentative="0">
      <w:start w:val="1"/>
      <w:numFmt w:val="lowerLetter"/>
      <w:lvlText w:val="%2)"/>
      <w:lvlJc w:val="left"/>
      <w:pPr>
        <w:ind w:left="1272" w:hanging="420"/>
      </w:pPr>
    </w:lvl>
    <w:lvl w:ilvl="2" w:tentative="0">
      <w:start w:val="1"/>
      <w:numFmt w:val="lowerRoman"/>
      <w:lvlText w:val="%3."/>
      <w:lvlJc w:val="right"/>
      <w:pPr>
        <w:ind w:left="1692" w:hanging="420"/>
      </w:pPr>
    </w:lvl>
    <w:lvl w:ilvl="3" w:tentative="0">
      <w:start w:val="1"/>
      <w:numFmt w:val="decimal"/>
      <w:lvlText w:val="%4."/>
      <w:lvlJc w:val="left"/>
      <w:pPr>
        <w:ind w:left="2112" w:hanging="420"/>
      </w:pPr>
    </w:lvl>
    <w:lvl w:ilvl="4" w:tentative="0">
      <w:start w:val="1"/>
      <w:numFmt w:val="lowerLetter"/>
      <w:lvlText w:val="%5)"/>
      <w:lvlJc w:val="left"/>
      <w:pPr>
        <w:ind w:left="2532" w:hanging="420"/>
      </w:pPr>
    </w:lvl>
    <w:lvl w:ilvl="5" w:tentative="0">
      <w:start w:val="1"/>
      <w:numFmt w:val="lowerRoman"/>
      <w:lvlText w:val="%6."/>
      <w:lvlJc w:val="right"/>
      <w:pPr>
        <w:ind w:left="2952" w:hanging="420"/>
      </w:pPr>
    </w:lvl>
    <w:lvl w:ilvl="6" w:tentative="0">
      <w:start w:val="1"/>
      <w:numFmt w:val="decimal"/>
      <w:lvlText w:val="%7."/>
      <w:lvlJc w:val="left"/>
      <w:pPr>
        <w:ind w:left="3372" w:hanging="420"/>
      </w:pPr>
    </w:lvl>
    <w:lvl w:ilvl="7" w:tentative="0">
      <w:start w:val="1"/>
      <w:numFmt w:val="lowerLetter"/>
      <w:lvlText w:val="%8)"/>
      <w:lvlJc w:val="left"/>
      <w:pPr>
        <w:ind w:left="3792" w:hanging="420"/>
      </w:pPr>
    </w:lvl>
    <w:lvl w:ilvl="8" w:tentative="0">
      <w:start w:val="1"/>
      <w:numFmt w:val="lowerRoman"/>
      <w:lvlText w:val="%9."/>
      <w:lvlJc w:val="right"/>
      <w:pPr>
        <w:ind w:left="4212" w:hanging="420"/>
      </w:pPr>
    </w:lvl>
  </w:abstractNum>
  <w:abstractNum w:abstractNumId="25">
    <w:nsid w:val="748678E8"/>
    <w:multiLevelType w:val="multilevel"/>
    <w:tmpl w:val="748678E8"/>
    <w:lvl w:ilvl="0" w:tentative="0">
      <w:start w:val="1"/>
      <w:numFmt w:val="decimal"/>
      <w:suff w:val="space"/>
      <w:lvlText w:val="（%1）"/>
      <w:lvlJc w:val="left"/>
      <w:pPr>
        <w:ind w:left="0" w:firstLine="360"/>
      </w:pPr>
      <w:rPr>
        <w:rFonts w:hint="default" w:ascii="Arial" w:hAnsi="Arial" w:eastAsia="宋体" w:cs="Arial"/>
        <w:b/>
        <w:i w:val="0"/>
        <w:strike w:val="0"/>
        <w:dstrike w:val="0"/>
        <w:color w:val="000000"/>
        <w:sz w:val="22"/>
        <w:szCs w:val="22"/>
        <w:u w:val="none" w:color="000000"/>
        <w:shd w:val="clear" w:color="auto" w:fill="auto"/>
        <w:vertAlign w:val="baseline"/>
      </w:rPr>
    </w:lvl>
    <w:lvl w:ilvl="1" w:tentative="0">
      <w:start w:val="1"/>
      <w:numFmt w:val="lowerLetter"/>
      <w:lvlText w:val="%2"/>
      <w:lvlJc w:val="left"/>
      <w:pPr>
        <w:ind w:left="1080"/>
      </w:pPr>
      <w:rPr>
        <w:rFonts w:ascii="宋体-PUA" w:hAnsi="宋体-PUA" w:eastAsia="宋体-PUA" w:cs="宋体-PUA"/>
        <w:b w:val="0"/>
        <w:i w:val="0"/>
        <w:strike w:val="0"/>
        <w:dstrike w:val="0"/>
        <w:color w:val="000000"/>
        <w:sz w:val="22"/>
        <w:szCs w:val="22"/>
        <w:u w:val="none" w:color="000000"/>
        <w:shd w:val="clear" w:color="auto" w:fill="auto"/>
        <w:vertAlign w:val="baseline"/>
      </w:rPr>
    </w:lvl>
    <w:lvl w:ilvl="2" w:tentative="0">
      <w:start w:val="1"/>
      <w:numFmt w:val="lowerRoman"/>
      <w:lvlText w:val="%3"/>
      <w:lvlJc w:val="left"/>
      <w:pPr>
        <w:ind w:left="1800"/>
      </w:pPr>
      <w:rPr>
        <w:rFonts w:ascii="宋体-PUA" w:hAnsi="宋体-PUA" w:eastAsia="宋体-PUA" w:cs="宋体-PUA"/>
        <w:b w:val="0"/>
        <w:i w:val="0"/>
        <w:strike w:val="0"/>
        <w:dstrike w:val="0"/>
        <w:color w:val="000000"/>
        <w:sz w:val="22"/>
        <w:szCs w:val="22"/>
        <w:u w:val="none" w:color="000000"/>
        <w:shd w:val="clear" w:color="auto" w:fill="auto"/>
        <w:vertAlign w:val="baseline"/>
      </w:rPr>
    </w:lvl>
    <w:lvl w:ilvl="3" w:tentative="0">
      <w:start w:val="1"/>
      <w:numFmt w:val="decimal"/>
      <w:lvlText w:val="%4"/>
      <w:lvlJc w:val="left"/>
      <w:pPr>
        <w:ind w:left="2520"/>
      </w:pPr>
      <w:rPr>
        <w:rFonts w:ascii="宋体-PUA" w:hAnsi="宋体-PUA" w:eastAsia="宋体-PUA" w:cs="宋体-PUA"/>
        <w:b w:val="0"/>
        <w:i w:val="0"/>
        <w:strike w:val="0"/>
        <w:dstrike w:val="0"/>
        <w:color w:val="000000"/>
        <w:sz w:val="22"/>
        <w:szCs w:val="22"/>
        <w:u w:val="none" w:color="000000"/>
        <w:shd w:val="clear" w:color="auto" w:fill="auto"/>
        <w:vertAlign w:val="baseline"/>
      </w:rPr>
    </w:lvl>
    <w:lvl w:ilvl="4" w:tentative="0">
      <w:start w:val="1"/>
      <w:numFmt w:val="lowerLetter"/>
      <w:lvlText w:val="%5"/>
      <w:lvlJc w:val="left"/>
      <w:pPr>
        <w:ind w:left="3240"/>
      </w:pPr>
      <w:rPr>
        <w:rFonts w:ascii="宋体-PUA" w:hAnsi="宋体-PUA" w:eastAsia="宋体-PUA" w:cs="宋体-PUA"/>
        <w:b w:val="0"/>
        <w:i w:val="0"/>
        <w:strike w:val="0"/>
        <w:dstrike w:val="0"/>
        <w:color w:val="000000"/>
        <w:sz w:val="22"/>
        <w:szCs w:val="22"/>
        <w:u w:val="none" w:color="000000"/>
        <w:shd w:val="clear" w:color="auto" w:fill="auto"/>
        <w:vertAlign w:val="baseline"/>
      </w:rPr>
    </w:lvl>
    <w:lvl w:ilvl="5" w:tentative="0">
      <w:start w:val="1"/>
      <w:numFmt w:val="lowerRoman"/>
      <w:lvlText w:val="%6"/>
      <w:lvlJc w:val="left"/>
      <w:pPr>
        <w:ind w:left="3960"/>
      </w:pPr>
      <w:rPr>
        <w:rFonts w:ascii="宋体-PUA" w:hAnsi="宋体-PUA" w:eastAsia="宋体-PUA" w:cs="宋体-PUA"/>
        <w:b w:val="0"/>
        <w:i w:val="0"/>
        <w:strike w:val="0"/>
        <w:dstrike w:val="0"/>
        <w:color w:val="000000"/>
        <w:sz w:val="22"/>
        <w:szCs w:val="22"/>
        <w:u w:val="none" w:color="000000"/>
        <w:shd w:val="clear" w:color="auto" w:fill="auto"/>
        <w:vertAlign w:val="baseline"/>
      </w:rPr>
    </w:lvl>
    <w:lvl w:ilvl="6" w:tentative="0">
      <w:start w:val="1"/>
      <w:numFmt w:val="decimal"/>
      <w:lvlText w:val="%7"/>
      <w:lvlJc w:val="left"/>
      <w:pPr>
        <w:ind w:left="4680"/>
      </w:pPr>
      <w:rPr>
        <w:rFonts w:ascii="宋体-PUA" w:hAnsi="宋体-PUA" w:eastAsia="宋体-PUA" w:cs="宋体-PUA"/>
        <w:b w:val="0"/>
        <w:i w:val="0"/>
        <w:strike w:val="0"/>
        <w:dstrike w:val="0"/>
        <w:color w:val="000000"/>
        <w:sz w:val="22"/>
        <w:szCs w:val="22"/>
        <w:u w:val="none" w:color="000000"/>
        <w:shd w:val="clear" w:color="auto" w:fill="auto"/>
        <w:vertAlign w:val="baseline"/>
      </w:rPr>
    </w:lvl>
    <w:lvl w:ilvl="7" w:tentative="0">
      <w:start w:val="1"/>
      <w:numFmt w:val="lowerLetter"/>
      <w:lvlText w:val="%8"/>
      <w:lvlJc w:val="left"/>
      <w:pPr>
        <w:ind w:left="5400"/>
      </w:pPr>
      <w:rPr>
        <w:rFonts w:ascii="宋体-PUA" w:hAnsi="宋体-PUA" w:eastAsia="宋体-PUA" w:cs="宋体-PUA"/>
        <w:b w:val="0"/>
        <w:i w:val="0"/>
        <w:strike w:val="0"/>
        <w:dstrike w:val="0"/>
        <w:color w:val="000000"/>
        <w:sz w:val="22"/>
        <w:szCs w:val="22"/>
        <w:u w:val="none" w:color="000000"/>
        <w:shd w:val="clear" w:color="auto" w:fill="auto"/>
        <w:vertAlign w:val="baseline"/>
      </w:rPr>
    </w:lvl>
    <w:lvl w:ilvl="8" w:tentative="0">
      <w:start w:val="1"/>
      <w:numFmt w:val="lowerRoman"/>
      <w:lvlText w:val="%9"/>
      <w:lvlJc w:val="left"/>
      <w:pPr>
        <w:ind w:left="6120"/>
      </w:pPr>
      <w:rPr>
        <w:rFonts w:ascii="宋体-PUA" w:hAnsi="宋体-PUA" w:eastAsia="宋体-PUA" w:cs="宋体-PUA"/>
        <w:b w:val="0"/>
        <w:i w:val="0"/>
        <w:strike w:val="0"/>
        <w:dstrike w:val="0"/>
        <w:color w:val="000000"/>
        <w:sz w:val="22"/>
        <w:szCs w:val="22"/>
        <w:u w:val="none" w:color="000000"/>
        <w:shd w:val="clear" w:color="auto" w:fill="auto"/>
        <w:vertAlign w:val="baseline"/>
      </w:rPr>
    </w:lvl>
  </w:abstractNum>
  <w:num w:numId="1">
    <w:abstractNumId w:val="12"/>
  </w:num>
  <w:num w:numId="2">
    <w:abstractNumId w:val="10"/>
  </w:num>
  <w:num w:numId="3">
    <w:abstractNumId w:val="24"/>
  </w:num>
  <w:num w:numId="4">
    <w:abstractNumId w:val="14"/>
  </w:num>
  <w:num w:numId="5">
    <w:abstractNumId w:val="11"/>
  </w:num>
  <w:num w:numId="6">
    <w:abstractNumId w:val="5"/>
  </w:num>
  <w:num w:numId="7">
    <w:abstractNumId w:val="13"/>
  </w:num>
  <w:num w:numId="8">
    <w:abstractNumId w:val="6"/>
  </w:num>
  <w:num w:numId="9">
    <w:abstractNumId w:val="21"/>
  </w:num>
  <w:num w:numId="10">
    <w:abstractNumId w:val="22"/>
  </w:num>
  <w:num w:numId="11">
    <w:abstractNumId w:val="15"/>
  </w:num>
  <w:num w:numId="12">
    <w:abstractNumId w:val="23"/>
  </w:num>
  <w:num w:numId="13">
    <w:abstractNumId w:val="3"/>
  </w:num>
  <w:num w:numId="14">
    <w:abstractNumId w:val="8"/>
  </w:num>
  <w:num w:numId="15">
    <w:abstractNumId w:val="16"/>
  </w:num>
  <w:num w:numId="16">
    <w:abstractNumId w:val="9"/>
  </w:num>
  <w:num w:numId="17">
    <w:abstractNumId w:val="20"/>
  </w:num>
  <w:num w:numId="18">
    <w:abstractNumId w:val="0"/>
  </w:num>
  <w:num w:numId="19">
    <w:abstractNumId w:val="2"/>
  </w:num>
  <w:num w:numId="20">
    <w:abstractNumId w:val="18"/>
  </w:num>
  <w:num w:numId="21">
    <w:abstractNumId w:val="17"/>
  </w:num>
  <w:num w:numId="22">
    <w:abstractNumId w:val="7"/>
  </w:num>
  <w:num w:numId="23">
    <w:abstractNumId w:val="25"/>
  </w:num>
  <w:num w:numId="24">
    <w:abstractNumId w:val="19"/>
  </w:num>
  <w:num w:numId="25">
    <w:abstractNumId w:val="1"/>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6668"/>
    <w:rsid w:val="00012204"/>
    <w:rsid w:val="00013F85"/>
    <w:rsid w:val="00014808"/>
    <w:rsid w:val="00014DD0"/>
    <w:rsid w:val="00017150"/>
    <w:rsid w:val="0001743A"/>
    <w:rsid w:val="0001777E"/>
    <w:rsid w:val="0001786E"/>
    <w:rsid w:val="00017CCF"/>
    <w:rsid w:val="000241A0"/>
    <w:rsid w:val="000261F8"/>
    <w:rsid w:val="000266A6"/>
    <w:rsid w:val="0003121D"/>
    <w:rsid w:val="00032582"/>
    <w:rsid w:val="00033730"/>
    <w:rsid w:val="00035830"/>
    <w:rsid w:val="000367BD"/>
    <w:rsid w:val="0003761F"/>
    <w:rsid w:val="00040E08"/>
    <w:rsid w:val="00043247"/>
    <w:rsid w:val="00045374"/>
    <w:rsid w:val="00045BE7"/>
    <w:rsid w:val="000468AA"/>
    <w:rsid w:val="00047475"/>
    <w:rsid w:val="00055C47"/>
    <w:rsid w:val="00056037"/>
    <w:rsid w:val="000578ED"/>
    <w:rsid w:val="00057A39"/>
    <w:rsid w:val="00060A7D"/>
    <w:rsid w:val="00063F81"/>
    <w:rsid w:val="000649A5"/>
    <w:rsid w:val="0006737F"/>
    <w:rsid w:val="00067788"/>
    <w:rsid w:val="000720F7"/>
    <w:rsid w:val="000736FA"/>
    <w:rsid w:val="00076AF3"/>
    <w:rsid w:val="00076B02"/>
    <w:rsid w:val="00084655"/>
    <w:rsid w:val="000853FA"/>
    <w:rsid w:val="00092901"/>
    <w:rsid w:val="00092CCE"/>
    <w:rsid w:val="00096B5F"/>
    <w:rsid w:val="00096D7F"/>
    <w:rsid w:val="000A2006"/>
    <w:rsid w:val="000A29F7"/>
    <w:rsid w:val="000A3891"/>
    <w:rsid w:val="000A39C3"/>
    <w:rsid w:val="000A400F"/>
    <w:rsid w:val="000A5F96"/>
    <w:rsid w:val="000A6262"/>
    <w:rsid w:val="000A62D8"/>
    <w:rsid w:val="000A692C"/>
    <w:rsid w:val="000A7109"/>
    <w:rsid w:val="000B0BC2"/>
    <w:rsid w:val="000B10E5"/>
    <w:rsid w:val="000B3325"/>
    <w:rsid w:val="000B34C2"/>
    <w:rsid w:val="000B42EE"/>
    <w:rsid w:val="000B4A6D"/>
    <w:rsid w:val="000C01E3"/>
    <w:rsid w:val="000C3F65"/>
    <w:rsid w:val="000C6173"/>
    <w:rsid w:val="000C73E0"/>
    <w:rsid w:val="000C785F"/>
    <w:rsid w:val="000C7ADC"/>
    <w:rsid w:val="000D6D1B"/>
    <w:rsid w:val="000D7EEB"/>
    <w:rsid w:val="000E4AAD"/>
    <w:rsid w:val="000E5AC2"/>
    <w:rsid w:val="000F127F"/>
    <w:rsid w:val="000F2593"/>
    <w:rsid w:val="000F2641"/>
    <w:rsid w:val="000F4F5D"/>
    <w:rsid w:val="000F7956"/>
    <w:rsid w:val="000F7E5C"/>
    <w:rsid w:val="001019B9"/>
    <w:rsid w:val="00101C78"/>
    <w:rsid w:val="00102535"/>
    <w:rsid w:val="00102976"/>
    <w:rsid w:val="0010392A"/>
    <w:rsid w:val="0011243B"/>
    <w:rsid w:val="0011413F"/>
    <w:rsid w:val="001153A9"/>
    <w:rsid w:val="00116999"/>
    <w:rsid w:val="001171CC"/>
    <w:rsid w:val="001174CB"/>
    <w:rsid w:val="00117868"/>
    <w:rsid w:val="001218FD"/>
    <w:rsid w:val="0012608B"/>
    <w:rsid w:val="00127CB4"/>
    <w:rsid w:val="00131107"/>
    <w:rsid w:val="00132F21"/>
    <w:rsid w:val="0014131A"/>
    <w:rsid w:val="00141F15"/>
    <w:rsid w:val="00141FAB"/>
    <w:rsid w:val="00142763"/>
    <w:rsid w:val="00143596"/>
    <w:rsid w:val="00143C0F"/>
    <w:rsid w:val="00144D67"/>
    <w:rsid w:val="00145E39"/>
    <w:rsid w:val="001468E9"/>
    <w:rsid w:val="00146F8A"/>
    <w:rsid w:val="00147B39"/>
    <w:rsid w:val="00150FB9"/>
    <w:rsid w:val="00152B91"/>
    <w:rsid w:val="00155902"/>
    <w:rsid w:val="00157CC6"/>
    <w:rsid w:val="00157DA1"/>
    <w:rsid w:val="001609B3"/>
    <w:rsid w:val="001638C6"/>
    <w:rsid w:val="00166952"/>
    <w:rsid w:val="00170D98"/>
    <w:rsid w:val="00172A27"/>
    <w:rsid w:val="001733B6"/>
    <w:rsid w:val="001734F5"/>
    <w:rsid w:val="00173675"/>
    <w:rsid w:val="00173B24"/>
    <w:rsid w:val="00174249"/>
    <w:rsid w:val="00174BEB"/>
    <w:rsid w:val="00174CA8"/>
    <w:rsid w:val="00176174"/>
    <w:rsid w:val="00176301"/>
    <w:rsid w:val="00177771"/>
    <w:rsid w:val="0018198C"/>
    <w:rsid w:val="00181C30"/>
    <w:rsid w:val="00182462"/>
    <w:rsid w:val="0018388D"/>
    <w:rsid w:val="001868D1"/>
    <w:rsid w:val="00187BE2"/>
    <w:rsid w:val="00193E01"/>
    <w:rsid w:val="001A0E39"/>
    <w:rsid w:val="001A0FBE"/>
    <w:rsid w:val="001A1A0C"/>
    <w:rsid w:val="001A247F"/>
    <w:rsid w:val="001A4E3F"/>
    <w:rsid w:val="001A56F2"/>
    <w:rsid w:val="001A5951"/>
    <w:rsid w:val="001B1D47"/>
    <w:rsid w:val="001B5970"/>
    <w:rsid w:val="001B6ABC"/>
    <w:rsid w:val="001C21B9"/>
    <w:rsid w:val="001C2546"/>
    <w:rsid w:val="001C4AD6"/>
    <w:rsid w:val="001C556A"/>
    <w:rsid w:val="001D20A9"/>
    <w:rsid w:val="001E09E9"/>
    <w:rsid w:val="001E1FB0"/>
    <w:rsid w:val="001E20E8"/>
    <w:rsid w:val="001E2BF7"/>
    <w:rsid w:val="001E4504"/>
    <w:rsid w:val="001E6275"/>
    <w:rsid w:val="001F09C2"/>
    <w:rsid w:val="001F119E"/>
    <w:rsid w:val="001F217A"/>
    <w:rsid w:val="001F2DEB"/>
    <w:rsid w:val="001F3DC5"/>
    <w:rsid w:val="001F5F64"/>
    <w:rsid w:val="00200EDD"/>
    <w:rsid w:val="00201B5F"/>
    <w:rsid w:val="00203675"/>
    <w:rsid w:val="00204C55"/>
    <w:rsid w:val="00204DF3"/>
    <w:rsid w:val="002064CF"/>
    <w:rsid w:val="00206F29"/>
    <w:rsid w:val="00206FAB"/>
    <w:rsid w:val="002110A4"/>
    <w:rsid w:val="00217753"/>
    <w:rsid w:val="00217865"/>
    <w:rsid w:val="00221F82"/>
    <w:rsid w:val="00226591"/>
    <w:rsid w:val="00230186"/>
    <w:rsid w:val="002303E0"/>
    <w:rsid w:val="002352CD"/>
    <w:rsid w:val="00235C20"/>
    <w:rsid w:val="00236F68"/>
    <w:rsid w:val="00237902"/>
    <w:rsid w:val="0024047A"/>
    <w:rsid w:val="002418A2"/>
    <w:rsid w:val="00242210"/>
    <w:rsid w:val="00242C68"/>
    <w:rsid w:val="002436FE"/>
    <w:rsid w:val="002437C6"/>
    <w:rsid w:val="00245B5A"/>
    <w:rsid w:val="00247712"/>
    <w:rsid w:val="0025321B"/>
    <w:rsid w:val="002532CC"/>
    <w:rsid w:val="00253FF7"/>
    <w:rsid w:val="00254162"/>
    <w:rsid w:val="002565B7"/>
    <w:rsid w:val="00256A44"/>
    <w:rsid w:val="00261127"/>
    <w:rsid w:val="002627A4"/>
    <w:rsid w:val="0026344D"/>
    <w:rsid w:val="0026643C"/>
    <w:rsid w:val="00266BAB"/>
    <w:rsid w:val="00267C24"/>
    <w:rsid w:val="002702A0"/>
    <w:rsid w:val="002702C7"/>
    <w:rsid w:val="00271A9A"/>
    <w:rsid w:val="0027290B"/>
    <w:rsid w:val="00272A34"/>
    <w:rsid w:val="00275989"/>
    <w:rsid w:val="00276059"/>
    <w:rsid w:val="00277F20"/>
    <w:rsid w:val="0028046B"/>
    <w:rsid w:val="00284D33"/>
    <w:rsid w:val="002858DF"/>
    <w:rsid w:val="00285F76"/>
    <w:rsid w:val="00292A4B"/>
    <w:rsid w:val="00293002"/>
    <w:rsid w:val="00294260"/>
    <w:rsid w:val="002975C8"/>
    <w:rsid w:val="002A111D"/>
    <w:rsid w:val="002A25B0"/>
    <w:rsid w:val="002A4A5B"/>
    <w:rsid w:val="002A5E6F"/>
    <w:rsid w:val="002A75A7"/>
    <w:rsid w:val="002A7698"/>
    <w:rsid w:val="002B02CA"/>
    <w:rsid w:val="002B0940"/>
    <w:rsid w:val="002B4381"/>
    <w:rsid w:val="002B4EB1"/>
    <w:rsid w:val="002B521A"/>
    <w:rsid w:val="002B5560"/>
    <w:rsid w:val="002B619E"/>
    <w:rsid w:val="002C0D2D"/>
    <w:rsid w:val="002C2C8B"/>
    <w:rsid w:val="002C514A"/>
    <w:rsid w:val="002D1615"/>
    <w:rsid w:val="002D227F"/>
    <w:rsid w:val="002D228C"/>
    <w:rsid w:val="002D22A0"/>
    <w:rsid w:val="002D3800"/>
    <w:rsid w:val="002D4625"/>
    <w:rsid w:val="002D5345"/>
    <w:rsid w:val="002D588C"/>
    <w:rsid w:val="002D6880"/>
    <w:rsid w:val="002E0590"/>
    <w:rsid w:val="002E1F9C"/>
    <w:rsid w:val="002E7C9C"/>
    <w:rsid w:val="002F0B62"/>
    <w:rsid w:val="002F3ED8"/>
    <w:rsid w:val="002F47E7"/>
    <w:rsid w:val="002F4992"/>
    <w:rsid w:val="002F5064"/>
    <w:rsid w:val="002F678C"/>
    <w:rsid w:val="002F6EB5"/>
    <w:rsid w:val="002F729F"/>
    <w:rsid w:val="003001E0"/>
    <w:rsid w:val="00300B65"/>
    <w:rsid w:val="00303255"/>
    <w:rsid w:val="00303A5D"/>
    <w:rsid w:val="00303EC4"/>
    <w:rsid w:val="00306DDD"/>
    <w:rsid w:val="003070CF"/>
    <w:rsid w:val="00307273"/>
    <w:rsid w:val="00310F03"/>
    <w:rsid w:val="00311C9A"/>
    <w:rsid w:val="003127D6"/>
    <w:rsid w:val="00312AAA"/>
    <w:rsid w:val="003134B8"/>
    <w:rsid w:val="00316E45"/>
    <w:rsid w:val="003173FE"/>
    <w:rsid w:val="0032079F"/>
    <w:rsid w:val="00320853"/>
    <w:rsid w:val="00325B6A"/>
    <w:rsid w:val="00331536"/>
    <w:rsid w:val="00335316"/>
    <w:rsid w:val="0033541F"/>
    <w:rsid w:val="003416EA"/>
    <w:rsid w:val="00347B5E"/>
    <w:rsid w:val="00347FD7"/>
    <w:rsid w:val="003523A1"/>
    <w:rsid w:val="00352E9B"/>
    <w:rsid w:val="00352EF5"/>
    <w:rsid w:val="00353C6F"/>
    <w:rsid w:val="00356370"/>
    <w:rsid w:val="00357613"/>
    <w:rsid w:val="00357D78"/>
    <w:rsid w:val="00360CB7"/>
    <w:rsid w:val="003655CA"/>
    <w:rsid w:val="0036644A"/>
    <w:rsid w:val="00367CD2"/>
    <w:rsid w:val="00367E00"/>
    <w:rsid w:val="00370D1B"/>
    <w:rsid w:val="00373598"/>
    <w:rsid w:val="00373878"/>
    <w:rsid w:val="00374652"/>
    <w:rsid w:val="003754E9"/>
    <w:rsid w:val="00376099"/>
    <w:rsid w:val="003764D7"/>
    <w:rsid w:val="0037722A"/>
    <w:rsid w:val="0037774A"/>
    <w:rsid w:val="00381BD5"/>
    <w:rsid w:val="0038201A"/>
    <w:rsid w:val="0038649B"/>
    <w:rsid w:val="00386B05"/>
    <w:rsid w:val="00387A05"/>
    <w:rsid w:val="00393667"/>
    <w:rsid w:val="003965E1"/>
    <w:rsid w:val="00396986"/>
    <w:rsid w:val="00397205"/>
    <w:rsid w:val="003A0D57"/>
    <w:rsid w:val="003A1647"/>
    <w:rsid w:val="003A2838"/>
    <w:rsid w:val="003A51A3"/>
    <w:rsid w:val="003A799E"/>
    <w:rsid w:val="003B059F"/>
    <w:rsid w:val="003B115B"/>
    <w:rsid w:val="003B39E3"/>
    <w:rsid w:val="003C1A89"/>
    <w:rsid w:val="003C1C39"/>
    <w:rsid w:val="003C2189"/>
    <w:rsid w:val="003C466A"/>
    <w:rsid w:val="003C4A94"/>
    <w:rsid w:val="003C5EF7"/>
    <w:rsid w:val="003C65F4"/>
    <w:rsid w:val="003C7C87"/>
    <w:rsid w:val="003D002C"/>
    <w:rsid w:val="003D06F6"/>
    <w:rsid w:val="003D07FD"/>
    <w:rsid w:val="003D29C5"/>
    <w:rsid w:val="003D4EC7"/>
    <w:rsid w:val="003D5FCA"/>
    <w:rsid w:val="003E0165"/>
    <w:rsid w:val="003E0E99"/>
    <w:rsid w:val="003E2263"/>
    <w:rsid w:val="003E3E8D"/>
    <w:rsid w:val="003E7B08"/>
    <w:rsid w:val="003F2D84"/>
    <w:rsid w:val="003F3DA2"/>
    <w:rsid w:val="003F4FC7"/>
    <w:rsid w:val="0040172B"/>
    <w:rsid w:val="00402A8B"/>
    <w:rsid w:val="00402E47"/>
    <w:rsid w:val="0040638E"/>
    <w:rsid w:val="00413C87"/>
    <w:rsid w:val="00414A1E"/>
    <w:rsid w:val="00414A7B"/>
    <w:rsid w:val="004150DB"/>
    <w:rsid w:val="00415875"/>
    <w:rsid w:val="0041766F"/>
    <w:rsid w:val="00422B3B"/>
    <w:rsid w:val="00422C04"/>
    <w:rsid w:val="00422F36"/>
    <w:rsid w:val="0042526E"/>
    <w:rsid w:val="004254C4"/>
    <w:rsid w:val="004258AF"/>
    <w:rsid w:val="0043138E"/>
    <w:rsid w:val="0043204F"/>
    <w:rsid w:val="004324E7"/>
    <w:rsid w:val="00432642"/>
    <w:rsid w:val="004327E0"/>
    <w:rsid w:val="00433BB1"/>
    <w:rsid w:val="00433FF3"/>
    <w:rsid w:val="0043427B"/>
    <w:rsid w:val="00436021"/>
    <w:rsid w:val="004414BE"/>
    <w:rsid w:val="00443A53"/>
    <w:rsid w:val="00445F59"/>
    <w:rsid w:val="004524FA"/>
    <w:rsid w:val="004548AF"/>
    <w:rsid w:val="00454954"/>
    <w:rsid w:val="004563C9"/>
    <w:rsid w:val="004568E7"/>
    <w:rsid w:val="00456E8B"/>
    <w:rsid w:val="00457F31"/>
    <w:rsid w:val="00460647"/>
    <w:rsid w:val="00460B80"/>
    <w:rsid w:val="00460ECD"/>
    <w:rsid w:val="00461AEC"/>
    <w:rsid w:val="00462885"/>
    <w:rsid w:val="004648D4"/>
    <w:rsid w:val="004668CC"/>
    <w:rsid w:val="00467847"/>
    <w:rsid w:val="00471881"/>
    <w:rsid w:val="00471C9C"/>
    <w:rsid w:val="00482D39"/>
    <w:rsid w:val="00483947"/>
    <w:rsid w:val="0049004B"/>
    <w:rsid w:val="00490E03"/>
    <w:rsid w:val="00491774"/>
    <w:rsid w:val="00493279"/>
    <w:rsid w:val="00493EE2"/>
    <w:rsid w:val="00496D0C"/>
    <w:rsid w:val="0049715C"/>
    <w:rsid w:val="004A0A94"/>
    <w:rsid w:val="004A2E99"/>
    <w:rsid w:val="004A30E3"/>
    <w:rsid w:val="004A38FE"/>
    <w:rsid w:val="004B0A63"/>
    <w:rsid w:val="004B12F5"/>
    <w:rsid w:val="004B1C84"/>
    <w:rsid w:val="004B3147"/>
    <w:rsid w:val="004B4BDB"/>
    <w:rsid w:val="004C0CF5"/>
    <w:rsid w:val="004C1FA0"/>
    <w:rsid w:val="004C5636"/>
    <w:rsid w:val="004C76F0"/>
    <w:rsid w:val="004D15F9"/>
    <w:rsid w:val="004D2494"/>
    <w:rsid w:val="004D2D4E"/>
    <w:rsid w:val="004D3380"/>
    <w:rsid w:val="004D6E97"/>
    <w:rsid w:val="004E0619"/>
    <w:rsid w:val="004E08EE"/>
    <w:rsid w:val="004E11FA"/>
    <w:rsid w:val="004E1628"/>
    <w:rsid w:val="004E55E3"/>
    <w:rsid w:val="004E6F97"/>
    <w:rsid w:val="004F0D0A"/>
    <w:rsid w:val="004F1BBB"/>
    <w:rsid w:val="004F20E7"/>
    <w:rsid w:val="004F22C9"/>
    <w:rsid w:val="004F4943"/>
    <w:rsid w:val="004F5091"/>
    <w:rsid w:val="004F55CB"/>
    <w:rsid w:val="004F694B"/>
    <w:rsid w:val="004F7620"/>
    <w:rsid w:val="00500ADA"/>
    <w:rsid w:val="0050113C"/>
    <w:rsid w:val="00504489"/>
    <w:rsid w:val="00506325"/>
    <w:rsid w:val="0050688A"/>
    <w:rsid w:val="00506B2F"/>
    <w:rsid w:val="00507CC9"/>
    <w:rsid w:val="00510377"/>
    <w:rsid w:val="00511491"/>
    <w:rsid w:val="005128AA"/>
    <w:rsid w:val="00513016"/>
    <w:rsid w:val="005134D5"/>
    <w:rsid w:val="00514172"/>
    <w:rsid w:val="0051625D"/>
    <w:rsid w:val="0052216D"/>
    <w:rsid w:val="005233D9"/>
    <w:rsid w:val="00526B60"/>
    <w:rsid w:val="00532902"/>
    <w:rsid w:val="00534006"/>
    <w:rsid w:val="005357C2"/>
    <w:rsid w:val="0054077E"/>
    <w:rsid w:val="00542F2F"/>
    <w:rsid w:val="00544CE8"/>
    <w:rsid w:val="00546563"/>
    <w:rsid w:val="005472C5"/>
    <w:rsid w:val="00547616"/>
    <w:rsid w:val="00550852"/>
    <w:rsid w:val="005516A3"/>
    <w:rsid w:val="00551AA6"/>
    <w:rsid w:val="00552641"/>
    <w:rsid w:val="005550E1"/>
    <w:rsid w:val="00561295"/>
    <w:rsid w:val="00563ED3"/>
    <w:rsid w:val="00564B6D"/>
    <w:rsid w:val="00565EC6"/>
    <w:rsid w:val="00571281"/>
    <w:rsid w:val="005719BC"/>
    <w:rsid w:val="005760AD"/>
    <w:rsid w:val="0057677D"/>
    <w:rsid w:val="00577172"/>
    <w:rsid w:val="00583EA8"/>
    <w:rsid w:val="00584E6A"/>
    <w:rsid w:val="00585126"/>
    <w:rsid w:val="0058624C"/>
    <w:rsid w:val="00586EF6"/>
    <w:rsid w:val="005874CD"/>
    <w:rsid w:val="00590A7B"/>
    <w:rsid w:val="00592BB3"/>
    <w:rsid w:val="00594875"/>
    <w:rsid w:val="005948EB"/>
    <w:rsid w:val="005956E2"/>
    <w:rsid w:val="00596059"/>
    <w:rsid w:val="0059782B"/>
    <w:rsid w:val="005A27ED"/>
    <w:rsid w:val="005A688C"/>
    <w:rsid w:val="005A77C6"/>
    <w:rsid w:val="005B2B37"/>
    <w:rsid w:val="005B35FD"/>
    <w:rsid w:val="005B4CCF"/>
    <w:rsid w:val="005B6D2F"/>
    <w:rsid w:val="005B7AC3"/>
    <w:rsid w:val="005C1AD6"/>
    <w:rsid w:val="005C504F"/>
    <w:rsid w:val="005C5683"/>
    <w:rsid w:val="005C5CD7"/>
    <w:rsid w:val="005D1202"/>
    <w:rsid w:val="005D19B4"/>
    <w:rsid w:val="005D1DA0"/>
    <w:rsid w:val="005D2845"/>
    <w:rsid w:val="005D2CF2"/>
    <w:rsid w:val="005D36A9"/>
    <w:rsid w:val="005D476A"/>
    <w:rsid w:val="005D4AE4"/>
    <w:rsid w:val="005D723E"/>
    <w:rsid w:val="005D7998"/>
    <w:rsid w:val="005D7FCF"/>
    <w:rsid w:val="005E0036"/>
    <w:rsid w:val="005E0BCA"/>
    <w:rsid w:val="005E3B5F"/>
    <w:rsid w:val="005E65C9"/>
    <w:rsid w:val="005E7F5E"/>
    <w:rsid w:val="005F0CA0"/>
    <w:rsid w:val="005F0CCD"/>
    <w:rsid w:val="005F1BD8"/>
    <w:rsid w:val="005F421D"/>
    <w:rsid w:val="005F43AD"/>
    <w:rsid w:val="005F4AE0"/>
    <w:rsid w:val="005F69A6"/>
    <w:rsid w:val="005F737D"/>
    <w:rsid w:val="005F78BF"/>
    <w:rsid w:val="00600ECD"/>
    <w:rsid w:val="00604F44"/>
    <w:rsid w:val="00606931"/>
    <w:rsid w:val="0060743E"/>
    <w:rsid w:val="006077D0"/>
    <w:rsid w:val="00607B95"/>
    <w:rsid w:val="006170A7"/>
    <w:rsid w:val="0062289E"/>
    <w:rsid w:val="00623327"/>
    <w:rsid w:val="00623E03"/>
    <w:rsid w:val="006240FF"/>
    <w:rsid w:val="006261D5"/>
    <w:rsid w:val="0063105C"/>
    <w:rsid w:val="00631D32"/>
    <w:rsid w:val="00634866"/>
    <w:rsid w:val="006355DE"/>
    <w:rsid w:val="00635ED8"/>
    <w:rsid w:val="0063663C"/>
    <w:rsid w:val="00637288"/>
    <w:rsid w:val="006372F6"/>
    <w:rsid w:val="00640AAE"/>
    <w:rsid w:val="0064320B"/>
    <w:rsid w:val="006449E1"/>
    <w:rsid w:val="00645E86"/>
    <w:rsid w:val="006517F1"/>
    <w:rsid w:val="00652F61"/>
    <w:rsid w:val="00653442"/>
    <w:rsid w:val="00655A5C"/>
    <w:rsid w:val="00661071"/>
    <w:rsid w:val="00666631"/>
    <w:rsid w:val="00666A69"/>
    <w:rsid w:val="00667567"/>
    <w:rsid w:val="00670337"/>
    <w:rsid w:val="00670651"/>
    <w:rsid w:val="006723C3"/>
    <w:rsid w:val="006724ED"/>
    <w:rsid w:val="00673201"/>
    <w:rsid w:val="00674422"/>
    <w:rsid w:val="006802F2"/>
    <w:rsid w:val="00680740"/>
    <w:rsid w:val="00683391"/>
    <w:rsid w:val="00690214"/>
    <w:rsid w:val="006927A0"/>
    <w:rsid w:val="00692878"/>
    <w:rsid w:val="00692AB1"/>
    <w:rsid w:val="00694D60"/>
    <w:rsid w:val="00695EF2"/>
    <w:rsid w:val="00696562"/>
    <w:rsid w:val="00697FEC"/>
    <w:rsid w:val="006A0246"/>
    <w:rsid w:val="006A032C"/>
    <w:rsid w:val="006A40A5"/>
    <w:rsid w:val="006A412C"/>
    <w:rsid w:val="006B0588"/>
    <w:rsid w:val="006B5109"/>
    <w:rsid w:val="006B5C2F"/>
    <w:rsid w:val="006C0638"/>
    <w:rsid w:val="006C22A9"/>
    <w:rsid w:val="006C2C46"/>
    <w:rsid w:val="006C2E67"/>
    <w:rsid w:val="006C611D"/>
    <w:rsid w:val="006C7038"/>
    <w:rsid w:val="006D0075"/>
    <w:rsid w:val="006D1ECF"/>
    <w:rsid w:val="006D2A90"/>
    <w:rsid w:val="006D3FF3"/>
    <w:rsid w:val="006D4549"/>
    <w:rsid w:val="006D5F48"/>
    <w:rsid w:val="006E3976"/>
    <w:rsid w:val="006E4021"/>
    <w:rsid w:val="006E416C"/>
    <w:rsid w:val="006E49CD"/>
    <w:rsid w:val="006E6BFE"/>
    <w:rsid w:val="006E6EB9"/>
    <w:rsid w:val="006F0733"/>
    <w:rsid w:val="006F0791"/>
    <w:rsid w:val="006F0792"/>
    <w:rsid w:val="006F1BB7"/>
    <w:rsid w:val="006F2719"/>
    <w:rsid w:val="006F4FE4"/>
    <w:rsid w:val="006F5DC3"/>
    <w:rsid w:val="006F7412"/>
    <w:rsid w:val="006F7922"/>
    <w:rsid w:val="00701AF6"/>
    <w:rsid w:val="00702A4D"/>
    <w:rsid w:val="00702C74"/>
    <w:rsid w:val="0070644D"/>
    <w:rsid w:val="007073DE"/>
    <w:rsid w:val="00710351"/>
    <w:rsid w:val="00710C00"/>
    <w:rsid w:val="00713786"/>
    <w:rsid w:val="00713FEC"/>
    <w:rsid w:val="0071527B"/>
    <w:rsid w:val="00717E52"/>
    <w:rsid w:val="00722136"/>
    <w:rsid w:val="00723944"/>
    <w:rsid w:val="00725821"/>
    <w:rsid w:val="00726365"/>
    <w:rsid w:val="00727C2C"/>
    <w:rsid w:val="00730AE9"/>
    <w:rsid w:val="007310EA"/>
    <w:rsid w:val="00732F33"/>
    <w:rsid w:val="00734398"/>
    <w:rsid w:val="0073449B"/>
    <w:rsid w:val="0073458D"/>
    <w:rsid w:val="0073603A"/>
    <w:rsid w:val="00737F87"/>
    <w:rsid w:val="00742210"/>
    <w:rsid w:val="007431C1"/>
    <w:rsid w:val="007453BE"/>
    <w:rsid w:val="00745783"/>
    <w:rsid w:val="00747EBA"/>
    <w:rsid w:val="00750D71"/>
    <w:rsid w:val="00752702"/>
    <w:rsid w:val="00752953"/>
    <w:rsid w:val="00755171"/>
    <w:rsid w:val="00755E93"/>
    <w:rsid w:val="00756753"/>
    <w:rsid w:val="00756A55"/>
    <w:rsid w:val="00765C9E"/>
    <w:rsid w:val="00765D4E"/>
    <w:rsid w:val="007704F0"/>
    <w:rsid w:val="007730D6"/>
    <w:rsid w:val="0077423F"/>
    <w:rsid w:val="00780B0F"/>
    <w:rsid w:val="00782CB2"/>
    <w:rsid w:val="007836D7"/>
    <w:rsid w:val="0078462B"/>
    <w:rsid w:val="00784699"/>
    <w:rsid w:val="00784BFF"/>
    <w:rsid w:val="00784F64"/>
    <w:rsid w:val="00785718"/>
    <w:rsid w:val="00785F11"/>
    <w:rsid w:val="0078647F"/>
    <w:rsid w:val="00786738"/>
    <w:rsid w:val="007869AE"/>
    <w:rsid w:val="00786FEB"/>
    <w:rsid w:val="0079222B"/>
    <w:rsid w:val="007929B0"/>
    <w:rsid w:val="007942D4"/>
    <w:rsid w:val="00794A54"/>
    <w:rsid w:val="007960E7"/>
    <w:rsid w:val="007965C6"/>
    <w:rsid w:val="0079715C"/>
    <w:rsid w:val="00797A54"/>
    <w:rsid w:val="007A0DEB"/>
    <w:rsid w:val="007A345B"/>
    <w:rsid w:val="007A5D99"/>
    <w:rsid w:val="007B1BA4"/>
    <w:rsid w:val="007B2C63"/>
    <w:rsid w:val="007B2DED"/>
    <w:rsid w:val="007B3012"/>
    <w:rsid w:val="007B5F3B"/>
    <w:rsid w:val="007B78A1"/>
    <w:rsid w:val="007C0219"/>
    <w:rsid w:val="007C0F2C"/>
    <w:rsid w:val="007C0F61"/>
    <w:rsid w:val="007C11A7"/>
    <w:rsid w:val="007C43B0"/>
    <w:rsid w:val="007C5E65"/>
    <w:rsid w:val="007D0F0C"/>
    <w:rsid w:val="007D1346"/>
    <w:rsid w:val="007D16A2"/>
    <w:rsid w:val="007D2C2E"/>
    <w:rsid w:val="007D3149"/>
    <w:rsid w:val="007D34D2"/>
    <w:rsid w:val="007D572F"/>
    <w:rsid w:val="007D76CA"/>
    <w:rsid w:val="007E075C"/>
    <w:rsid w:val="007E29DF"/>
    <w:rsid w:val="007E2A99"/>
    <w:rsid w:val="007E3186"/>
    <w:rsid w:val="007E3487"/>
    <w:rsid w:val="007E4127"/>
    <w:rsid w:val="007E445A"/>
    <w:rsid w:val="007E5436"/>
    <w:rsid w:val="007F429E"/>
    <w:rsid w:val="007F5961"/>
    <w:rsid w:val="00803C60"/>
    <w:rsid w:val="00806B77"/>
    <w:rsid w:val="008070BF"/>
    <w:rsid w:val="00807C6F"/>
    <w:rsid w:val="00814F1D"/>
    <w:rsid w:val="00815CFE"/>
    <w:rsid w:val="008167AA"/>
    <w:rsid w:val="00817246"/>
    <w:rsid w:val="008202A5"/>
    <w:rsid w:val="0082133B"/>
    <w:rsid w:val="0082546E"/>
    <w:rsid w:val="0082770B"/>
    <w:rsid w:val="00830E34"/>
    <w:rsid w:val="0083159A"/>
    <w:rsid w:val="00832FB2"/>
    <w:rsid w:val="00833245"/>
    <w:rsid w:val="00836ECF"/>
    <w:rsid w:val="008408E0"/>
    <w:rsid w:val="00840AD4"/>
    <w:rsid w:val="00841021"/>
    <w:rsid w:val="00844219"/>
    <w:rsid w:val="00845726"/>
    <w:rsid w:val="00846C4A"/>
    <w:rsid w:val="008505CF"/>
    <w:rsid w:val="00850CC1"/>
    <w:rsid w:val="00852B0F"/>
    <w:rsid w:val="00855EF5"/>
    <w:rsid w:val="00856D8C"/>
    <w:rsid w:val="0086115B"/>
    <w:rsid w:val="0086129B"/>
    <w:rsid w:val="00864410"/>
    <w:rsid w:val="008658D4"/>
    <w:rsid w:val="00866D9C"/>
    <w:rsid w:val="0087003D"/>
    <w:rsid w:val="008702DA"/>
    <w:rsid w:val="00870947"/>
    <w:rsid w:val="008736FD"/>
    <w:rsid w:val="00873C04"/>
    <w:rsid w:val="0087411E"/>
    <w:rsid w:val="00875542"/>
    <w:rsid w:val="008815D2"/>
    <w:rsid w:val="00882E20"/>
    <w:rsid w:val="00883517"/>
    <w:rsid w:val="00887BEF"/>
    <w:rsid w:val="00893920"/>
    <w:rsid w:val="00897CA4"/>
    <w:rsid w:val="008A0B07"/>
    <w:rsid w:val="008A1F06"/>
    <w:rsid w:val="008A4B8D"/>
    <w:rsid w:val="008A67AB"/>
    <w:rsid w:val="008A6D08"/>
    <w:rsid w:val="008A6D2E"/>
    <w:rsid w:val="008A72E3"/>
    <w:rsid w:val="008B1075"/>
    <w:rsid w:val="008B1DE8"/>
    <w:rsid w:val="008B2F54"/>
    <w:rsid w:val="008B3E2D"/>
    <w:rsid w:val="008B4327"/>
    <w:rsid w:val="008B4446"/>
    <w:rsid w:val="008B4CA9"/>
    <w:rsid w:val="008B6F1B"/>
    <w:rsid w:val="008C03F4"/>
    <w:rsid w:val="008C061C"/>
    <w:rsid w:val="008C1271"/>
    <w:rsid w:val="008C169F"/>
    <w:rsid w:val="008C36B7"/>
    <w:rsid w:val="008C3E1F"/>
    <w:rsid w:val="008C503C"/>
    <w:rsid w:val="008D5877"/>
    <w:rsid w:val="008D6ED8"/>
    <w:rsid w:val="008E02A8"/>
    <w:rsid w:val="008E1275"/>
    <w:rsid w:val="008E1946"/>
    <w:rsid w:val="008F07C8"/>
    <w:rsid w:val="008F0B8F"/>
    <w:rsid w:val="008F0F08"/>
    <w:rsid w:val="008F16F1"/>
    <w:rsid w:val="008F1B30"/>
    <w:rsid w:val="008F1CD3"/>
    <w:rsid w:val="008F27DE"/>
    <w:rsid w:val="008F38A3"/>
    <w:rsid w:val="008F6D61"/>
    <w:rsid w:val="009009D0"/>
    <w:rsid w:val="00901F21"/>
    <w:rsid w:val="00902D6A"/>
    <w:rsid w:val="00904968"/>
    <w:rsid w:val="00905EE8"/>
    <w:rsid w:val="009077A7"/>
    <w:rsid w:val="00910741"/>
    <w:rsid w:val="00913E64"/>
    <w:rsid w:val="00913F3F"/>
    <w:rsid w:val="00915EBD"/>
    <w:rsid w:val="00920A3E"/>
    <w:rsid w:val="00921F2F"/>
    <w:rsid w:val="00923BC9"/>
    <w:rsid w:val="009274FC"/>
    <w:rsid w:val="00930E3D"/>
    <w:rsid w:val="0093250B"/>
    <w:rsid w:val="0093363F"/>
    <w:rsid w:val="00934960"/>
    <w:rsid w:val="00935B29"/>
    <w:rsid w:val="009366D5"/>
    <w:rsid w:val="009401EB"/>
    <w:rsid w:val="00940E14"/>
    <w:rsid w:val="00940ED2"/>
    <w:rsid w:val="009429F8"/>
    <w:rsid w:val="009449EC"/>
    <w:rsid w:val="00945111"/>
    <w:rsid w:val="00945780"/>
    <w:rsid w:val="0094685B"/>
    <w:rsid w:val="009518F5"/>
    <w:rsid w:val="00954689"/>
    <w:rsid w:val="00955D45"/>
    <w:rsid w:val="0095645B"/>
    <w:rsid w:val="009564E9"/>
    <w:rsid w:val="00956610"/>
    <w:rsid w:val="00960745"/>
    <w:rsid w:val="00962B88"/>
    <w:rsid w:val="00966237"/>
    <w:rsid w:val="009678F0"/>
    <w:rsid w:val="009704AC"/>
    <w:rsid w:val="00971A12"/>
    <w:rsid w:val="00972664"/>
    <w:rsid w:val="00973D11"/>
    <w:rsid w:val="00975D78"/>
    <w:rsid w:val="00976143"/>
    <w:rsid w:val="0098117F"/>
    <w:rsid w:val="0098139E"/>
    <w:rsid w:val="0098404B"/>
    <w:rsid w:val="0098443B"/>
    <w:rsid w:val="00984860"/>
    <w:rsid w:val="0098573E"/>
    <w:rsid w:val="009863FD"/>
    <w:rsid w:val="009937C1"/>
    <w:rsid w:val="00996F4E"/>
    <w:rsid w:val="009A07C5"/>
    <w:rsid w:val="009A1D61"/>
    <w:rsid w:val="009A2BAF"/>
    <w:rsid w:val="009A5C6F"/>
    <w:rsid w:val="009A66CC"/>
    <w:rsid w:val="009A6A6F"/>
    <w:rsid w:val="009A75DD"/>
    <w:rsid w:val="009B150F"/>
    <w:rsid w:val="009B1528"/>
    <w:rsid w:val="009B1D0B"/>
    <w:rsid w:val="009B22F5"/>
    <w:rsid w:val="009B447D"/>
    <w:rsid w:val="009B55F9"/>
    <w:rsid w:val="009B6388"/>
    <w:rsid w:val="009B7EE4"/>
    <w:rsid w:val="009C3C8B"/>
    <w:rsid w:val="009C46FE"/>
    <w:rsid w:val="009D3109"/>
    <w:rsid w:val="009D3856"/>
    <w:rsid w:val="009D3942"/>
    <w:rsid w:val="009D71B7"/>
    <w:rsid w:val="009E0609"/>
    <w:rsid w:val="009E211E"/>
    <w:rsid w:val="009E57BA"/>
    <w:rsid w:val="009E5AB9"/>
    <w:rsid w:val="009E762C"/>
    <w:rsid w:val="009F1C70"/>
    <w:rsid w:val="009F36C6"/>
    <w:rsid w:val="009F568F"/>
    <w:rsid w:val="009F6E2C"/>
    <w:rsid w:val="00A00434"/>
    <w:rsid w:val="00A00A11"/>
    <w:rsid w:val="00A01AC6"/>
    <w:rsid w:val="00A01C22"/>
    <w:rsid w:val="00A041EB"/>
    <w:rsid w:val="00A04FAE"/>
    <w:rsid w:val="00A05356"/>
    <w:rsid w:val="00A07C72"/>
    <w:rsid w:val="00A10550"/>
    <w:rsid w:val="00A10B45"/>
    <w:rsid w:val="00A115DD"/>
    <w:rsid w:val="00A14214"/>
    <w:rsid w:val="00A16457"/>
    <w:rsid w:val="00A16E51"/>
    <w:rsid w:val="00A2149E"/>
    <w:rsid w:val="00A221C4"/>
    <w:rsid w:val="00A24B66"/>
    <w:rsid w:val="00A255EF"/>
    <w:rsid w:val="00A26534"/>
    <w:rsid w:val="00A30BEE"/>
    <w:rsid w:val="00A31041"/>
    <w:rsid w:val="00A32E00"/>
    <w:rsid w:val="00A33697"/>
    <w:rsid w:val="00A34E1D"/>
    <w:rsid w:val="00A42BD6"/>
    <w:rsid w:val="00A4378E"/>
    <w:rsid w:val="00A44637"/>
    <w:rsid w:val="00A4492C"/>
    <w:rsid w:val="00A45086"/>
    <w:rsid w:val="00A52EA6"/>
    <w:rsid w:val="00A54AB4"/>
    <w:rsid w:val="00A6203A"/>
    <w:rsid w:val="00A62795"/>
    <w:rsid w:val="00A641E0"/>
    <w:rsid w:val="00A64FF2"/>
    <w:rsid w:val="00A650DD"/>
    <w:rsid w:val="00A66919"/>
    <w:rsid w:val="00A67290"/>
    <w:rsid w:val="00A67B97"/>
    <w:rsid w:val="00A715E4"/>
    <w:rsid w:val="00A71BE1"/>
    <w:rsid w:val="00A74C22"/>
    <w:rsid w:val="00A74DAD"/>
    <w:rsid w:val="00A76D51"/>
    <w:rsid w:val="00A76DC7"/>
    <w:rsid w:val="00A77151"/>
    <w:rsid w:val="00A80F5E"/>
    <w:rsid w:val="00A81D1D"/>
    <w:rsid w:val="00A82982"/>
    <w:rsid w:val="00A83F14"/>
    <w:rsid w:val="00A858BC"/>
    <w:rsid w:val="00A90536"/>
    <w:rsid w:val="00A91A1C"/>
    <w:rsid w:val="00A93DB1"/>
    <w:rsid w:val="00A9448D"/>
    <w:rsid w:val="00A9630B"/>
    <w:rsid w:val="00A9696B"/>
    <w:rsid w:val="00A97E66"/>
    <w:rsid w:val="00AA2352"/>
    <w:rsid w:val="00AA4E81"/>
    <w:rsid w:val="00AB01E6"/>
    <w:rsid w:val="00AB3093"/>
    <w:rsid w:val="00AB3E6F"/>
    <w:rsid w:val="00AB4730"/>
    <w:rsid w:val="00AB78C3"/>
    <w:rsid w:val="00AC1011"/>
    <w:rsid w:val="00AC4718"/>
    <w:rsid w:val="00AC5B70"/>
    <w:rsid w:val="00AC77F2"/>
    <w:rsid w:val="00AD00BA"/>
    <w:rsid w:val="00AD0EF4"/>
    <w:rsid w:val="00AD1899"/>
    <w:rsid w:val="00AD33A7"/>
    <w:rsid w:val="00AD5FAA"/>
    <w:rsid w:val="00AD7D50"/>
    <w:rsid w:val="00AE050C"/>
    <w:rsid w:val="00AE0BBD"/>
    <w:rsid w:val="00AE303F"/>
    <w:rsid w:val="00AE3CC5"/>
    <w:rsid w:val="00AE4CB4"/>
    <w:rsid w:val="00AE5D02"/>
    <w:rsid w:val="00AE62BC"/>
    <w:rsid w:val="00AF0141"/>
    <w:rsid w:val="00AF1F1E"/>
    <w:rsid w:val="00AF44BC"/>
    <w:rsid w:val="00AF5781"/>
    <w:rsid w:val="00AF65EA"/>
    <w:rsid w:val="00AF6B3C"/>
    <w:rsid w:val="00AF6FB8"/>
    <w:rsid w:val="00B02D82"/>
    <w:rsid w:val="00B03A84"/>
    <w:rsid w:val="00B04D9E"/>
    <w:rsid w:val="00B06AF7"/>
    <w:rsid w:val="00B10F4D"/>
    <w:rsid w:val="00B12E2A"/>
    <w:rsid w:val="00B173D4"/>
    <w:rsid w:val="00B17EA6"/>
    <w:rsid w:val="00B23684"/>
    <w:rsid w:val="00B24DDA"/>
    <w:rsid w:val="00B2515A"/>
    <w:rsid w:val="00B254EB"/>
    <w:rsid w:val="00B30157"/>
    <w:rsid w:val="00B33485"/>
    <w:rsid w:val="00B35F18"/>
    <w:rsid w:val="00B36DD5"/>
    <w:rsid w:val="00B372D7"/>
    <w:rsid w:val="00B400F1"/>
    <w:rsid w:val="00B42294"/>
    <w:rsid w:val="00B42C71"/>
    <w:rsid w:val="00B435E3"/>
    <w:rsid w:val="00B47AA6"/>
    <w:rsid w:val="00B52080"/>
    <w:rsid w:val="00B52BB9"/>
    <w:rsid w:val="00B52E0E"/>
    <w:rsid w:val="00B52FD0"/>
    <w:rsid w:val="00B54C9A"/>
    <w:rsid w:val="00B56BF9"/>
    <w:rsid w:val="00B62703"/>
    <w:rsid w:val="00B63B60"/>
    <w:rsid w:val="00B63B6D"/>
    <w:rsid w:val="00B63BAD"/>
    <w:rsid w:val="00B65694"/>
    <w:rsid w:val="00B65F5B"/>
    <w:rsid w:val="00B66DC1"/>
    <w:rsid w:val="00B67124"/>
    <w:rsid w:val="00B719F0"/>
    <w:rsid w:val="00B71A20"/>
    <w:rsid w:val="00B71D3B"/>
    <w:rsid w:val="00B72D16"/>
    <w:rsid w:val="00B72E87"/>
    <w:rsid w:val="00B736A7"/>
    <w:rsid w:val="00B73CC9"/>
    <w:rsid w:val="00B74B39"/>
    <w:rsid w:val="00B772BF"/>
    <w:rsid w:val="00B77539"/>
    <w:rsid w:val="00B80DD8"/>
    <w:rsid w:val="00B81086"/>
    <w:rsid w:val="00B821E1"/>
    <w:rsid w:val="00B84266"/>
    <w:rsid w:val="00B845F2"/>
    <w:rsid w:val="00B85C8F"/>
    <w:rsid w:val="00B86B27"/>
    <w:rsid w:val="00B87221"/>
    <w:rsid w:val="00B91713"/>
    <w:rsid w:val="00B91C0A"/>
    <w:rsid w:val="00BA1E51"/>
    <w:rsid w:val="00BA2191"/>
    <w:rsid w:val="00BA6BA7"/>
    <w:rsid w:val="00BA705C"/>
    <w:rsid w:val="00BA75CB"/>
    <w:rsid w:val="00BA7C24"/>
    <w:rsid w:val="00BB161A"/>
    <w:rsid w:val="00BB5972"/>
    <w:rsid w:val="00BB6B0A"/>
    <w:rsid w:val="00BB6C30"/>
    <w:rsid w:val="00BB74EC"/>
    <w:rsid w:val="00BC2BB6"/>
    <w:rsid w:val="00BC47CC"/>
    <w:rsid w:val="00BD083F"/>
    <w:rsid w:val="00BD52D7"/>
    <w:rsid w:val="00BD68F2"/>
    <w:rsid w:val="00BD73F2"/>
    <w:rsid w:val="00BD75DE"/>
    <w:rsid w:val="00BD7F68"/>
    <w:rsid w:val="00BE3F82"/>
    <w:rsid w:val="00BE44E3"/>
    <w:rsid w:val="00BF0AD0"/>
    <w:rsid w:val="00BF25B5"/>
    <w:rsid w:val="00BF2930"/>
    <w:rsid w:val="00BF2B9C"/>
    <w:rsid w:val="00BF4A0E"/>
    <w:rsid w:val="00BF7035"/>
    <w:rsid w:val="00BF795A"/>
    <w:rsid w:val="00BF7D15"/>
    <w:rsid w:val="00C004CE"/>
    <w:rsid w:val="00C00B6D"/>
    <w:rsid w:val="00C00C22"/>
    <w:rsid w:val="00C06936"/>
    <w:rsid w:val="00C079C0"/>
    <w:rsid w:val="00C1539B"/>
    <w:rsid w:val="00C21A75"/>
    <w:rsid w:val="00C24907"/>
    <w:rsid w:val="00C24F9D"/>
    <w:rsid w:val="00C2541D"/>
    <w:rsid w:val="00C258E4"/>
    <w:rsid w:val="00C26750"/>
    <w:rsid w:val="00C27EDE"/>
    <w:rsid w:val="00C33416"/>
    <w:rsid w:val="00C335F7"/>
    <w:rsid w:val="00C36DDA"/>
    <w:rsid w:val="00C3726A"/>
    <w:rsid w:val="00C3792D"/>
    <w:rsid w:val="00C416B6"/>
    <w:rsid w:val="00C41AEB"/>
    <w:rsid w:val="00C423AF"/>
    <w:rsid w:val="00C42CE9"/>
    <w:rsid w:val="00C438CE"/>
    <w:rsid w:val="00C442D5"/>
    <w:rsid w:val="00C4573A"/>
    <w:rsid w:val="00C50413"/>
    <w:rsid w:val="00C5167D"/>
    <w:rsid w:val="00C519DF"/>
    <w:rsid w:val="00C530B7"/>
    <w:rsid w:val="00C531FC"/>
    <w:rsid w:val="00C53ACB"/>
    <w:rsid w:val="00C5650A"/>
    <w:rsid w:val="00C61DE5"/>
    <w:rsid w:val="00C637B9"/>
    <w:rsid w:val="00C63CFF"/>
    <w:rsid w:val="00C65DE8"/>
    <w:rsid w:val="00C705A6"/>
    <w:rsid w:val="00C71D32"/>
    <w:rsid w:val="00C75D2D"/>
    <w:rsid w:val="00C80C44"/>
    <w:rsid w:val="00C82C1F"/>
    <w:rsid w:val="00C82C62"/>
    <w:rsid w:val="00C82F7A"/>
    <w:rsid w:val="00C83B6F"/>
    <w:rsid w:val="00C84FEA"/>
    <w:rsid w:val="00C863C1"/>
    <w:rsid w:val="00C91CB9"/>
    <w:rsid w:val="00C930F2"/>
    <w:rsid w:val="00C93F53"/>
    <w:rsid w:val="00C96CF8"/>
    <w:rsid w:val="00C97950"/>
    <w:rsid w:val="00C97A65"/>
    <w:rsid w:val="00CA02B0"/>
    <w:rsid w:val="00CA0417"/>
    <w:rsid w:val="00CA0E7E"/>
    <w:rsid w:val="00CA1B7E"/>
    <w:rsid w:val="00CA261B"/>
    <w:rsid w:val="00CA33F6"/>
    <w:rsid w:val="00CA692B"/>
    <w:rsid w:val="00CB0E6E"/>
    <w:rsid w:val="00CB1374"/>
    <w:rsid w:val="00CB2A2F"/>
    <w:rsid w:val="00CB51A0"/>
    <w:rsid w:val="00CB563B"/>
    <w:rsid w:val="00CB5B12"/>
    <w:rsid w:val="00CC2C38"/>
    <w:rsid w:val="00CC3757"/>
    <w:rsid w:val="00CC5206"/>
    <w:rsid w:val="00CC6551"/>
    <w:rsid w:val="00CC7B54"/>
    <w:rsid w:val="00CD25CD"/>
    <w:rsid w:val="00CD2F54"/>
    <w:rsid w:val="00CD3115"/>
    <w:rsid w:val="00CD39BC"/>
    <w:rsid w:val="00CD6B2F"/>
    <w:rsid w:val="00CE0344"/>
    <w:rsid w:val="00CE0413"/>
    <w:rsid w:val="00CE1FA7"/>
    <w:rsid w:val="00CE324C"/>
    <w:rsid w:val="00CE3614"/>
    <w:rsid w:val="00CE381E"/>
    <w:rsid w:val="00CE3B8E"/>
    <w:rsid w:val="00CE530C"/>
    <w:rsid w:val="00CE5509"/>
    <w:rsid w:val="00CE5553"/>
    <w:rsid w:val="00CE57F0"/>
    <w:rsid w:val="00CE5FE4"/>
    <w:rsid w:val="00CE6691"/>
    <w:rsid w:val="00CF254D"/>
    <w:rsid w:val="00CF4503"/>
    <w:rsid w:val="00CF50E2"/>
    <w:rsid w:val="00CF5DF1"/>
    <w:rsid w:val="00D0460B"/>
    <w:rsid w:val="00D04DFF"/>
    <w:rsid w:val="00D05591"/>
    <w:rsid w:val="00D05DFE"/>
    <w:rsid w:val="00D06856"/>
    <w:rsid w:val="00D078B4"/>
    <w:rsid w:val="00D111C1"/>
    <w:rsid w:val="00D11770"/>
    <w:rsid w:val="00D1475B"/>
    <w:rsid w:val="00D14D2B"/>
    <w:rsid w:val="00D16B15"/>
    <w:rsid w:val="00D16B31"/>
    <w:rsid w:val="00D16DF7"/>
    <w:rsid w:val="00D2038B"/>
    <w:rsid w:val="00D226BC"/>
    <w:rsid w:val="00D2297E"/>
    <w:rsid w:val="00D22BAA"/>
    <w:rsid w:val="00D24E76"/>
    <w:rsid w:val="00D25B6F"/>
    <w:rsid w:val="00D26ED0"/>
    <w:rsid w:val="00D3014F"/>
    <w:rsid w:val="00D30B33"/>
    <w:rsid w:val="00D30C1F"/>
    <w:rsid w:val="00D3159A"/>
    <w:rsid w:val="00D33293"/>
    <w:rsid w:val="00D33853"/>
    <w:rsid w:val="00D37EFB"/>
    <w:rsid w:val="00D40A50"/>
    <w:rsid w:val="00D40C65"/>
    <w:rsid w:val="00D50D0A"/>
    <w:rsid w:val="00D51F1C"/>
    <w:rsid w:val="00D52A42"/>
    <w:rsid w:val="00D5597C"/>
    <w:rsid w:val="00D60871"/>
    <w:rsid w:val="00D61273"/>
    <w:rsid w:val="00D617E2"/>
    <w:rsid w:val="00D62815"/>
    <w:rsid w:val="00D62F6F"/>
    <w:rsid w:val="00D64381"/>
    <w:rsid w:val="00D67474"/>
    <w:rsid w:val="00D67C2D"/>
    <w:rsid w:val="00D70990"/>
    <w:rsid w:val="00D70FB7"/>
    <w:rsid w:val="00D736AB"/>
    <w:rsid w:val="00D75C9B"/>
    <w:rsid w:val="00D7613C"/>
    <w:rsid w:val="00D764C7"/>
    <w:rsid w:val="00D80CB2"/>
    <w:rsid w:val="00D8208E"/>
    <w:rsid w:val="00D83129"/>
    <w:rsid w:val="00D83321"/>
    <w:rsid w:val="00D838A0"/>
    <w:rsid w:val="00D85852"/>
    <w:rsid w:val="00D8754A"/>
    <w:rsid w:val="00D911BA"/>
    <w:rsid w:val="00D9145C"/>
    <w:rsid w:val="00D92C23"/>
    <w:rsid w:val="00DA00F6"/>
    <w:rsid w:val="00DA01FA"/>
    <w:rsid w:val="00DA04A5"/>
    <w:rsid w:val="00DA1583"/>
    <w:rsid w:val="00DA1DF3"/>
    <w:rsid w:val="00DA2192"/>
    <w:rsid w:val="00DA507A"/>
    <w:rsid w:val="00DB0E94"/>
    <w:rsid w:val="00DB112A"/>
    <w:rsid w:val="00DB14D8"/>
    <w:rsid w:val="00DB245E"/>
    <w:rsid w:val="00DB2EC7"/>
    <w:rsid w:val="00DB2FC5"/>
    <w:rsid w:val="00DB4F3B"/>
    <w:rsid w:val="00DB5EF4"/>
    <w:rsid w:val="00DB6BFA"/>
    <w:rsid w:val="00DB7023"/>
    <w:rsid w:val="00DB789F"/>
    <w:rsid w:val="00DC0736"/>
    <w:rsid w:val="00DC1232"/>
    <w:rsid w:val="00DC198D"/>
    <w:rsid w:val="00DC53CB"/>
    <w:rsid w:val="00DC62D5"/>
    <w:rsid w:val="00DC62D8"/>
    <w:rsid w:val="00DD09C1"/>
    <w:rsid w:val="00DD1747"/>
    <w:rsid w:val="00DE0C80"/>
    <w:rsid w:val="00DE2F45"/>
    <w:rsid w:val="00DE3ECF"/>
    <w:rsid w:val="00DE45F3"/>
    <w:rsid w:val="00DE700D"/>
    <w:rsid w:val="00DF01B6"/>
    <w:rsid w:val="00DF0742"/>
    <w:rsid w:val="00DF1582"/>
    <w:rsid w:val="00DF401D"/>
    <w:rsid w:val="00DF432E"/>
    <w:rsid w:val="00DF5991"/>
    <w:rsid w:val="00DF70A7"/>
    <w:rsid w:val="00E044C7"/>
    <w:rsid w:val="00E052AF"/>
    <w:rsid w:val="00E073D9"/>
    <w:rsid w:val="00E07727"/>
    <w:rsid w:val="00E078A6"/>
    <w:rsid w:val="00E11CE5"/>
    <w:rsid w:val="00E14838"/>
    <w:rsid w:val="00E15C28"/>
    <w:rsid w:val="00E16CD2"/>
    <w:rsid w:val="00E20F59"/>
    <w:rsid w:val="00E236BC"/>
    <w:rsid w:val="00E25FFF"/>
    <w:rsid w:val="00E265D8"/>
    <w:rsid w:val="00E2769E"/>
    <w:rsid w:val="00E27960"/>
    <w:rsid w:val="00E30181"/>
    <w:rsid w:val="00E320D7"/>
    <w:rsid w:val="00E320E2"/>
    <w:rsid w:val="00E341F4"/>
    <w:rsid w:val="00E375FF"/>
    <w:rsid w:val="00E43456"/>
    <w:rsid w:val="00E43641"/>
    <w:rsid w:val="00E44259"/>
    <w:rsid w:val="00E452D6"/>
    <w:rsid w:val="00E517A6"/>
    <w:rsid w:val="00E518C0"/>
    <w:rsid w:val="00E537E3"/>
    <w:rsid w:val="00E547AD"/>
    <w:rsid w:val="00E54D09"/>
    <w:rsid w:val="00E55D53"/>
    <w:rsid w:val="00E56DB0"/>
    <w:rsid w:val="00E613F2"/>
    <w:rsid w:val="00E66318"/>
    <w:rsid w:val="00E70CF8"/>
    <w:rsid w:val="00E72E1A"/>
    <w:rsid w:val="00E73D0A"/>
    <w:rsid w:val="00E74954"/>
    <w:rsid w:val="00E74DFA"/>
    <w:rsid w:val="00E800AA"/>
    <w:rsid w:val="00E826F8"/>
    <w:rsid w:val="00E84F8C"/>
    <w:rsid w:val="00E85171"/>
    <w:rsid w:val="00E852B9"/>
    <w:rsid w:val="00E85B18"/>
    <w:rsid w:val="00E90D8B"/>
    <w:rsid w:val="00E91F00"/>
    <w:rsid w:val="00E9409D"/>
    <w:rsid w:val="00E9421A"/>
    <w:rsid w:val="00E944A5"/>
    <w:rsid w:val="00E95282"/>
    <w:rsid w:val="00E954D6"/>
    <w:rsid w:val="00EA444C"/>
    <w:rsid w:val="00EA4820"/>
    <w:rsid w:val="00EA508B"/>
    <w:rsid w:val="00EA659E"/>
    <w:rsid w:val="00EB07FE"/>
    <w:rsid w:val="00EB09A1"/>
    <w:rsid w:val="00EB1589"/>
    <w:rsid w:val="00EB22BF"/>
    <w:rsid w:val="00EB2850"/>
    <w:rsid w:val="00EB2E7F"/>
    <w:rsid w:val="00EB3539"/>
    <w:rsid w:val="00EB4C9A"/>
    <w:rsid w:val="00EC01BE"/>
    <w:rsid w:val="00EC163D"/>
    <w:rsid w:val="00EC65F2"/>
    <w:rsid w:val="00EC71B6"/>
    <w:rsid w:val="00EC74CB"/>
    <w:rsid w:val="00EC7D2F"/>
    <w:rsid w:val="00ED2FA0"/>
    <w:rsid w:val="00ED629C"/>
    <w:rsid w:val="00EE1C28"/>
    <w:rsid w:val="00EE227C"/>
    <w:rsid w:val="00EE4529"/>
    <w:rsid w:val="00EE6152"/>
    <w:rsid w:val="00EF0C58"/>
    <w:rsid w:val="00EF0E76"/>
    <w:rsid w:val="00EF1AE7"/>
    <w:rsid w:val="00EF3793"/>
    <w:rsid w:val="00EF51C5"/>
    <w:rsid w:val="00EF6556"/>
    <w:rsid w:val="00EF7C32"/>
    <w:rsid w:val="00EF7DCB"/>
    <w:rsid w:val="00F00B45"/>
    <w:rsid w:val="00F01623"/>
    <w:rsid w:val="00F018B4"/>
    <w:rsid w:val="00F037CF"/>
    <w:rsid w:val="00F06585"/>
    <w:rsid w:val="00F06F7F"/>
    <w:rsid w:val="00F0732C"/>
    <w:rsid w:val="00F10EC4"/>
    <w:rsid w:val="00F1465A"/>
    <w:rsid w:val="00F14A7C"/>
    <w:rsid w:val="00F1503B"/>
    <w:rsid w:val="00F1520D"/>
    <w:rsid w:val="00F16504"/>
    <w:rsid w:val="00F21A51"/>
    <w:rsid w:val="00F23F73"/>
    <w:rsid w:val="00F24AC8"/>
    <w:rsid w:val="00F30D5B"/>
    <w:rsid w:val="00F314A7"/>
    <w:rsid w:val="00F32647"/>
    <w:rsid w:val="00F36F0A"/>
    <w:rsid w:val="00F47F12"/>
    <w:rsid w:val="00F51D28"/>
    <w:rsid w:val="00F556C5"/>
    <w:rsid w:val="00F64FB8"/>
    <w:rsid w:val="00F65A34"/>
    <w:rsid w:val="00F65C60"/>
    <w:rsid w:val="00F71FCD"/>
    <w:rsid w:val="00F73B0B"/>
    <w:rsid w:val="00F754AA"/>
    <w:rsid w:val="00F7551F"/>
    <w:rsid w:val="00F77CC1"/>
    <w:rsid w:val="00F77FD7"/>
    <w:rsid w:val="00F81156"/>
    <w:rsid w:val="00F81558"/>
    <w:rsid w:val="00F81F62"/>
    <w:rsid w:val="00F82426"/>
    <w:rsid w:val="00F83CE5"/>
    <w:rsid w:val="00F840DD"/>
    <w:rsid w:val="00F86214"/>
    <w:rsid w:val="00F90C27"/>
    <w:rsid w:val="00F91967"/>
    <w:rsid w:val="00F93CFE"/>
    <w:rsid w:val="00F93D3D"/>
    <w:rsid w:val="00F95EDA"/>
    <w:rsid w:val="00F976E1"/>
    <w:rsid w:val="00F97ACC"/>
    <w:rsid w:val="00FA0B22"/>
    <w:rsid w:val="00FA2668"/>
    <w:rsid w:val="00FA373F"/>
    <w:rsid w:val="00FA47C5"/>
    <w:rsid w:val="00FA5315"/>
    <w:rsid w:val="00FA6436"/>
    <w:rsid w:val="00FA7C1F"/>
    <w:rsid w:val="00FB2CD0"/>
    <w:rsid w:val="00FB2F2C"/>
    <w:rsid w:val="00FB41BF"/>
    <w:rsid w:val="00FB4670"/>
    <w:rsid w:val="00FB5CD3"/>
    <w:rsid w:val="00FB74E5"/>
    <w:rsid w:val="00FC0942"/>
    <w:rsid w:val="00FC1BC7"/>
    <w:rsid w:val="00FC4428"/>
    <w:rsid w:val="00FC5896"/>
    <w:rsid w:val="00FC5E87"/>
    <w:rsid w:val="00FC5F52"/>
    <w:rsid w:val="00FD0B99"/>
    <w:rsid w:val="00FD10F9"/>
    <w:rsid w:val="00FD213A"/>
    <w:rsid w:val="00FD29E1"/>
    <w:rsid w:val="00FD2C76"/>
    <w:rsid w:val="00FD7195"/>
    <w:rsid w:val="00FE04FB"/>
    <w:rsid w:val="00FE471A"/>
    <w:rsid w:val="00FE5271"/>
    <w:rsid w:val="00FE584D"/>
    <w:rsid w:val="00FE6882"/>
    <w:rsid w:val="00FE7B9B"/>
    <w:rsid w:val="00FF18D1"/>
    <w:rsid w:val="00FF4087"/>
    <w:rsid w:val="00FF73DA"/>
    <w:rsid w:val="00FF7483"/>
    <w:rsid w:val="01EC3436"/>
    <w:rsid w:val="02C619F7"/>
    <w:rsid w:val="04866512"/>
    <w:rsid w:val="04DE57A2"/>
    <w:rsid w:val="07EF4010"/>
    <w:rsid w:val="0B0E7430"/>
    <w:rsid w:val="0DBD709A"/>
    <w:rsid w:val="176115FB"/>
    <w:rsid w:val="1AF87BC6"/>
    <w:rsid w:val="1B7433FC"/>
    <w:rsid w:val="20C57A31"/>
    <w:rsid w:val="247D4641"/>
    <w:rsid w:val="274B2C02"/>
    <w:rsid w:val="2AA76E47"/>
    <w:rsid w:val="2C00355C"/>
    <w:rsid w:val="3096375E"/>
    <w:rsid w:val="30F16848"/>
    <w:rsid w:val="34B30C64"/>
    <w:rsid w:val="3EC7711A"/>
    <w:rsid w:val="415F544E"/>
    <w:rsid w:val="41612CCF"/>
    <w:rsid w:val="43C95822"/>
    <w:rsid w:val="449D003E"/>
    <w:rsid w:val="44AA4AF3"/>
    <w:rsid w:val="44EB11ED"/>
    <w:rsid w:val="45D419D1"/>
    <w:rsid w:val="501A1A7A"/>
    <w:rsid w:val="52B23907"/>
    <w:rsid w:val="5352350C"/>
    <w:rsid w:val="54F12EE7"/>
    <w:rsid w:val="551630B4"/>
    <w:rsid w:val="564D31A3"/>
    <w:rsid w:val="574F3E1A"/>
    <w:rsid w:val="57995C04"/>
    <w:rsid w:val="5D80032B"/>
    <w:rsid w:val="5E8343A9"/>
    <w:rsid w:val="5E9617EA"/>
    <w:rsid w:val="6005523E"/>
    <w:rsid w:val="61877226"/>
    <w:rsid w:val="61D2000C"/>
    <w:rsid w:val="624956CD"/>
    <w:rsid w:val="63514246"/>
    <w:rsid w:val="63600FD2"/>
    <w:rsid w:val="66C407B9"/>
    <w:rsid w:val="68CA43DE"/>
    <w:rsid w:val="6B333AEC"/>
    <w:rsid w:val="6CBB7EFE"/>
    <w:rsid w:val="6DCC1EB5"/>
    <w:rsid w:val="70AD325B"/>
    <w:rsid w:val="72767F12"/>
    <w:rsid w:val="76A84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5"/>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Emphasis"/>
    <w:basedOn w:val="10"/>
    <w:qFormat/>
    <w:uiPriority w:val="20"/>
    <w:rPr>
      <w:color w:val="CC0000"/>
    </w:rPr>
  </w:style>
  <w:style w:type="character" w:styleId="12">
    <w:name w:val="annotation reference"/>
    <w:basedOn w:val="10"/>
    <w:semiHidden/>
    <w:unhideWhenUsed/>
    <w:qFormat/>
    <w:uiPriority w:val="99"/>
    <w:rPr>
      <w:sz w:val="21"/>
      <w:szCs w:val="21"/>
    </w:rPr>
  </w:style>
  <w:style w:type="character" w:customStyle="1" w:styleId="13">
    <w:name w:val="标题 1 字符"/>
    <w:basedOn w:val="10"/>
    <w:link w:val="2"/>
    <w:qFormat/>
    <w:uiPriority w:val="0"/>
    <w:rPr>
      <w:rFonts w:ascii="Times New Roman" w:hAnsi="Times New Roman" w:eastAsia="宋体" w:cs="Times New Roman"/>
      <w:b/>
      <w:bCs/>
      <w:kern w:val="44"/>
      <w:sz w:val="44"/>
      <w:szCs w:val="44"/>
    </w:rPr>
  </w:style>
  <w:style w:type="character" w:customStyle="1" w:styleId="14">
    <w:name w:val="corporatetitle1"/>
    <w:qFormat/>
    <w:uiPriority w:val="0"/>
    <w:rPr>
      <w:b/>
      <w:bCs/>
      <w:color w:val="CC0000"/>
      <w:spacing w:val="375"/>
      <w:sz w:val="22"/>
      <w:szCs w:val="22"/>
    </w:rPr>
  </w:style>
  <w:style w:type="character" w:customStyle="1" w:styleId="15">
    <w:name w:val="页脚 字符"/>
    <w:basedOn w:val="10"/>
    <w:link w:val="5"/>
    <w:qFormat/>
    <w:uiPriority w:val="99"/>
    <w:rPr>
      <w:rFonts w:ascii="Times New Roman" w:hAnsi="Times New Roman" w:eastAsia="宋体" w:cs="Times New Roman"/>
      <w:sz w:val="18"/>
      <w:szCs w:val="18"/>
    </w:rPr>
  </w:style>
  <w:style w:type="character" w:customStyle="1" w:styleId="16">
    <w:name w:val="页眉 字符"/>
    <w:basedOn w:val="10"/>
    <w:link w:val="6"/>
    <w:qFormat/>
    <w:uiPriority w:val="99"/>
    <w:rPr>
      <w:rFonts w:ascii="Times New Roman" w:hAnsi="Times New Roman" w:eastAsia="宋体" w:cs="Times New Roman"/>
      <w:sz w:val="18"/>
      <w:szCs w:val="18"/>
    </w:rPr>
  </w:style>
  <w:style w:type="character" w:customStyle="1" w:styleId="17">
    <w:name w:val="批注框文本 字符"/>
    <w:basedOn w:val="10"/>
    <w:link w:val="4"/>
    <w:qFormat/>
    <w:uiPriority w:val="99"/>
    <w:rPr>
      <w:rFonts w:ascii="Times New Roman" w:hAnsi="Times New Roman" w:eastAsia="宋体" w:cs="Times New Roman"/>
      <w:sz w:val="18"/>
      <w:szCs w:val="18"/>
    </w:rPr>
  </w:style>
  <w:style w:type="character" w:customStyle="1" w:styleId="18">
    <w:name w:val="批注文字 字符"/>
    <w:basedOn w:val="10"/>
    <w:link w:val="3"/>
    <w:qFormat/>
    <w:uiPriority w:val="99"/>
    <w:rPr>
      <w:rFonts w:ascii="Times New Roman" w:hAnsi="Times New Roman" w:eastAsia="宋体" w:cs="Times New Roman"/>
      <w:szCs w:val="24"/>
    </w:rPr>
  </w:style>
  <w:style w:type="character" w:customStyle="1" w:styleId="19">
    <w:name w:val="批注主题 字符"/>
    <w:basedOn w:val="18"/>
    <w:link w:val="7"/>
    <w:semiHidden/>
    <w:qFormat/>
    <w:uiPriority w:val="99"/>
    <w:rPr>
      <w:rFonts w:ascii="Times New Roman" w:hAnsi="Times New Roman" w:eastAsia="宋体" w:cs="Times New Roman"/>
      <w:b/>
      <w:bCs/>
      <w:szCs w:val="24"/>
    </w:rPr>
  </w:style>
  <w:style w:type="paragraph" w:styleId="20">
    <w:name w:val="List Paragraph"/>
    <w:basedOn w:val="1"/>
    <w:link w:val="23"/>
    <w:qFormat/>
    <w:uiPriority w:val="34"/>
    <w:pPr>
      <w:ind w:firstLine="420" w:firstLineChars="200"/>
    </w:pPr>
  </w:style>
  <w:style w:type="character" w:customStyle="1" w:styleId="21">
    <w:name w:val="Body text|1_"/>
    <w:link w:val="22"/>
    <w:qFormat/>
    <w:uiPriority w:val="0"/>
    <w:rPr>
      <w:rFonts w:ascii="宋体" w:hAnsi="宋体" w:cs="宋体"/>
      <w:color w:val="666666"/>
      <w:lang w:val="zh-TW" w:eastAsia="zh-TW" w:bidi="zh-TW"/>
    </w:rPr>
  </w:style>
  <w:style w:type="paragraph" w:customStyle="1" w:styleId="22">
    <w:name w:val="Body text|1"/>
    <w:basedOn w:val="1"/>
    <w:link w:val="21"/>
    <w:qFormat/>
    <w:uiPriority w:val="0"/>
    <w:pPr>
      <w:spacing w:line="360" w:lineRule="auto"/>
      <w:jc w:val="left"/>
    </w:pPr>
    <w:rPr>
      <w:rFonts w:ascii="宋体" w:hAnsi="宋体" w:cs="宋体" w:eastAsiaTheme="minorEastAsia"/>
      <w:color w:val="666666"/>
      <w:szCs w:val="22"/>
      <w:lang w:val="zh-TW" w:eastAsia="zh-TW" w:bidi="zh-TW"/>
    </w:rPr>
  </w:style>
  <w:style w:type="character" w:customStyle="1" w:styleId="23">
    <w:name w:val="列出段落 字符"/>
    <w:link w:val="20"/>
    <w:qFormat/>
    <w:uiPriority w:val="34"/>
    <w:rPr>
      <w:rFonts w:ascii="Times New Roman" w:hAnsi="Times New Roman" w:eastAsia="宋体" w:cs="Times New Roman"/>
      <w:szCs w:val="24"/>
    </w:rPr>
  </w:style>
  <w:style w:type="paragraph" w:customStyle="1" w:styleId="2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25">
    <w:name w:val="网格型11"/>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F635B-B764-4141-A947-D19F2426C280}">
  <ds:schemaRefs/>
</ds:datastoreItem>
</file>

<file path=docProps/app.xml><?xml version="1.0" encoding="utf-8"?>
<Properties xmlns="http://schemas.openxmlformats.org/officeDocument/2006/extended-properties" xmlns:vt="http://schemas.openxmlformats.org/officeDocument/2006/docPropsVTypes">
  <Template>Normal</Template>
  <Company>平安银行股份有限公司</Company>
  <Pages>29</Pages>
  <Words>21926</Words>
  <Characters>23063</Characters>
  <Lines>166</Lines>
  <Paragraphs>46</Paragraphs>
  <TotalTime>15</TotalTime>
  <ScaleCrop>false</ScaleCrop>
  <LinksUpToDate>false</LinksUpToDate>
  <CharactersWithSpaces>23153</CharactersWithSpaces>
  <Application>WPS Office_11.8.2.12252_F1E327BC-269C-435d-A152-05C5408002CA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2024-12-19T06:11:00Z</dcterms:created>
  <dc:creator>PingAn</dc:creator>
  <cp:lastModifiedBy>EX-CHENJIANIAN001</cp:lastModifiedBy>
  <dcterms:modified xsi:type="dcterms:W3CDTF">2024-12-19T06:27:43Z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y fmtid="{D5CDD505-2E9C-101B-9397-08002B2CF9AE}" pid="3" name="KSOProductBuildVer">
    <vt:lpwstr>2052-11.8.2.12252</vt:lpwstr>
  </property>
  <property fmtid="{D5CDD505-2E9C-101B-9397-08002B2CF9AE}" pid="4" name="ICV">
    <vt:lpwstr>D69265440957494D98E0773E7C6052D5</vt:lpwstr>
  </property>
</Properties>
</file>