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w:t>
      </w:r>
      <w:r>
        <w:rPr>
          <w:rStyle w:val="27"/>
          <w:rFonts w:hint="eastAsia" w:ascii="宋体" w:hAnsi="宋体" w:cs="Times New Roman"/>
          <w:sz w:val="32"/>
          <w:szCs w:val="32"/>
          <w:lang w:val="en-US" w:eastAsia="zh-CN"/>
        </w:rPr>
        <w:t>2024</w:t>
      </w:r>
      <w:r>
        <w:rPr>
          <w:rStyle w:val="27"/>
          <w:rFonts w:hint="eastAsia" w:ascii="宋体" w:hAnsi="宋体" w:cs="Times New Roman"/>
          <w:sz w:val="32"/>
          <w:szCs w:val="32"/>
        </w:rPr>
        <w:t>】年【</w:t>
      </w:r>
      <w:r>
        <w:rPr>
          <w:rStyle w:val="27"/>
          <w:rFonts w:hint="eastAsia" w:ascii="宋体" w:hAnsi="宋体" w:cs="Times New Roman"/>
          <w:sz w:val="32"/>
          <w:szCs w:val="32"/>
          <w:lang w:val="en-US" w:eastAsia="zh-CN"/>
        </w:rPr>
        <w:t>12</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permStart w:id="2" w:edGrp="everyone"/>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"_Toc29814"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_Toc29814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"_Toc30087" </w:instrText>
          </w:r>
          <w:r>
            <w:fldChar w:fldCharType="separate"/>
          </w:r>
          <w:r>
            <w:rPr>
              <w:rFonts w:hint="eastAsia" w:hAnsi="宋体"/>
              <w:szCs w:val="28"/>
            </w:rPr>
            <w:t xml:space="preserve">第二条  理财产品基本情况 </w:t>
          </w:r>
          <w:r>
            <w:tab/>
          </w:r>
          <w:r>
            <w:fldChar w:fldCharType="begin"/>
          </w:r>
          <w:r>
            <w:instrText xml:space="preserve"> PAGEREF _Toc30087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"_Toc21959"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_Toc21959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"_Toc29856"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_Toc29856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"_Toc23413"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_Toc23413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"_Toc5702"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_Toc5702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"_Toc11152"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_Toc11152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"_Toc8045"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_Toc8045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"_Toc22998"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_Toc22998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"_Toc5388"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_Toc5388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"_Toc24268"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_Toc24268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"_Toc8020"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_Toc8020 \h </w:instrText>
          </w:r>
          <w:r>
            <w:fldChar w:fldCharType="separate"/>
          </w:r>
          <w:r>
            <w:t>36</w:t>
          </w:r>
          <w:r>
            <w:fldChar w:fldCharType="end"/>
          </w:r>
          <w:r>
            <w:fldChar w:fldCharType="end"/>
          </w:r>
        </w:p>
        <w:p>
          <w:pPr>
            <w:spacing w:line="360" w:lineRule="auto"/>
          </w:pPr>
          <w:r>
            <w:fldChar w:fldCharType="end"/>
          </w:r>
        </w:p>
      </w:sdtContent>
    </w:sdt>
    <w:permEnd w:id="2"/>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6572"/>
      <w:bookmarkStart w:id="2" w:name="_Toc29814"/>
      <w:bookmarkStart w:id="3"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bookmarkEnd w:id="3"/>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3"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3"/>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投资者：指符合相关法律法规、监管规定要求的，可以购买理财产品份额的自然人、法人或者依法成立的其他组织。</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2" w:edGrp="everyone"/>
      <w:r>
        <w:rPr>
          <w:rFonts w:hint="eastAsia" w:asciiTheme="majorEastAsia" w:hAnsiTheme="majorEastAsia" w:eastAsiaTheme="majorEastAsia"/>
          <w:bCs/>
          <w:sz w:val="18"/>
          <w:szCs w:val="18"/>
        </w:rPr>
        <w:t>【稳添利最短持有期日开固收类】</w:t>
      </w:r>
      <w:permEnd w:id="12"/>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4" w:name="_Toc92377131"/>
      <w:bookmarkStart w:id="5" w:name="_Toc79154665"/>
      <w:bookmarkStart w:id="6" w:name="_Toc14559"/>
      <w:bookmarkStart w:id="7" w:name="_Toc30087"/>
      <w:r>
        <w:rPr>
          <w:rFonts w:hint="eastAsia" w:hAnsi="宋体"/>
          <w:sz w:val="28"/>
          <w:szCs w:val="28"/>
        </w:rPr>
        <w:t>第二条  理财产品基本情况</w:t>
      </w:r>
      <w:bookmarkEnd w:id="4"/>
      <w:bookmarkEnd w:id="5"/>
      <w:r>
        <w:rPr>
          <w:rFonts w:hint="eastAsia" w:hAnsi="宋体"/>
          <w:sz w:val="28"/>
          <w:szCs w:val="28"/>
        </w:rPr>
        <w:t xml:space="preserve"> </w:t>
      </w:r>
      <w:bookmarkEnd w:id="6"/>
      <w:bookmarkEnd w:id="7"/>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3"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【兴银理财稳添利ESG陆盈206号(6个月最短持有期)日开固收类理财产品】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【稳添利ESG陆盈206号</w:t>
            </w:r>
            <w:r>
              <w:rPr>
                <w:rFonts w:hint="eastAsia" w:asciiTheme="majorEastAsia" w:hAnsiTheme="majorEastAsia" w:eastAsiaTheme="majorEastAsia"/>
                <w:bCs/>
                <w:kern w:val="0"/>
                <w:sz w:val="18"/>
                <w:szCs w:val="18"/>
                <w:lang w:val="en-US" w:eastAsia="zh-CN"/>
              </w:rPr>
              <w:t>H</w:t>
            </w:r>
            <w:r>
              <w:rPr>
                <w:rFonts w:hint="eastAsia" w:asciiTheme="majorEastAsia" w:hAnsiTheme="majorEastAsia" w:eastAsiaTheme="majorEastAsia"/>
                <w:bCs/>
                <w:kern w:val="0"/>
                <w:sz w:val="18"/>
                <w:szCs w:val="18"/>
              </w:rPr>
              <w:t>】</w:t>
            </w:r>
            <w:r>
              <w:rPr>
                <w:rFonts w:hint="eastAsia" w:hAnsi="宋体"/>
                <w:sz w:val="18"/>
                <w:szCs w:val="18"/>
              </w:rPr>
              <w:t>（适用【</w:t>
            </w:r>
            <w:r>
              <w:rPr>
                <w:rFonts w:hint="eastAsia" w:hAnsi="宋体"/>
                <w:sz w:val="18"/>
                <w:szCs w:val="18"/>
                <w:lang w:val="en-US" w:eastAsia="zh-CN"/>
              </w:rPr>
              <w:t>H</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【Z7002024002121】</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9E602060】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int="eastAsia" w:hAnsi="宋体"/>
                <w:sz w:val="18"/>
                <w:szCs w:val="18"/>
              </w:rPr>
            </w:pPr>
            <w:r>
              <w:rPr>
                <w:rFonts w:hint="eastAsia" w:hAnsi="宋体"/>
                <w:sz w:val="18"/>
                <w:szCs w:val="18"/>
              </w:rPr>
              <w:t>【</w:t>
            </w:r>
            <w:r>
              <w:rPr>
                <w:rFonts w:hint="eastAsia" w:ascii="宋体" w:hAnsi="宋体"/>
                <w:bCs/>
                <w:sz w:val="18"/>
                <w:szCs w:val="18"/>
              </w:rPr>
              <w:t>9E60206</w:t>
            </w:r>
            <w:r>
              <w:rPr>
                <w:rFonts w:hint="eastAsia" w:ascii="宋体" w:hAnsi="宋体"/>
                <w:bCs/>
                <w:sz w:val="18"/>
                <w:szCs w:val="18"/>
                <w:lang w:val="en-US" w:eastAsia="zh-CN"/>
              </w:rPr>
              <w:t>H</w:t>
            </w:r>
            <w:r>
              <w:rPr>
                <w:rFonts w:hint="eastAsia" w:hAnsi="宋体"/>
                <w:sz w:val="18"/>
                <w:szCs w:val="18"/>
              </w:rPr>
              <w:t>】（适用【</w:t>
            </w:r>
            <w:r>
              <w:rPr>
                <w:rFonts w:hint="eastAsia" w:ascii="宋体" w:hAnsi="宋体"/>
                <w:bCs/>
                <w:sz w:val="18"/>
                <w:szCs w:val="18"/>
                <w:lang w:val="en-US" w:eastAsia="zh-CN"/>
              </w:rPr>
              <w:t>H</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黑体" w:hAnsi="黑体" w:eastAsia="黑体"/>
                <w:bCs/>
                <w:sz w:val="18"/>
                <w:szCs w:val="18"/>
              </w:rPr>
            </w:pPr>
            <w:r>
              <w:rPr>
                <w:rFonts w:hint="eastAsia" w:ascii="黑体" w:hAnsi="黑体" w:eastAsia="黑体"/>
                <w:sz w:val="18"/>
                <w:szCs w:val="18"/>
              </w:rPr>
              <w:t>公募</w:t>
            </w:r>
            <w:r>
              <w:rPr>
                <w:rFonts w:hint="eastAsia" w:ascii="黑体" w:hAnsi="黑体" w:eastAsia="黑体"/>
                <w:bCs/>
                <w:sz w:val="18"/>
                <w:szCs w:val="18"/>
              </w:rPr>
              <w:t>、开放式、固定收益类、非保本浮动</w:t>
            </w:r>
            <w:r>
              <w:rPr>
                <w:rFonts w:ascii="黑体" w:hAnsi="黑体" w:eastAsia="黑体"/>
                <w:bCs/>
                <w:sz w:val="18"/>
                <w:szCs w:val="18"/>
              </w:rPr>
              <w:t>收益</w:t>
            </w:r>
            <w:r>
              <w:rPr>
                <w:rFonts w:hint="eastAsia" w:ascii="黑体" w:hAnsi="黑体" w:eastAsia="黑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固定收益类</w:t>
            </w:r>
          </w:p>
          <w:p>
            <w:pPr>
              <w:adjustRightInd w:val="0"/>
              <w:snapToGrid w:val="0"/>
              <w:spacing w:line="360" w:lineRule="auto"/>
              <w:rPr>
                <w:rFonts w:ascii="黑体" w:hAnsi="黑体" w:eastAsia="黑体"/>
                <w:bCs/>
                <w:sz w:val="18"/>
                <w:szCs w:val="18"/>
              </w:rPr>
            </w:pPr>
            <w:r>
              <w:rPr>
                <w:rFonts w:hint="eastAsia" w:ascii="黑体" w:hAnsi="黑体" w:eastAsia="黑体"/>
                <w:bCs/>
                <w:sz w:val="18"/>
                <w:szCs w:val="18"/>
              </w:rPr>
              <w:t>固定</w:t>
            </w:r>
            <w:r>
              <w:rPr>
                <w:rFonts w:ascii="黑体" w:hAnsi="黑体" w:eastAsia="黑体"/>
                <w:bCs/>
                <w:sz w:val="18"/>
                <w:szCs w:val="18"/>
              </w:rPr>
              <w:t>收益</w:t>
            </w:r>
            <w:r>
              <w:rPr>
                <w:rFonts w:hint="eastAsia" w:ascii="黑体" w:hAnsi="黑体" w:eastAsia="黑体"/>
                <w:bCs/>
                <w:sz w:val="18"/>
                <w:szCs w:val="18"/>
              </w:rPr>
              <w:t>类</w:t>
            </w:r>
            <w:r>
              <w:rPr>
                <w:rFonts w:ascii="黑体" w:hAnsi="黑体" w:eastAsia="黑体"/>
                <w:bCs/>
                <w:sz w:val="18"/>
                <w:szCs w:val="18"/>
              </w:rPr>
              <w:t>产品是指根据监管</w:t>
            </w:r>
            <w:r>
              <w:rPr>
                <w:rFonts w:hint="eastAsia" w:ascii="黑体" w:hAnsi="黑体" w:eastAsia="黑体"/>
                <w:bCs/>
                <w:sz w:val="18"/>
                <w:szCs w:val="18"/>
              </w:rPr>
              <w:t>相关规定</w:t>
            </w:r>
            <w:r>
              <w:rPr>
                <w:rFonts w:ascii="黑体" w:hAnsi="黑体" w:eastAsia="黑体"/>
                <w:bCs/>
                <w:sz w:val="18"/>
                <w:szCs w:val="18"/>
              </w:rPr>
              <w:t>，投资于债权类资产的</w:t>
            </w:r>
            <w:r>
              <w:rPr>
                <w:rFonts w:hint="eastAsia" w:ascii="黑体" w:hAnsi="黑体" w:eastAsia="黑体"/>
                <w:bCs/>
                <w:sz w:val="18"/>
                <w:szCs w:val="18"/>
              </w:rPr>
              <w:t>比例</w:t>
            </w:r>
            <w:r>
              <w:rPr>
                <w:rFonts w:ascii="黑体" w:hAnsi="黑体" w:eastAsia="黑体"/>
                <w:bCs/>
                <w:sz w:val="18"/>
                <w:szCs w:val="18"/>
              </w:rPr>
              <w:t>不低于80%的产品</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非保本浮动收益</w:t>
            </w:r>
          </w:p>
          <w:p>
            <w:pPr>
              <w:adjustRightInd w:val="0"/>
              <w:snapToGrid w:val="0"/>
              <w:spacing w:line="360" w:lineRule="auto"/>
              <w:rPr>
                <w:rFonts w:ascii="黑体" w:hAnsi="黑体" w:eastAsia="黑体" w:cs="黑体"/>
                <w:bCs/>
                <w:sz w:val="18"/>
                <w:szCs w:val="18"/>
              </w:rPr>
            </w:pPr>
            <w:r>
              <w:rPr>
                <w:rFonts w:hint="eastAsia" w:ascii="黑体" w:hAnsi="黑体" w:eastAsia="黑体" w:cs="黑体"/>
                <w:bCs/>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cs="黑体"/>
                <w:bCs/>
                <w:color w:val="000000" w:themeColor="text1"/>
                <w:sz w:val="18"/>
                <w:szCs w:val="18"/>
                <w14:textFill>
                  <w14:solidFill>
                    <w14:schemeClr w14:val="tx1"/>
                  </w14:solidFill>
                </w14:textFill>
              </w:rPr>
            </w:pPr>
            <w:r>
              <w:rPr>
                <w:rFonts w:hint="eastAsia" w:ascii="黑体" w:hAnsi="黑体" w:eastAsia="黑体" w:cs="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】亿元，最小成立规模为【</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□有固定期限：【</w:t>
            </w:r>
            <w:r>
              <w:rPr>
                <w:rFonts w:hint="eastAsia" w:asciiTheme="majorEastAsia" w:hAnsiTheme="majorEastAsia" w:eastAsiaTheme="majorEastAsia"/>
                <w:bCs/>
                <w:sz w:val="18"/>
                <w:szCs w:val="18"/>
                <w:lang w:val="en-US" w:eastAsia="zh-CN"/>
              </w:rPr>
              <w:t>/</w:t>
            </w:r>
            <w:r>
              <w:rPr>
                <w:rFonts w:hint="eastAsia" w:asciiTheme="majorEastAsia" w:hAnsiTheme="majorEastAsia" w:eastAsiaTheme="majorEastAsia"/>
                <w:bCs/>
                <w:sz w:val="18"/>
                <w:szCs w:val="18"/>
              </w:rPr>
              <w:t>】</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18</w:t>
            </w:r>
            <w:r>
              <w:rPr>
                <w:rFonts w:hint="eastAsia" w:cs="Times New Roman" w:asciiTheme="minorEastAsia" w:hAnsiTheme="minorEastAsia"/>
                <w:sz w:val="18"/>
                <w:szCs w:val="18"/>
              </w:rPr>
              <w:t>】日【</w:t>
            </w:r>
            <w:r>
              <w:rPr>
                <w:rFonts w:hint="eastAsia" w:cs="Times New Roman" w:asciiTheme="minorEastAsia" w:hAnsiTheme="minorEastAsia"/>
                <w:sz w:val="18"/>
                <w:szCs w:val="18"/>
                <w:lang w:val="en-US" w:eastAsia="zh-CN"/>
              </w:rPr>
              <w:t>9:00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24</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hint="eastAsia" w:asciiTheme="majorEastAsia" w:hAnsiTheme="majorEastAsia" w:eastAsiaTheme="majorEastAsia"/>
                <w:sz w:val="18"/>
                <w:szCs w:val="18"/>
                <w:lang w:val="en-US" w:eastAsia="zh-CN"/>
              </w:rPr>
              <w:t>15:45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2024</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12</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25</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inorEastAsia" w:hAnsiTheme="minorEastAsia"/>
                <w:b/>
                <w:bCs/>
                <w:sz w:val="18"/>
                <w:szCs w:val="18"/>
              </w:rPr>
            </w:pPr>
            <w:r>
              <w:rPr>
                <w:rFonts w:hint="eastAsia" w:asciiTheme="minorEastAsia" w:hAnsiTheme="minorEastAsia"/>
                <w:b/>
                <w:bCs/>
                <w:sz w:val="18"/>
                <w:szCs w:val="18"/>
              </w:rPr>
              <w:t>终止日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.本产品的计划终止日为</w:t>
            </w:r>
            <w:r>
              <w:rPr>
                <w:rFonts w:asciiTheme="minorEastAsia" w:hAnsiTheme="minorEastAsia"/>
                <w:bCs/>
                <w:sz w:val="18"/>
                <w:szCs w:val="18"/>
              </w:rPr>
              <w:t>：</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inorEastAsia" w:hAnsiTheme="minorEastAsia"/>
                <w:bCs/>
                <w:sz w:val="18"/>
                <w:szCs w:val="18"/>
              </w:rPr>
            </w:pPr>
            <w:r>
              <w:rPr>
                <w:rFonts w:hint="eastAsia" w:ascii="宋体" w:hAnsi="宋体"/>
                <w:bCs/>
                <w:sz w:val="18"/>
                <w:szCs w:val="18"/>
              </w:rPr>
              <w:t>2.本产品的实际终止日受制于本理财产品销售文件“提前终止”及“延期终止”情形。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cs="仿宋_GB2312" w:asciiTheme="minorEastAsia" w:hAnsiTheme="minorEastAsia"/>
                <w:sz w:val="18"/>
                <w:szCs w:val="18"/>
              </w:rPr>
              <w:t>至</w:t>
            </w:r>
            <w:r>
              <w:rPr>
                <w:rFonts w:hint="eastAsia" w:cs="Times New Roman" w:asciiTheme="minorEastAsia" w:hAnsiTheme="minorEastAsia"/>
                <w:sz w:val="18"/>
                <w:szCs w:val="18"/>
              </w:rPr>
              <w:t>【</w:t>
            </w:r>
            <w:r>
              <w:rPr>
                <w:rFonts w:hint="eastAsia" w:cs="Times New Roman" w:asciiTheme="minorEastAsia" w:hAnsiTheme="minorEastAsia"/>
                <w:sz w:val="18"/>
                <w:szCs w:val="18"/>
                <w:lang w:val="en-US" w:eastAsia="zh-CN"/>
              </w:rPr>
              <w:t>/</w:t>
            </w:r>
            <w:r>
              <w:rPr>
                <w:rFonts w:cs="Times New Roman" w:asciiTheme="minorEastAsia" w:hAnsiTheme="minorEastAsia"/>
                <w:sz w:val="18"/>
                <w:szCs w:val="18"/>
              </w:rPr>
              <w:t>】年【</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】月【</w:t>
            </w:r>
            <w:r>
              <w:rPr>
                <w:rFonts w:hint="eastAsia" w:cs="Times New Roman" w:asciiTheme="minorEastAsia" w:hAnsiTheme="minorEastAsia"/>
                <w:sz w:val="18"/>
                <w:szCs w:val="18"/>
                <w:lang w:val="en-US" w:eastAsia="zh-CN"/>
              </w:rPr>
              <w:t>/</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inorEastAsia" w:hAnsiTheme="minorEastAsia"/>
                <w:sz w:val="18"/>
                <w:szCs w:val="18"/>
              </w:rPr>
              <w:t>本产品最短持有期为【</w:t>
            </w:r>
            <w:r>
              <w:rPr>
                <w:rFonts w:hint="eastAsia" w:asciiTheme="minorEastAsia" w:hAnsiTheme="minorEastAsia"/>
                <w:sz w:val="18"/>
                <w:szCs w:val="18"/>
                <w:lang w:val="en-US" w:eastAsia="zh-CN"/>
              </w:rPr>
              <w:t>180</w:t>
            </w:r>
            <w:r>
              <w:rPr>
                <w:rFonts w:hint="eastAsia" w:asciiTheme="minorEastAsia" w:hAnsiTheme="minorEastAsia"/>
                <w:sz w:val="18"/>
                <w:szCs w:val="18"/>
              </w:rPr>
              <w:t>】个自然日。</w:t>
            </w:r>
            <w:r>
              <w:rPr>
                <w:rFonts w:hint="eastAsia" w:asciiTheme="majorEastAsia" w:hAnsiTheme="majorEastAsia" w:eastAsiaTheme="majorEastAsia"/>
                <w:bCs/>
                <w:sz w:val="18"/>
                <w:szCs w:val="18"/>
              </w:rPr>
              <w:t>自产品成立日/申购确认日起第【</w:t>
            </w:r>
            <w:r>
              <w:rPr>
                <w:rFonts w:hint="eastAsia" w:asciiTheme="majorEastAsia" w:hAnsiTheme="majorEastAsia" w:eastAsiaTheme="majorEastAsia"/>
                <w:bCs/>
                <w:sz w:val="18"/>
                <w:szCs w:val="18"/>
                <w:lang w:val="en-US" w:eastAsia="zh-CN"/>
              </w:rPr>
              <w:t>180</w:t>
            </w:r>
            <w:r>
              <w:rPr>
                <w:rFonts w:hint="eastAsia" w:asciiTheme="majorEastAsia" w:hAnsiTheme="majorEastAsia" w:eastAsiaTheme="majorEastAsia"/>
                <w:bCs/>
                <w:sz w:val="18"/>
                <w:szCs w:val="18"/>
              </w:rPr>
              <w:t>】个自然日内（不含当日）投资者不能赎回该产品份额，自产品成立日/申购确认日起第【</w:t>
            </w:r>
            <w:r>
              <w:rPr>
                <w:rFonts w:hint="eastAsia" w:asciiTheme="majorEastAsia" w:hAnsiTheme="majorEastAsia" w:eastAsiaTheme="majorEastAsia"/>
                <w:bCs/>
                <w:sz w:val="18"/>
                <w:szCs w:val="18"/>
                <w:lang w:val="en-US" w:eastAsia="zh-CN"/>
              </w:rPr>
              <w:t>180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投资者在非工作日提交申购申请的，下一个工作日为申购日。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投资者在工作日</w:t>
            </w:r>
            <w:r>
              <w:rPr>
                <w:rFonts w:hint="eastAsia" w:cs="Times New Roman" w:asciiTheme="minorEastAsia" w:hAnsiTheme="minorEastAsia"/>
                <w:sz w:val="18"/>
                <w:szCs w:val="18"/>
              </w:rPr>
              <w:t>【</w:t>
            </w:r>
            <w:r>
              <w:rPr>
                <w:rFonts w:hint="eastAsia" w:asciiTheme="majorEastAsia" w:hAnsiTheme="majorEastAsia" w:eastAsiaTheme="majorEastAsia"/>
                <w:sz w:val="18"/>
                <w:szCs w:val="18"/>
                <w:lang w:eastAsia="zh-CN"/>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投资者在非工作日提交赎回申请的，下一个工作日为赎回日。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hint="eastAsia" w:cs="Times New Roman" w:asciiTheme="minorEastAsia" w:hAnsiTheme="minorEastAsia" w:eastAsiaTheme="minorEastAsia"/>
                <w:bCs/>
                <w:sz w:val="18"/>
                <w:szCs w:val="18"/>
                <w:lang w:val="en-US" w:eastAsia="zh-CN"/>
              </w:rPr>
              <w:t>2</w:t>
            </w:r>
            <w:r>
              <w:rPr>
                <w:rFonts w:hint="eastAsia" w:cs="Times New Roman" w:asciiTheme="minorEastAsia" w:hAnsiTheme="minorEastAsia" w:eastAsiaTheme="minorEastAsia"/>
                <w:bCs/>
                <w:sz w:val="18"/>
                <w:szCs w:val="18"/>
              </w:rPr>
              <w:t>】个工作日内对投资者的赎回申请的有效性进行确认，并注销理财份额。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w:t>
            </w:r>
            <w:r>
              <w:rPr>
                <w:rFonts w:hint="eastAsia" w:ascii="黑体" w:hAnsi="黑体" w:eastAsia="黑体" w:cs="黑体"/>
                <w:kern w:val="0"/>
                <w:sz w:val="18"/>
                <w:lang w:val="en-US" w:eastAsia="zh-CN"/>
              </w:rPr>
              <w:t>3</w:t>
            </w:r>
            <w:r>
              <w:rPr>
                <w:rFonts w:hint="eastAsia" w:ascii="黑体" w:hAnsi="黑体" w:eastAsia="黑体" w:cs="黑体"/>
                <w:kern w:val="0"/>
                <w:sz w:val="18"/>
              </w:rPr>
              <w:t>】个工作日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hint="eastAsia"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hint="eastAsia" w:asciiTheme="majorEastAsia" w:hAnsiTheme="majorEastAsia" w:eastAsiaTheme="majorEastAsia"/>
                <w:bCs/>
                <w:sz w:val="18"/>
                <w:szCs w:val="18"/>
                <w:lang w:val="en-US" w:eastAsia="zh-CN"/>
              </w:rPr>
              <w:t>1</w:t>
            </w:r>
            <w:r>
              <w:rPr>
                <w:rFonts w:hint="eastAsia" w:asciiTheme="majorEastAsia" w:hAnsiTheme="majorEastAsia" w:eastAsiaTheme="majorEastAsia"/>
                <w:bCs/>
                <w:sz w:val="18"/>
                <w:szCs w:val="18"/>
              </w:rPr>
              <w:t>】元；超出起点金额的部分以【</w:t>
            </w:r>
            <w:r>
              <w:rPr>
                <w:rFonts w:hint="eastAsia" w:asciiTheme="majorEastAsia" w:hAnsiTheme="majorEastAsia" w:eastAsiaTheme="majorEastAsia"/>
                <w:bCs/>
                <w:sz w:val="18"/>
                <w:szCs w:val="18"/>
                <w:lang w:val="en-US" w:eastAsia="zh-CN"/>
              </w:rPr>
              <w:t>0.01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H</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w:t>
            </w:r>
            <w:r>
              <w:rPr>
                <w:rFonts w:hAnsi="宋体"/>
                <w:bCs/>
                <w:sz w:val="18"/>
                <w:szCs w:val="18"/>
              </w:rPr>
              <w:t>份额</w:t>
            </w:r>
            <w:r>
              <w:rPr>
                <w:rFonts w:hint="eastAsia" w:hAnsi="宋体"/>
                <w:bCs/>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hint="eastAsia" w:asciiTheme="minorEastAsia" w:hAnsiTheme="minorEastAsia" w:eastAsiaTheme="minorEastAsia"/>
                <w:color w:val="auto"/>
                <w:sz w:val="18"/>
                <w:szCs w:val="18"/>
                <w:lang w:val="en-US" w:eastAsia="zh-CN"/>
              </w:rPr>
              <w:t>/</w:t>
            </w:r>
            <w:r>
              <w:rPr>
                <w:rFonts w:hint="eastAsia" w:asciiTheme="minorEastAsia" w:hAnsiTheme="minorEastAsia" w:eastAsiaTheme="minorEastAsia"/>
                <w:color w:val="auto"/>
                <w:sz w:val="18"/>
                <w:szCs w:val="18"/>
              </w:rPr>
              <w:t>】。受理财利益分配去尾规则的影响，投资者持有产品份额较低时可能无法取得利益。巨额赎回情景发生时，投资者的可赎回份额需要根据巨额赎回规则确定。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Cs/>
                <w:sz w:val="18"/>
                <w:szCs w:val="18"/>
              </w:rPr>
            </w:pP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Cs/>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w:t>
            </w:r>
            <w:r>
              <w:rPr>
                <w:rFonts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hint="eastAsia" w:asciiTheme="majorEastAsia" w:hAnsiTheme="majorEastAsia"/>
                <w:bCs/>
                <w:sz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2）业绩比较基准的设定</w:t>
            </w:r>
            <w:r>
              <w:rPr>
                <w:rFonts w:hint="eastAsia" w:asciiTheme="majorEastAsia" w:hAnsiTheme="majorEastAsia" w:eastAsiaTheme="majorEastAsia"/>
                <w:bCs/>
                <w:sz w:val="18"/>
                <w:szCs w:val="18"/>
              </w:rPr>
              <w:t>：</w:t>
            </w:r>
            <w:r>
              <w:rPr>
                <w:rFonts w:hint="eastAsia" w:asciiTheme="majorEastAsia" w:hAnsiTheme="majorEastAsia"/>
                <w:bCs/>
                <w:sz w:val="18"/>
              </w:rPr>
              <w:t>管理人对</w:t>
            </w:r>
            <w:r>
              <w:rPr>
                <w:rFonts w:asciiTheme="majorEastAsia" w:hAnsiTheme="majorEastAsia"/>
                <w:bCs/>
                <w:sz w:val="18"/>
              </w:rPr>
              <w:t>本产品设定</w:t>
            </w:r>
            <w:r>
              <w:rPr>
                <w:rFonts w:hint="eastAsia" w:asciiTheme="majorEastAsia" w:hAnsiTheme="majorEastAsia"/>
                <w:bCs/>
                <w:sz w:val="18"/>
              </w:rPr>
              <w:t>业绩比较基准：</w:t>
            </w:r>
          </w:p>
          <w:p>
            <w:pPr>
              <w:spacing w:line="360" w:lineRule="auto"/>
              <w:jc w:val="left"/>
              <w:rPr>
                <w:rFonts w:ascii="宋体" w:hAnsi="宋体"/>
                <w:bCs/>
                <w:sz w:val="18"/>
                <w:szCs w:val="18"/>
              </w:rPr>
            </w:pPr>
            <w:r>
              <w:rPr>
                <w:rFonts w:hint="eastAsia" w:asciiTheme="majorEastAsia" w:hAnsiTheme="majorEastAsia"/>
                <w:bCs/>
                <w:sz w:val="18"/>
                <w:lang w:val="en-US" w:eastAsia="zh-CN"/>
              </w:rPr>
              <w:t>年化</w:t>
            </w:r>
            <w:r>
              <w:rPr>
                <w:rFonts w:hint="eastAsia" w:ascii="宋体" w:hAnsi="宋体"/>
                <w:bCs/>
                <w:sz w:val="18"/>
                <w:szCs w:val="18"/>
              </w:rPr>
              <w:t>【</w:t>
            </w:r>
            <w:r>
              <w:rPr>
                <w:rFonts w:hint="eastAsia" w:ascii="宋体" w:hAnsi="宋体"/>
                <w:bCs/>
                <w:sz w:val="18"/>
                <w:szCs w:val="18"/>
                <w:lang w:val="en-US" w:eastAsia="zh-CN"/>
              </w:rPr>
              <w:t>1.45%-2.95%</w:t>
            </w:r>
            <w:r>
              <w:rPr>
                <w:rFonts w:ascii="宋体" w:hAnsi="宋体"/>
                <w:bCs/>
                <w:sz w:val="18"/>
                <w:szCs w:val="18"/>
              </w:rPr>
              <w:t>】</w:t>
            </w: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w:t>
            </w:r>
            <w:r>
              <w:rPr>
                <w:rFonts w:hAnsi="宋体"/>
                <w:bCs/>
                <w:sz w:val="18"/>
                <w:szCs w:val="18"/>
              </w:rPr>
              <w:t>份额</w:t>
            </w:r>
            <w:r>
              <w:rPr>
                <w:rFonts w:hint="eastAsia" w:hAnsi="宋体"/>
                <w:bCs/>
                <w:sz w:val="18"/>
                <w:szCs w:val="18"/>
              </w:rPr>
              <w:t>）</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Cs/>
                <w:sz w:val="18"/>
                <w:szCs w:val="18"/>
              </w:rPr>
              <w:t>2.业绩比较基准的提示：</w:t>
            </w:r>
          </w:p>
          <w:p>
            <w:pPr>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w:t>
            </w:r>
            <w:r>
              <w:rPr>
                <w:rFonts w:hint="eastAsia" w:ascii="黑体" w:hAnsi="黑体" w:eastAsia="黑体" w:cs="黑体"/>
                <w:bCs/>
                <w:sz w:val="18"/>
              </w:rPr>
              <w:t>业绩比较基准</w:t>
            </w:r>
            <w:r>
              <w:rPr>
                <w:rFonts w:hint="eastAsia" w:ascii="黑体" w:hAnsi="黑体" w:eastAsia="黑体" w:cs="黑体"/>
                <w:bCs/>
                <w:sz w:val="18"/>
                <w:szCs w:val="18"/>
              </w:rPr>
              <w:t>不是预期收益率，</w:t>
            </w:r>
            <w:r>
              <w:rPr>
                <w:rFonts w:hint="eastAsia" w:ascii="黑体" w:hAnsi="黑体" w:eastAsia="黑体" w:cs="黑体"/>
                <w:bCs/>
                <w:sz w:val="18"/>
              </w:rPr>
              <w:t>不代表产品</w:t>
            </w:r>
            <w:r>
              <w:rPr>
                <w:rFonts w:hint="eastAsia" w:ascii="黑体" w:hAnsi="黑体" w:eastAsia="黑体" w:cs="黑体"/>
                <w:bCs/>
                <w:sz w:val="18"/>
                <w:szCs w:val="18"/>
              </w:rPr>
              <w:t>的</w:t>
            </w:r>
            <w:r>
              <w:rPr>
                <w:rFonts w:hint="eastAsia" w:ascii="黑体" w:hAnsi="黑体" w:eastAsia="黑体" w:cs="黑体"/>
                <w:bCs/>
                <w:sz w:val="18"/>
              </w:rPr>
              <w:t>未来表现</w:t>
            </w:r>
            <w:r>
              <w:rPr>
                <w:rFonts w:hint="eastAsia" w:ascii="黑体" w:hAnsi="黑体" w:eastAsia="黑体" w:cs="黑体"/>
                <w:bCs/>
                <w:sz w:val="18"/>
                <w:szCs w:val="18"/>
              </w:rPr>
              <w:t>和</w:t>
            </w:r>
            <w:r>
              <w:rPr>
                <w:rFonts w:hint="eastAsia" w:ascii="黑体" w:hAnsi="黑体" w:eastAsia="黑体" w:cs="黑体"/>
                <w:bCs/>
                <w:sz w:val="18"/>
              </w:rPr>
              <w:t>实际收益，不</w:t>
            </w:r>
            <w:r>
              <w:rPr>
                <w:rFonts w:hint="eastAsia" w:ascii="黑体" w:hAnsi="黑体" w:eastAsia="黑体" w:cs="黑体"/>
                <w:bCs/>
                <w:sz w:val="18"/>
                <w:szCs w:val="18"/>
              </w:rPr>
              <w:t>构成对</w:t>
            </w:r>
            <w:r>
              <w:rPr>
                <w:rFonts w:hint="eastAsia" w:ascii="黑体" w:hAnsi="黑体" w:eastAsia="黑体" w:cs="黑体"/>
                <w:bCs/>
                <w:sz w:val="18"/>
              </w:rPr>
              <w:t>产品收益的</w:t>
            </w:r>
            <w:r>
              <w:rPr>
                <w:rFonts w:hint="eastAsia" w:ascii="黑体" w:hAnsi="黑体" w:eastAsia="黑体" w:cs="黑体"/>
                <w:bCs/>
                <w:sz w:val="18"/>
                <w:szCs w:val="18"/>
              </w:rPr>
              <w:t>承诺</w:t>
            </w:r>
            <w:r>
              <w:rPr>
                <w:rFonts w:hint="eastAsia" w:ascii="黑体" w:hAnsi="黑体" w:eastAsia="黑体" w:cs="黑体"/>
                <w:bCs/>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int="eastAsia" w:hAnsi="宋体"/>
                <w:bCs/>
                <w:sz w:val="18"/>
                <w:szCs w:val="18"/>
                <w:lang w:val="en-US" w:eastAsia="zh-CN"/>
              </w:rPr>
              <w:t>H</w:t>
            </w:r>
            <w:r>
              <w:rPr>
                <w:rFonts w:hint="eastAsia" w:hAnsi="宋体"/>
                <w:bCs/>
                <w:sz w:val="18"/>
                <w:szCs w:val="18"/>
              </w:rPr>
              <w:t>】类</w:t>
            </w:r>
            <w:r>
              <w:rPr>
                <w:rFonts w:hAnsi="宋体"/>
                <w:bCs/>
                <w:sz w:val="18"/>
                <w:szCs w:val="18"/>
              </w:rPr>
              <w:t>份额</w:t>
            </w:r>
            <w:r>
              <w:rPr>
                <w:rFonts w:hint="eastAsia" w:hAnsi="宋体"/>
                <w:bCs/>
                <w:sz w:val="18"/>
                <w:szCs w:val="18"/>
              </w:rPr>
              <w:t>）</w:t>
            </w:r>
          </w:p>
          <w:p>
            <w:pPr>
              <w:spacing w:line="360" w:lineRule="auto"/>
              <w:jc w:val="left"/>
              <w:rPr>
                <w:rFonts w:ascii="宋体" w:hAnsi="宋体"/>
                <w:bCs/>
                <w:sz w:val="18"/>
                <w:szCs w:val="18"/>
              </w:rPr>
            </w:pPr>
            <w:r>
              <w:rPr>
                <w:rFonts w:ascii="宋体" w:hAnsi="宋体"/>
                <w:bCs/>
                <w:sz w:val="18"/>
                <w:szCs w:val="18"/>
              </w:rPr>
              <w:t>1.业绩报酬计提基准的设置</w:t>
            </w:r>
          </w:p>
          <w:p>
            <w:pPr>
              <w:autoSpaceDE w:val="0"/>
              <w:autoSpaceDN w:val="0"/>
              <w:adjustRightInd w:val="0"/>
              <w:spacing w:line="360" w:lineRule="auto"/>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产品管理人设置业绩报酬计提基准。</w:t>
            </w:r>
          </w:p>
          <w:p>
            <w:pPr>
              <w:spacing w:line="360" w:lineRule="auto"/>
              <w:jc w:val="left"/>
              <w:rPr>
                <w:rFonts w:ascii="宋体" w:hAnsi="宋体"/>
                <w:bCs/>
                <w:sz w:val="18"/>
              </w:rPr>
            </w:pPr>
            <w:r>
              <w:rPr>
                <w:rFonts w:ascii="宋体" w:hAnsi="宋体"/>
                <w:bCs/>
                <w:sz w:val="18"/>
                <w:szCs w:val="18"/>
              </w:rPr>
              <w:t>业绩报酬计提基准的</w:t>
            </w:r>
            <w:r>
              <w:rPr>
                <w:rFonts w:ascii="宋体" w:hAnsi="宋体"/>
                <w:bCs/>
                <w:sz w:val="18"/>
              </w:rPr>
              <w:t>设定</w:t>
            </w:r>
            <w:r>
              <w:rPr>
                <w:rFonts w:hint="eastAsia" w:ascii="宋体" w:hAnsi="宋体"/>
                <w:bCs/>
                <w:sz w:val="18"/>
              </w:rPr>
              <w:t>：管理人</w:t>
            </w:r>
            <w:r>
              <w:rPr>
                <w:rFonts w:ascii="宋体" w:hAnsi="宋体"/>
                <w:bCs/>
                <w:sz w:val="18"/>
              </w:rPr>
              <w:t>对本产品设定</w:t>
            </w:r>
            <w:r>
              <w:rPr>
                <w:rFonts w:hint="eastAsia" w:ascii="宋体" w:hAnsi="宋体"/>
                <w:bCs/>
                <w:sz w:val="18"/>
              </w:rPr>
              <w:t>业绩报酬计提基准：【</w:t>
            </w:r>
            <w:r>
              <w:rPr>
                <w:rFonts w:hint="eastAsia" w:ascii="宋体" w:hAnsi="宋体"/>
                <w:bCs/>
                <w:sz w:val="18"/>
                <w:lang w:val="en-US" w:eastAsia="zh-CN"/>
              </w:rPr>
              <w:t>/</w:t>
            </w:r>
            <w:r>
              <w:rPr>
                <w:rFonts w:hint="eastAsia" w:ascii="宋体" w:hAnsi="宋体"/>
                <w:bCs/>
                <w:sz w:val="18"/>
              </w:rPr>
              <w:t>】。</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asciiTheme="majorEastAsia" w:hAnsiTheme="majorEastAsia" w:eastAsiaTheme="majorEastAsia"/>
                <w:bCs/>
                <w:kern w:val="0"/>
                <w:sz w:val="18"/>
                <w:szCs w:val="18"/>
              </w:rPr>
              <w:t xml:space="preserve"> </w:t>
            </w:r>
            <w:r>
              <w:rPr>
                <w:rFonts w:hint="eastAsia" w:asciiTheme="majorEastAsia" w:hAnsiTheme="majorEastAsia" w:eastAsiaTheme="majorEastAsia"/>
                <w:bCs/>
                <w:kern w:val="0"/>
                <w:sz w:val="18"/>
                <w:szCs w:val="18"/>
              </w:rPr>
              <w:t>产品管理人不设置业绩报酬计提基准。</w:t>
            </w:r>
          </w:p>
          <w:p>
            <w:pPr>
              <w:spacing w:line="360" w:lineRule="auto"/>
              <w:jc w:val="left"/>
              <w:rPr>
                <w:rFonts w:ascii="宋体" w:hAnsi="宋体"/>
                <w:bCs/>
                <w:sz w:val="18"/>
                <w:szCs w:val="18"/>
              </w:rPr>
            </w:pPr>
            <w:r>
              <w:rPr>
                <w:rFonts w:ascii="宋体" w:hAnsi="宋体"/>
                <w:bCs/>
                <w:sz w:val="18"/>
                <w:szCs w:val="18"/>
              </w:rPr>
              <w:t>2.业绩报酬计提基准的提示</w:t>
            </w:r>
            <w:r>
              <w:rPr>
                <w:rFonts w:hint="eastAsia" w:ascii="宋体" w:hAnsi="宋体"/>
                <w:bCs/>
                <w:sz w:val="18"/>
                <w:szCs w:val="18"/>
              </w:rPr>
              <w:t>：</w:t>
            </w:r>
          </w:p>
          <w:p>
            <w:pPr>
              <w:autoSpaceDE w:val="0"/>
              <w:autoSpaceDN w:val="0"/>
              <w:adjustRightInd w:val="0"/>
              <w:spacing w:line="360" w:lineRule="auto"/>
              <w:jc w:val="left"/>
              <w:rPr>
                <w:rFonts w:ascii="黑体" w:hAnsi="黑体" w:eastAsia="黑体" w:cs="黑体"/>
                <w:bCs/>
                <w:sz w:val="18"/>
                <w:szCs w:val="18"/>
              </w:rPr>
            </w:pPr>
            <w:r>
              <w:rPr>
                <w:rFonts w:hint="eastAsia" w:ascii="黑体" w:hAnsi="黑体" w:eastAsia="黑体" w:cs="黑体"/>
                <w:bCs/>
                <w:sz w:val="18"/>
                <w:szCs w:val="18"/>
              </w:rPr>
              <w:t>（</w:t>
            </w:r>
            <w:r>
              <w:rPr>
                <w:rFonts w:ascii="黑体" w:hAnsi="黑体" w:eastAsia="黑体" w:cs="黑体"/>
                <w:bCs/>
                <w:sz w:val="18"/>
                <w:szCs w:val="18"/>
              </w:rPr>
              <w:t>1）</w:t>
            </w:r>
            <w:r>
              <w:rPr>
                <w:rFonts w:hint="eastAsia" w:ascii="黑体" w:hAnsi="黑体" w:eastAsia="黑体" w:cs="黑体"/>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hint="eastAsia" w:asciiTheme="majorEastAsia" w:hAnsiTheme="majorEastAsia" w:eastAsiaTheme="majorEastAsia"/>
                <w:bCs/>
                <w:color w:val="000000" w:themeColor="text1"/>
                <w:sz w:val="18"/>
                <w:szCs w:val="18"/>
                <w:lang w:val="en-US" w:eastAsia="zh-CN"/>
                <w14:textFill>
                  <w14:solidFill>
                    <w14:schemeClr w14:val="tx1"/>
                  </w14:solidFill>
                </w14:textFill>
              </w:rPr>
              <w:t>H</w:t>
            </w:r>
            <w:bookmarkStart w:id="182" w:name="_GoBack"/>
            <w:bookmarkEnd w:id="182"/>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stheme="minorEastAsia"/>
                <w:color w:val="000000" w:themeColor="text1"/>
                <w:sz w:val="18"/>
                <w:szCs w:val="18"/>
                <w14:textFill>
                  <w14:solidFill>
                    <w14:schemeClr w14:val="tx1"/>
                  </w14:solidFill>
                </w14:textFill>
              </w:rPr>
            </w:pPr>
            <w:r>
              <w:rPr>
                <w:rFonts w:ascii="黑体" w:hAnsi="黑体" w:eastAsia="黑体" w:cstheme="minorEastAsia"/>
                <w:color w:val="000000" w:themeColor="text1"/>
                <w:sz w:val="18"/>
                <w:szCs w:val="18"/>
                <w14:textFill>
                  <w14:solidFill>
                    <w14:schemeClr w14:val="tx1"/>
                  </w14:solidFill>
                </w14:textFill>
              </w:rPr>
              <w:t>1.</w:t>
            </w:r>
            <w:r>
              <w:rPr>
                <w:rFonts w:hint="eastAsia" w:ascii="黑体" w:hAnsi="黑体" w:eastAsia="黑体" w:cstheme="minorEastAsia"/>
                <w:color w:val="000000" w:themeColor="text1"/>
                <w:sz w:val="18"/>
                <w:szCs w:val="18"/>
                <w14:textFill>
                  <w14:solidFill>
                    <w14:schemeClr w14:val="tx1"/>
                  </w14:solidFill>
                </w14:textFill>
              </w:rPr>
              <w:t>理财产品的费率标准</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1）认购费：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2）申购费：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3）赎回费：</w:t>
            </w:r>
            <w:r>
              <w:rPr>
                <w:rFonts w:hint="eastAsia" w:ascii="黑体" w:hAnsi="黑体" w:eastAsia="黑体" w:cs="黑体"/>
                <w:color w:val="000000" w:themeColor="text1"/>
                <w:sz w:val="18"/>
                <w:szCs w:val="18"/>
                <w14:textFill>
                  <w14:solidFill>
                    <w14:schemeClr w14:val="tx1"/>
                  </w14:solidFill>
                </w14:textFill>
              </w:rPr>
              <w:t>【</w:t>
            </w:r>
            <w:r>
              <w:rPr>
                <w:rFonts w:hint="eastAsia" w:ascii="黑体" w:hAnsi="黑体" w:eastAsia="黑体" w:cs="黑体"/>
                <w:color w:val="000000" w:themeColor="text1"/>
                <w:sz w:val="18"/>
                <w:szCs w:val="18"/>
                <w:lang w:val="en-US" w:eastAsia="zh-CN"/>
                <w14:textFill>
                  <w14:solidFill>
                    <w14:schemeClr w14:val="tx1"/>
                  </w14:solidFill>
                </w14:textFill>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4）销售服</w:t>
            </w:r>
            <w:r>
              <w:rPr>
                <w:rFonts w:hint="eastAsia" w:ascii="黑体" w:hAnsi="黑体" w:eastAsia="黑体" w:cs="黑体"/>
                <w:color w:val="000000" w:themeColor="text1"/>
                <w:sz w:val="18"/>
                <w:szCs w:val="18"/>
                <w14:textFill>
                  <w14:solidFill>
                    <w14:schemeClr w14:val="tx1"/>
                  </w14:solidFill>
                </w14:textFill>
              </w:rPr>
              <w:t>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0.40%</w:t>
            </w:r>
            <w:r>
              <w:rPr>
                <w:rFonts w:hint="eastAsia"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5）投资管理费：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0.30%</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spacing w:line="360" w:lineRule="auto"/>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6）产品托管费：</w:t>
            </w:r>
            <w:r>
              <w:rPr>
                <w:rFonts w:hint="eastAsia" w:ascii="黑体" w:hAnsi="黑体" w:eastAsia="黑体" w:cs="黑体"/>
                <w:sz w:val="18"/>
                <w:szCs w:val="18"/>
              </w:rPr>
              <w:t>年化</w:t>
            </w:r>
            <w:r>
              <w:rPr>
                <w:rFonts w:ascii="黑体" w:hAnsi="黑体" w:eastAsia="黑体" w:cs="黑体"/>
                <w:sz w:val="18"/>
                <w:szCs w:val="18"/>
              </w:rPr>
              <w:t>费率</w:t>
            </w:r>
            <w:r>
              <w:rPr>
                <w:rFonts w:hint="eastAsia" w:ascii="黑体" w:hAnsi="黑体" w:eastAsia="黑体" w:cs="黑体"/>
                <w:sz w:val="18"/>
                <w:szCs w:val="18"/>
              </w:rPr>
              <w:t>【</w:t>
            </w:r>
            <w:r>
              <w:rPr>
                <w:rFonts w:hint="eastAsia" w:ascii="黑体" w:hAnsi="黑体" w:eastAsia="黑体" w:cs="黑体"/>
                <w:sz w:val="18"/>
                <w:szCs w:val="18"/>
                <w:lang w:val="en-US" w:eastAsia="zh-CN"/>
              </w:rPr>
              <w:t>0.03%</w:t>
            </w:r>
            <w:r>
              <w:rPr>
                <w:rFonts w:ascii="黑体" w:hAnsi="黑体" w:eastAsia="黑体" w:cs="黑体"/>
                <w:sz w:val="18"/>
                <w:szCs w:val="18"/>
              </w:rPr>
              <w:t>】</w:t>
            </w:r>
            <w:r>
              <w:rPr>
                <w:rFonts w:hint="eastAsia" w:ascii="黑体" w:hAnsi="黑体" w:eastAsia="黑体" w:cs="黑体"/>
                <w:color w:val="000000" w:themeColor="text1"/>
                <w:sz w:val="18"/>
                <w:szCs w:val="18"/>
                <w14:textFill>
                  <w14:solidFill>
                    <w14:schemeClr w14:val="tx1"/>
                  </w14:solidFill>
                </w14:textFill>
              </w:rPr>
              <w:t>。</w:t>
            </w:r>
          </w:p>
          <w:p>
            <w:pPr>
              <w:widowControl/>
              <w:spacing w:line="360" w:lineRule="auto"/>
              <w:jc w:val="left"/>
              <w:rPr>
                <w:rFonts w:ascii="黑体" w:hAnsi="黑体" w:eastAsia="黑体" w:cs="黑体"/>
                <w:color w:val="000000" w:themeColor="text1"/>
                <w:sz w:val="18"/>
                <w:szCs w:val="18"/>
                <w14:textFill>
                  <w14:solidFill>
                    <w14:schemeClr w14:val="tx1"/>
                  </w14:solidFill>
                </w14:textFill>
              </w:rPr>
            </w:pPr>
            <w:r>
              <w:rPr>
                <w:rFonts w:hint="eastAsia" w:ascii="黑体" w:hAnsi="黑体" w:eastAsia="黑体" w:cs="黑体"/>
                <w:color w:val="000000" w:themeColor="text1"/>
                <w:sz w:val="18"/>
                <w:szCs w:val="18"/>
                <w14:textFill>
                  <w14:solidFill>
                    <w14:schemeClr w14:val="tx1"/>
                  </w14:solidFill>
                </w14:textFill>
              </w:rPr>
              <w:t>（</w:t>
            </w:r>
            <w:r>
              <w:rPr>
                <w:rFonts w:ascii="黑体" w:hAnsi="黑体" w:eastAsia="黑体" w:cs="黑体"/>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在超额业绩报酬计提日时，若理财资产扣除销售服务费、产品托管费和投资管理费等相关费用和税收后，超额业绩报酬计提日产品份额净值折算的当前年化收益率超过当前业绩报酬计提基准，则产品管理人收取超出部分的【</w:t>
            </w:r>
            <w:r>
              <w:rPr>
                <w:rFonts w:hint="eastAsia" w:ascii="宋体" w:hAnsi="宋体"/>
                <w:sz w:val="18"/>
                <w:szCs w:val="18"/>
                <w:lang w:val="en-US" w:eastAsia="zh-CN"/>
              </w:rPr>
              <w:t>/</w:t>
            </w:r>
            <w:r>
              <w:rPr>
                <w:rFonts w:hint="eastAsia" w:ascii="宋体" w:hAnsi="宋体"/>
                <w:sz w:val="18"/>
                <w:szCs w:val="18"/>
              </w:rPr>
              <w:t>】作为超额业绩报酬。</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3"/>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4403"/>
      <w:bookmarkStart w:id="9" w:name="_Toc79154666"/>
      <w:bookmarkStart w:id="10" w:name="_Toc92377132"/>
      <w:bookmarkStart w:id="11" w:name="_Toc21959"/>
      <w:r>
        <w:rPr>
          <w:rFonts w:ascii="Times New Roman"/>
          <w:sz w:val="30"/>
        </w:rPr>
        <w:t>第</w:t>
      </w:r>
      <w:r>
        <w:rPr>
          <w:rFonts w:hint="eastAsia" w:ascii="Times New Roman"/>
          <w:sz w:val="30"/>
        </w:rPr>
        <w:t>三条</w:t>
      </w:r>
      <w:r>
        <w:rPr>
          <w:rFonts w:ascii="Times New Roman"/>
          <w:sz w:val="30"/>
        </w:rPr>
        <w:t xml:space="preserve">  </w:t>
      </w:r>
      <w:bookmarkStart w:id="12" w:name="_Toc79392573"/>
      <w:r>
        <w:rPr>
          <w:rFonts w:hint="eastAsia" w:ascii="Times New Roman"/>
          <w:sz w:val="30"/>
        </w:rPr>
        <w:t>理财产品的认购</w:t>
      </w:r>
      <w:bookmarkEnd w:id="8"/>
      <w:bookmarkEnd w:id="9"/>
      <w:bookmarkEnd w:id="10"/>
      <w:bookmarkEnd w:id="11"/>
    </w:p>
    <w:p>
      <w:pPr>
        <w:spacing w:line="360" w:lineRule="auto"/>
        <w:ind w:firstLine="361" w:firstLineChars="200"/>
        <w:rPr>
          <w:rFonts w:asciiTheme="minorEastAsia" w:hAnsiTheme="minorEastAsia"/>
          <w:b/>
          <w:bCs/>
          <w:sz w:val="18"/>
          <w:szCs w:val="18"/>
        </w:rPr>
      </w:pPr>
      <w:bookmarkStart w:id="13" w:name="_Hlt88031774"/>
      <w:bookmarkEnd w:id="13"/>
      <w:bookmarkStart w:id="1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申请并不代表认购成功，产品管理人将在认购确认日确认投资者是否认购成功，是否成功以管理人的确认结果为准</w:t>
      </w:r>
      <w:r>
        <w:rPr>
          <w:rFonts w:hint="eastAsia" w:asciiTheme="minorEastAsia" w:hAnsiTheme="minorEastAsia" w:eastAsiaTheme="minorEastAsia"/>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5" w:name="_Toc6529"/>
      <w:bookmarkStart w:id="16" w:name="_Toc92377133"/>
      <w:bookmarkStart w:id="17" w:name="_Toc29856"/>
      <w:bookmarkStart w:id="18"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5"/>
      <w:bookmarkEnd w:id="16"/>
      <w:bookmarkEnd w:id="17"/>
      <w:bookmarkEnd w:id="18"/>
    </w:p>
    <w:bookmarkEnd w:id="14"/>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color w:val="auto"/>
          <w:sz w:val="18"/>
          <w:szCs w:val="18"/>
        </w:rPr>
        <w:t>提交申购申请并不代表申购成功，产品管理人将在申购确认日确认投资者是否申购成功，是否成功以管理人的确认结果为准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12"/>
    <w:p>
      <w:pPr>
        <w:pStyle w:val="2"/>
        <w:spacing w:before="0" w:after="0" w:line="360" w:lineRule="auto"/>
        <w:jc w:val="center"/>
        <w:rPr>
          <w:rFonts w:ascii="Times New Roman"/>
          <w:sz w:val="30"/>
        </w:rPr>
      </w:pPr>
      <w:bookmarkStart w:id="19" w:name="_Toc16265"/>
      <w:bookmarkStart w:id="20" w:name="_Toc27226"/>
      <w:bookmarkStart w:id="21" w:name="_Toc74065741"/>
      <w:bookmarkStart w:id="22" w:name="_Toc29784"/>
      <w:bookmarkStart w:id="23" w:name="_Toc3266"/>
      <w:bookmarkStart w:id="24" w:name="_Toc7151"/>
      <w:bookmarkStart w:id="25" w:name="_Toc27189"/>
      <w:bookmarkStart w:id="26" w:name="_Toc15203"/>
      <w:bookmarkStart w:id="27" w:name="_Toc79154668"/>
      <w:bookmarkStart w:id="28" w:name="_Toc90742390"/>
      <w:bookmarkStart w:id="29" w:name="_Toc6714"/>
      <w:bookmarkStart w:id="30" w:name="_Toc23413"/>
      <w:bookmarkStart w:id="31" w:name="_Toc22074"/>
      <w:bookmarkStart w:id="32" w:name="_Toc90742688"/>
      <w:bookmarkStart w:id="33" w:name="_Toc12517"/>
      <w:bookmarkStart w:id="34" w:name="_Toc92377134"/>
      <w:bookmarkStart w:id="35" w:name="_Toc29948"/>
      <w:bookmarkStart w:id="36" w:name="_Toc9074232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4" w:edGrp="everyone"/>
      <w:r>
        <w:rPr>
          <w:rFonts w:hint="eastAsia" w:asciiTheme="majorEastAsia" w:hAnsiTheme="majorEastAsia" w:eastAsiaTheme="majorEastAsia"/>
          <w:bCs/>
          <w:color w:val="auto"/>
          <w:sz w:val="18"/>
          <w:szCs w:val="18"/>
        </w:rPr>
        <w:t>【在严格控制组合风险的前提下，通过不断优化组合，力争实现超越业绩比较基准的收益。】</w:t>
      </w:r>
    </w:p>
    <w:permEnd w:id="14"/>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lang w:eastAsia="zh-CN"/>
        </w:rPr>
        <w:t>（</w:t>
      </w:r>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等银行间和交易所市场债券及债务融资工具，以及其他固定收益类投资工具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hint="eastAsia"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5"/>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6" w:edGrp="everyone"/>
      <w:r>
        <w:rPr>
          <w:rFonts w:hint="eastAsia" w:asciiTheme="majorEastAsia" w:hAnsiTheme="majorEastAsia" w:eastAsiaTheme="majorEastAsia"/>
          <w:bCs/>
          <w:kern w:val="0"/>
          <w:sz w:val="18"/>
          <w:szCs w:val="18"/>
        </w:rPr>
        <w:t>本产品投资于债权类资产的比例不低于产品总资产的80%。</w:t>
      </w:r>
    </w:p>
    <w:permEnd w:id="16"/>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7"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7"/>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34"/>
        <w:spacing w:line="360" w:lineRule="auto"/>
        <w:ind w:firstLine="360" w:firstLineChars="200"/>
        <w:rPr>
          <w:rFonts w:asciiTheme="majorEastAsia" w:hAnsiTheme="majorEastAsia" w:eastAsiaTheme="majorEastAsia"/>
          <w:color w:val="auto"/>
          <w:sz w:val="18"/>
          <w:szCs w:val="18"/>
        </w:rPr>
      </w:pPr>
      <w:permStart w:id="18" w:edGrp="everyone"/>
      <w:r>
        <w:rPr>
          <w:rFonts w:hint="eastAsia" w:asciiTheme="majorEastAsia" w:hAnsiTheme="majorEastAsia" w:eastAsiaTheme="majorEastAsia"/>
          <w:bCs/>
          <w:kern w:val="0"/>
          <w:sz w:val="18"/>
          <w:szCs w:val="18"/>
        </w:rPr>
        <w:t>（1）</w:t>
      </w:r>
      <w:r>
        <w:rPr>
          <w:rFonts w:hint="eastAsia" w:asciiTheme="majorEastAsia" w:hAnsiTheme="majorEastAsia" w:eastAsiaTheme="majorEastAsia"/>
          <w:bCs/>
          <w:color w:val="auto"/>
          <w:sz w:val="18"/>
          <w:szCs w:val="18"/>
        </w:rPr>
        <w:t>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持续满足持有不低于该产品资产净值5%的现金或者到期日在一年以内的国债、中央银行票据和政策性金融债券。</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8"/>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hint="eastAsia" w:asciiTheme="majorEastAsia" w:hAnsiTheme="majorEastAsia" w:eastAsiaTheme="majorEastAsia"/>
          <w:bCs/>
          <w:color w:val="auto"/>
          <w:sz w:val="18"/>
          <w:szCs w:val="18"/>
        </w:rPr>
      </w:pPr>
      <w:permStart w:id="19"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本产品将采用ESG投资理念，引入对融资主体和项目在社会责任、环境保护、公司治理方面的考量，在追求投资业绩的同时，影响或者推动企业社会责任的履行，促进社会的和谐发展。】</w:t>
      </w:r>
    </w:p>
    <w:permEnd w:id="19"/>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7" w:name="_Toc18797"/>
      <w:bookmarkStart w:id="38" w:name="_Toc27967"/>
      <w:bookmarkStart w:id="39" w:name="_Toc74065742"/>
      <w:bookmarkStart w:id="40" w:name="_Toc4741"/>
      <w:bookmarkStart w:id="41" w:name="_Toc21988"/>
      <w:bookmarkStart w:id="42" w:name="_Toc1823"/>
      <w:bookmarkStart w:id="43" w:name="_Toc139991735"/>
      <w:bookmarkStart w:id="44" w:name="_Toc141703885"/>
      <w:bookmarkStart w:id="45" w:name="_Toc7848"/>
      <w:bookmarkStart w:id="46" w:name="_Toc5702"/>
      <w:bookmarkStart w:id="47" w:name="_Toc14893"/>
      <w:bookmarkStart w:id="48" w:name="_Toc79154669"/>
      <w:bookmarkStart w:id="49" w:name="_Toc18329"/>
      <w:bookmarkStart w:id="50" w:name="_Toc17912"/>
      <w:bookmarkStart w:id="51" w:name="_Toc18526"/>
      <w:bookmarkStart w:id="52" w:name="_Toc26986"/>
      <w:bookmarkStart w:id="53" w:name="_Toc92377135"/>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pStyle w:val="34"/>
        <w:spacing w:line="360" w:lineRule="auto"/>
        <w:ind w:firstLine="361" w:firstLineChars="200"/>
        <w:rPr>
          <w:rFonts w:asciiTheme="majorEastAsia" w:hAnsiTheme="majorEastAsia" w:eastAsiaTheme="majorEastAsia"/>
          <w:b/>
          <w:color w:val="auto"/>
          <w:sz w:val="18"/>
          <w:szCs w:val="18"/>
        </w:rPr>
      </w:pPr>
      <w:bookmarkStart w:id="54"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54"/>
    <w:p>
      <w:pPr>
        <w:pStyle w:val="2"/>
        <w:spacing w:before="0" w:after="0" w:line="360" w:lineRule="auto"/>
        <w:jc w:val="center"/>
        <w:rPr>
          <w:rFonts w:ascii="Times New Roman"/>
          <w:sz w:val="28"/>
          <w:szCs w:val="28"/>
        </w:rPr>
      </w:pPr>
      <w:bookmarkStart w:id="55" w:name="_Toc83391971"/>
      <w:bookmarkStart w:id="56" w:name="_Toc92377136"/>
      <w:bookmarkStart w:id="57" w:name="_Toc11152"/>
      <w:bookmarkStart w:id="58" w:name="_Toc13903"/>
      <w:bookmarkStart w:id="59" w:name="_Toc139991736"/>
      <w:bookmarkStart w:id="60" w:name="_Toc123112234"/>
      <w:bookmarkStart w:id="61" w:name="_Toc17244"/>
      <w:bookmarkStart w:id="62" w:name="_Toc98560352"/>
      <w:bookmarkStart w:id="63" w:name="_Toc610"/>
      <w:bookmarkStart w:id="64" w:name="_Toc123051452"/>
      <w:bookmarkStart w:id="65" w:name="_Toc7920"/>
      <w:bookmarkStart w:id="66" w:name="_Toc74065743"/>
      <w:bookmarkStart w:id="67" w:name="_Toc123102453"/>
      <w:bookmarkStart w:id="68" w:name="_Toc79392606"/>
      <w:bookmarkStart w:id="69" w:name="_Toc1270"/>
      <w:bookmarkStart w:id="70" w:name="_Toc10463"/>
      <w:bookmarkStart w:id="71" w:name="_Toc23822"/>
      <w:bookmarkStart w:id="72" w:name="_Toc23261"/>
      <w:bookmarkStart w:id="73" w:name="_Toc79154670"/>
      <w:bookmarkStart w:id="74" w:name="_Toc141703886"/>
      <w:bookmarkStart w:id="75" w:name="_Toc20733"/>
      <w:bookmarkStart w:id="76" w:name="_Toc48649707"/>
      <w:bookmarkStart w:id="77" w:name="_Toc4003"/>
      <w:bookmarkStart w:id="78" w:name="_Toc1427"/>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55"/>
      <w:bookmarkEnd w:id="56"/>
      <w:bookmarkEnd w:id="57"/>
      <w:bookmarkEnd w:id="58"/>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20"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lang w:val="en-US" w:eastAsia="zh-CN"/>
        </w:rPr>
        <w:t>工作日</w:t>
      </w:r>
      <w:r>
        <w:rPr>
          <w:rFonts w:hint="eastAsia" w:cs="Times New Roman" w:asciiTheme="minorEastAsia" w:hAnsiTheme="minorEastAsia" w:eastAsiaTheme="minorEastAsia"/>
          <w:sz w:val="18"/>
          <w:szCs w:val="18"/>
          <w:lang w:eastAsia="zh-CN"/>
        </w:rPr>
        <w:t>】</w:t>
      </w:r>
      <w:r>
        <w:rPr>
          <w:rFonts w:hint="eastAsia" w:cs="Times New Roman" w:asciiTheme="minorEastAsia" w:hAnsiTheme="minorEastAsia" w:eastAsiaTheme="minorEastAsia"/>
          <w:sz w:val="18"/>
          <w:szCs w:val="18"/>
        </w:rPr>
        <w:t>进行一次估值</w:t>
      </w:r>
      <w:r>
        <w:rPr>
          <w:rFonts w:hint="eastAsia" w:asciiTheme="minorEastAsia" w:hAnsiTheme="minorEastAsia" w:eastAsiaTheme="minorEastAsia"/>
          <w:color w:val="2E3033"/>
          <w:sz w:val="18"/>
          <w:szCs w:val="18"/>
        </w:rPr>
        <w:t>。</w:t>
      </w:r>
    </w:p>
    <w:permEnd w:id="20"/>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w:t>
      </w:r>
      <w:r>
        <w:rPr>
          <w:rFonts w:hint="eastAsia" w:asciiTheme="minorEastAsia" w:hAnsiTheme="minorEastAsia" w:eastAsiaTheme="minorEastAsia"/>
          <w:bCs/>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bCs/>
          <w:color w:val="auto"/>
          <w:sz w:val="18"/>
        </w:rPr>
        <w:t>2.</w:t>
      </w:r>
      <w:r>
        <w:rPr>
          <w:rFonts w:hint="eastAsia" w:asciiTheme="majorEastAsia" w:hAnsiTheme="majorEastAsia" w:eastAsiaTheme="majorEastAsia"/>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4.上市公司股票</w:t>
      </w:r>
      <w:r>
        <w:rPr>
          <w:rFonts w:hint="eastAsia" w:asciiTheme="majorEastAsia" w:hAnsiTheme="majorEastAsia" w:eastAsiaTheme="majorEastAsia"/>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6.</w:t>
      </w:r>
      <w:r>
        <w:rPr>
          <w:rFonts w:hint="eastAsia" w:asciiTheme="minorEastAsia" w:hAnsiTheme="minorEastAsia" w:eastAsiaTheme="minorEastAsia"/>
          <w:bCs/>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7.</w:t>
      </w:r>
      <w:r>
        <w:rPr>
          <w:rFonts w:hint="eastAsia" w:asciiTheme="minorEastAsia" w:hAnsiTheme="minorEastAsia" w:eastAsiaTheme="minorEastAsia"/>
          <w:bCs/>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8.</w:t>
      </w:r>
      <w:r>
        <w:rPr>
          <w:rFonts w:hint="eastAsia" w:asciiTheme="minorEastAsia" w:hAnsiTheme="minorEastAsia" w:eastAsiaTheme="minorEastAsia"/>
          <w:bCs/>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信托公司、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bCs/>
          <w:color w:val="auto"/>
          <w:sz w:val="18"/>
          <w:szCs w:val="18"/>
        </w:rPr>
        <w:t>10.</w:t>
      </w:r>
      <w:r>
        <w:rPr>
          <w:rFonts w:hint="eastAsia" w:asciiTheme="minorEastAsia" w:hAnsiTheme="minorEastAsia" w:eastAsiaTheme="minorEastAsia"/>
          <w:bCs/>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Pr>
        <w:pStyle w:val="2"/>
        <w:spacing w:before="0" w:after="0" w:line="360" w:lineRule="auto"/>
        <w:ind w:left="60" w:firstLine="10"/>
        <w:jc w:val="center"/>
        <w:rPr>
          <w:rFonts w:ascii="Times New Roman"/>
          <w:sz w:val="30"/>
        </w:rPr>
      </w:pPr>
      <w:bookmarkStart w:id="79" w:name="_Hlt70481650"/>
      <w:bookmarkEnd w:id="79"/>
      <w:bookmarkStart w:id="80" w:name="_Toc6405"/>
      <w:bookmarkStart w:id="81" w:name="_Toc26207"/>
      <w:bookmarkStart w:id="82" w:name="_Toc29251"/>
      <w:bookmarkStart w:id="83" w:name="_Toc8045"/>
      <w:bookmarkStart w:id="84" w:name="_Toc123102454"/>
      <w:bookmarkStart w:id="85" w:name="_Toc92377137"/>
      <w:bookmarkStart w:id="86" w:name="_Toc4020"/>
      <w:bookmarkStart w:id="87" w:name="_Toc31235"/>
      <w:bookmarkStart w:id="88" w:name="_Toc15143"/>
      <w:bookmarkStart w:id="89" w:name="_Toc123051453"/>
      <w:bookmarkStart w:id="90" w:name="_Toc123112235"/>
      <w:bookmarkStart w:id="91" w:name="_Toc79154671"/>
      <w:bookmarkStart w:id="92" w:name="_Toc12245"/>
      <w:bookmarkStart w:id="93" w:name="_Toc31653"/>
      <w:bookmarkStart w:id="94" w:name="_Toc3601"/>
      <w:bookmarkStart w:id="95" w:name="_Toc139991737"/>
      <w:bookmarkStart w:id="96" w:name="_Toc98560353"/>
      <w:bookmarkStart w:id="97" w:name="_Toc31644"/>
      <w:bookmarkStart w:id="98" w:name="_Toc74065744"/>
      <w:bookmarkStart w:id="99" w:name="_Toc14835"/>
      <w:bookmarkStart w:id="100" w:name="_Toc141703887"/>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Start w:id="101" w:name="_Hlt55355235"/>
      <w:bookmarkEnd w:id="101"/>
      <w:bookmarkStart w:id="102" w:name="_Toc15118234"/>
      <w:bookmarkStart w:id="103" w:name="_Toc57530239"/>
      <w:bookmarkStart w:id="104" w:name="_Toc523711668"/>
      <w:bookmarkStart w:id="105"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0" w:firstLineChars="200"/>
        <w:rPr>
          <w:rFonts w:hAnsi="宋体"/>
          <w:color w:val="auto"/>
          <w:sz w:val="18"/>
          <w:szCs w:val="18"/>
        </w:rPr>
      </w:pPr>
      <w:permStart w:id="21" w:edGrp="everyone"/>
      <w:r>
        <w:rPr>
          <w:rFonts w:hAnsi="宋体"/>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w:t>
      </w:r>
      <w:r>
        <w:rPr>
          <w:rFonts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Ansi="宋体"/>
          <w:color w:val="auto"/>
          <w:sz w:val="18"/>
          <w:szCs w:val="18"/>
        </w:rPr>
        <w:t>3.理财产品存续期间，产品管理人有权视理财产品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1"/>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2"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2"/>
    <w:p>
      <w:pPr>
        <w:widowControl/>
        <w:spacing w:line="360" w:lineRule="auto"/>
        <w:jc w:val="left"/>
        <w:rPr>
          <w:rFonts w:ascii="宋体" w:hAnsi="宋体"/>
          <w:kern w:val="0"/>
          <w:sz w:val="18"/>
          <w:szCs w:val="18"/>
        </w:rPr>
      </w:pPr>
      <w:r>
        <w:rPr>
          <w:rFonts w:hAnsi="宋体"/>
          <w:sz w:val="18"/>
          <w:szCs w:val="18"/>
        </w:rPr>
        <w:br w:type="page"/>
      </w:r>
    </w:p>
    <w:bookmarkEnd w:id="102"/>
    <w:bookmarkEnd w:id="103"/>
    <w:bookmarkEnd w:id="104"/>
    <w:bookmarkEnd w:id="105"/>
    <w:p>
      <w:pPr>
        <w:pStyle w:val="2"/>
        <w:spacing w:before="0" w:after="0" w:line="360" w:lineRule="auto"/>
        <w:jc w:val="center"/>
        <w:rPr>
          <w:rFonts w:ascii="Times New Roman"/>
          <w:sz w:val="30"/>
        </w:rPr>
      </w:pPr>
      <w:bookmarkStart w:id="106" w:name="_Hlt88897298"/>
      <w:bookmarkEnd w:id="106"/>
      <w:bookmarkStart w:id="107" w:name="_Hlt88825574"/>
      <w:bookmarkEnd w:id="107"/>
      <w:bookmarkStart w:id="108" w:name="_Toc92377138"/>
      <w:bookmarkStart w:id="109" w:name="_Toc79392583"/>
      <w:bookmarkStart w:id="110" w:name="_Toc7058"/>
      <w:bookmarkStart w:id="111" w:name="_Toc6394"/>
      <w:bookmarkStart w:id="112" w:name="_Toc123112236"/>
      <w:bookmarkStart w:id="113" w:name="_Toc10650"/>
      <w:bookmarkStart w:id="114" w:name="_Toc123051454"/>
      <w:bookmarkStart w:id="115" w:name="_Toc4559"/>
      <w:bookmarkStart w:id="116" w:name="_Toc3321"/>
      <w:bookmarkStart w:id="117" w:name="_Toc3771"/>
      <w:bookmarkStart w:id="118" w:name="_Toc25783"/>
      <w:bookmarkStart w:id="119" w:name="_Toc11030"/>
      <w:bookmarkStart w:id="120" w:name="_Toc139991738"/>
      <w:bookmarkStart w:id="121" w:name="_Toc74065745"/>
      <w:bookmarkStart w:id="122" w:name="_Toc123102455"/>
      <w:bookmarkStart w:id="123" w:name="_Toc98560354"/>
      <w:bookmarkStart w:id="124" w:name="_Toc79154672"/>
      <w:bookmarkStart w:id="125" w:name="_Toc18567"/>
      <w:bookmarkStart w:id="126" w:name="_Toc6447"/>
      <w:bookmarkStart w:id="127" w:name="_Toc22998"/>
      <w:bookmarkStart w:id="128" w:name="_Toc141703888"/>
      <w:bookmarkStart w:id="129" w:name="_Toc9706"/>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3"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3"/>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30" w:name="_Toc1745"/>
      <w:bookmarkStart w:id="131" w:name="_Toc3963"/>
      <w:r>
        <w:br w:type="page"/>
      </w:r>
      <w:bookmarkStart w:id="132" w:name="_Toc18206"/>
      <w:bookmarkStart w:id="133" w:name="_Toc123051455"/>
      <w:bookmarkStart w:id="134" w:name="_Toc139991739"/>
      <w:bookmarkStart w:id="135" w:name="_Toc31821"/>
      <w:bookmarkStart w:id="136" w:name="_Toc98560355"/>
      <w:bookmarkStart w:id="137" w:name="_Toc3572"/>
      <w:bookmarkStart w:id="138" w:name="_Toc16164"/>
      <w:bookmarkStart w:id="139" w:name="_Toc3080"/>
      <w:bookmarkStart w:id="140" w:name="_Toc5388"/>
      <w:bookmarkStart w:id="141" w:name="_Toc123102456"/>
      <w:bookmarkStart w:id="142" w:name="_Toc79154673"/>
      <w:bookmarkStart w:id="143" w:name="_Toc141703889"/>
      <w:bookmarkStart w:id="144" w:name="_Toc74065746"/>
      <w:bookmarkStart w:id="145" w:name="_Toc10398"/>
      <w:bookmarkStart w:id="146" w:name="_Toc21735"/>
      <w:bookmarkStart w:id="147" w:name="_Toc25397"/>
      <w:bookmarkStart w:id="148" w:name="_Toc92377139"/>
      <w:bookmarkStart w:id="149" w:name="_Toc123112237"/>
      <w:bookmarkStart w:id="150" w:name="_Toc725"/>
      <w:r>
        <w:rPr>
          <w:rFonts w:hint="eastAsia"/>
          <w:sz w:val="30"/>
        </w:rPr>
        <w:t>第十条</w:t>
      </w:r>
      <w:r>
        <w:rPr>
          <w:sz w:val="30"/>
        </w:rPr>
        <w:t xml:space="preserve">  </w:t>
      </w:r>
      <w:r>
        <w:rPr>
          <w:rFonts w:hint="eastAsia"/>
          <w:sz w:val="30"/>
        </w:rPr>
        <w:t>理财产品的终止与清算</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pPr>
        <w:spacing w:line="360" w:lineRule="auto"/>
        <w:ind w:firstLine="361" w:firstLineChars="200"/>
        <w:rPr>
          <w:rFonts w:asciiTheme="majorEastAsia" w:hAnsiTheme="majorEastAsia" w:eastAsiaTheme="majorEastAsia"/>
          <w:b/>
          <w:bCs/>
          <w:sz w:val="18"/>
          <w:szCs w:val="18"/>
        </w:rPr>
      </w:pPr>
      <w:bookmarkStart w:id="151" w:name="_Toc57530252"/>
      <w:bookmarkStart w:id="152" w:name="_Toc15118245"/>
      <w:bookmarkStart w:id="153"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bookmarkEnd w:id="151"/>
    <w:bookmarkEnd w:id="152"/>
    <w:bookmarkEnd w:id="153"/>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到期日为理财产品终止日（含提前终止或延期终止）。产品份额全部终止后，理财产品终止运作，进入清算期，清算期不计算投资收益。理财资产清算后扣除理财相关费用、缴纳所欠税款并清偿理财产品负债后，理财利益按投资者持有的理财产品份额比例进行分配。清算期原则上不得超过【5】个工作日，清算期超过【5】个工作日的，将依约定进行公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2.产品管理人决定部分终止理财产品的，终止的部分产品份额按以下约定处理：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1）部分终止的比例：理财产品将按比例（已变现资产/理财产品净资产）终止部分产品份额，同时根据产品最新的理财产品份额净值和份额计算并支付投资者相应的理财利益，投资者所持有的理财产品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部分终止的利益分配：产品管理人将依照销售文件公布部分终止日并指定利益分配日（一般为部分终止日之后的【5】个工作日以内）。产品管理人应将理财利益于指定的利益分配日（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理财产品部分终止日（含当日）至理财利益实际到账日之间，理财资金不计算收益。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3.理财产品到期日产品管理人按照《产品说明书》“第十条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p>
      <w:pPr>
        <w:pStyle w:val="2"/>
        <w:spacing w:before="0" w:after="0" w:line="360" w:lineRule="auto"/>
        <w:jc w:val="center"/>
        <w:rPr>
          <w:rFonts w:ascii="Times New Roman"/>
          <w:sz w:val="18"/>
          <w:szCs w:val="18"/>
        </w:rPr>
      </w:pPr>
      <w:r>
        <w:rPr>
          <w:rFonts w:ascii="Times New Roman"/>
          <w:b w:val="0"/>
          <w:bCs w:val="0"/>
          <w:kern w:val="2"/>
        </w:rPr>
        <w:br w:type="page"/>
      </w:r>
      <w:bookmarkStart w:id="154" w:name="_Toc92377140"/>
      <w:bookmarkStart w:id="155" w:name="_Toc24268"/>
      <w:bookmarkStart w:id="156" w:name="_Toc7953"/>
      <w:bookmarkStart w:id="157" w:name="_Toc123112238"/>
      <w:bookmarkStart w:id="158" w:name="_Toc141703890"/>
      <w:bookmarkStart w:id="159" w:name="_Toc79154674"/>
      <w:bookmarkStart w:id="160" w:name="_Toc29408"/>
      <w:bookmarkStart w:id="161" w:name="_Toc5170"/>
      <w:bookmarkStart w:id="162" w:name="_Toc3329"/>
      <w:bookmarkStart w:id="163" w:name="_Toc8791"/>
      <w:bookmarkStart w:id="164" w:name="_Toc21237"/>
      <w:bookmarkStart w:id="165" w:name="_Toc32584"/>
      <w:bookmarkStart w:id="166" w:name="_Toc32092"/>
      <w:bookmarkStart w:id="167" w:name="_Toc79392622"/>
      <w:bookmarkStart w:id="168" w:name="_Toc739"/>
      <w:bookmarkStart w:id="169" w:name="_Toc123102457"/>
      <w:bookmarkStart w:id="170" w:name="_Toc17198"/>
      <w:bookmarkStart w:id="171" w:name="_Toc123051456"/>
      <w:bookmarkStart w:id="172" w:name="_Toc74065747"/>
      <w:bookmarkStart w:id="173" w:name="_Toc83391975"/>
      <w:bookmarkStart w:id="174" w:name="_Toc17920"/>
      <w:bookmarkStart w:id="175" w:name="_Toc48649708"/>
      <w:bookmarkStart w:id="176" w:name="_Toc98560356"/>
      <w:bookmarkStart w:id="177" w:name="_Toc139991740"/>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54"/>
      <w:bookmarkEnd w:id="155"/>
      <w:bookmarkEnd w:id="156"/>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4"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w:t>
      </w:r>
      <w:r>
        <w:rPr>
          <w:rFonts w:hint="eastAsia" w:ascii="宋体" w:hAnsi="宋体"/>
          <w:bCs/>
          <w:sz w:val="18"/>
          <w:szCs w:val="18"/>
          <w:lang w:val="en-US" w:eastAsia="zh-CN"/>
        </w:rPr>
        <w:t>工作日</w:t>
      </w:r>
      <w:r>
        <w:rPr>
          <w:rFonts w:hint="eastAsia" w:ascii="宋体" w:hAnsi="宋体"/>
          <w:bCs/>
          <w:sz w:val="18"/>
          <w:szCs w:val="18"/>
        </w:rPr>
        <w:t>】向投资者披露一次估值日公告，估值日公告披露的内容包括估值日的产品份额净值、产品份额累计净值等。如遇法定节假日顺延。此外，如遇其他特殊情况，以产品管理人信息披露为准。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4"/>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1）</w:t>
      </w:r>
      <w:r>
        <w:rPr>
          <w:rFonts w:hint="eastAsia" w:ascii="黑体" w:hAnsi="黑体" w:eastAsia="黑体"/>
          <w:sz w:val="18"/>
          <w:szCs w:val="18"/>
        </w:rPr>
        <w:t>★产品管理人</w:t>
      </w:r>
      <w:r>
        <w:rPr>
          <w:rFonts w:ascii="黑体" w:hAnsi="黑体" w:eastAsia="黑体"/>
          <w:sz w:val="18"/>
          <w:szCs w:val="18"/>
        </w:rPr>
        <w:t>对</w:t>
      </w:r>
      <w:r>
        <w:rPr>
          <w:rFonts w:hint="eastAsia" w:ascii="黑体" w:hAnsi="黑体" w:eastAsia="黑体"/>
          <w:sz w:val="18"/>
          <w:szCs w:val="18"/>
        </w:rPr>
        <w:t>投资范围、投资资产种类、</w:t>
      </w:r>
      <w:r>
        <w:rPr>
          <w:rFonts w:ascii="黑体" w:hAnsi="黑体" w:eastAsia="黑体"/>
          <w:sz w:val="18"/>
          <w:szCs w:val="18"/>
        </w:rPr>
        <w:t>投资</w:t>
      </w:r>
      <w:r>
        <w:rPr>
          <w:rFonts w:hint="eastAsia" w:ascii="黑体" w:hAnsi="黑体" w:eastAsia="黑体"/>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sz w:val="18"/>
          <w:szCs w:val="18"/>
        </w:rPr>
        <w:t>2个工作日发布变更公告</w:t>
      </w:r>
      <w:r>
        <w:rPr>
          <w:rFonts w:hint="eastAsia"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4）★在本产品存续期内，如因国家法律法规、监管规定发生变化，或是出于维护本产品正常运营的需要，在不损害投资者</w:t>
      </w:r>
      <w:r>
        <w:rPr>
          <w:rFonts w:hint="eastAsia" w:ascii="黑体" w:hAnsi="黑体" w:eastAsia="黑体"/>
          <w:sz w:val="18"/>
          <w:szCs w:val="18"/>
        </w:rPr>
        <w:t>权益</w:t>
      </w:r>
      <w:r>
        <w:rPr>
          <w:rFonts w:ascii="黑体" w:hAnsi="黑体" w:eastAsia="黑体"/>
          <w:sz w:val="18"/>
          <w:szCs w:val="18"/>
        </w:rPr>
        <w:t>的前提下，</w:t>
      </w:r>
      <w:r>
        <w:rPr>
          <w:rFonts w:hint="eastAsia" w:ascii="黑体" w:hAnsi="黑体" w:eastAsia="黑体"/>
          <w:sz w:val="18"/>
          <w:szCs w:val="18"/>
        </w:rPr>
        <w:t>产品管理人</w:t>
      </w:r>
      <w:r>
        <w:rPr>
          <w:rFonts w:ascii="黑体" w:hAnsi="黑体" w:eastAsia="黑体"/>
          <w:sz w:val="18"/>
          <w:szCs w:val="18"/>
        </w:rPr>
        <w:t>有权对</w:t>
      </w:r>
      <w:r>
        <w:rPr>
          <w:rFonts w:hint="eastAsia" w:ascii="黑体" w:hAnsi="黑体" w:eastAsia="黑体"/>
          <w:sz w:val="18"/>
          <w:szCs w:val="18"/>
        </w:rPr>
        <w:t>理财产品销售文件</w:t>
      </w:r>
      <w:r>
        <w:rPr>
          <w:rFonts w:ascii="黑体" w:hAnsi="黑体" w:eastAsia="黑体"/>
          <w:sz w:val="18"/>
          <w:szCs w:val="18"/>
        </w:rPr>
        <w:t>进行修订，并提前2个工作日进行</w:t>
      </w:r>
      <w:r>
        <w:rPr>
          <w:rFonts w:hint="eastAsia" w:ascii="黑体" w:hAnsi="黑体" w:eastAsia="黑体"/>
          <w:sz w:val="18"/>
          <w:szCs w:val="18"/>
        </w:rPr>
        <w:t>公告</w:t>
      </w:r>
      <w:r>
        <w:rPr>
          <w:rFonts w:ascii="黑体" w:hAnsi="黑体" w:eastAsia="黑体"/>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Pr>
        <w:spacing w:line="360" w:lineRule="auto"/>
        <w:ind w:firstLine="360" w:firstLineChars="200"/>
        <w:rPr>
          <w:rFonts w:ascii="黑体" w:hAnsi="黑体" w:eastAsia="黑体"/>
          <w:sz w:val="18"/>
          <w:szCs w:val="18"/>
        </w:rPr>
      </w:pPr>
      <w:r>
        <w:rPr>
          <w:rFonts w:hint="eastAsia" w:ascii="黑体" w:hAnsi="黑体" w:eastAsia="黑体"/>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sz w:val="18"/>
          <w:szCs w:val="18"/>
        </w:rPr>
        <w:t>并提前2个工作日进行</w:t>
      </w:r>
      <w:r>
        <w:rPr>
          <w:rFonts w:hint="eastAsia" w:ascii="黑体" w:hAnsi="黑体" w:eastAsia="黑体"/>
          <w:sz w:val="18"/>
          <w:szCs w:val="18"/>
        </w:rPr>
        <w:t>公告。若投资者未选择退出本产品的，则视为已理解并接受管理人的相应变更。</w:t>
      </w:r>
    </w:p>
    <w:p>
      <w:pPr>
        <w:spacing w:line="360" w:lineRule="auto"/>
        <w:rPr>
          <w:bCs/>
          <w:sz w:val="24"/>
        </w:rPr>
      </w:pPr>
    </w:p>
    <w:p>
      <w:pPr>
        <w:pStyle w:val="2"/>
        <w:spacing w:before="0" w:after="0" w:line="360" w:lineRule="auto"/>
        <w:jc w:val="center"/>
        <w:rPr>
          <w:rFonts w:ascii="Times New Roman"/>
          <w:b w:val="0"/>
          <w:sz w:val="30"/>
        </w:rPr>
      </w:pPr>
      <w:bookmarkStart w:id="178" w:name="_Toc92377141"/>
      <w:bookmarkStart w:id="179" w:name="_Toc8020"/>
      <w:bookmarkStart w:id="180" w:name="_Toc79154675"/>
      <w:bookmarkStart w:id="181" w:name="_Toc30149"/>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78"/>
      <w:bookmarkEnd w:id="179"/>
      <w:bookmarkEnd w:id="180"/>
      <w:bookmarkEnd w:id="181"/>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5"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25"/>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rPr>
          <w:rFonts w:ascii="宋体" w:hAnsi="宋体"/>
          <w:sz w:val="18"/>
          <w:szCs w:val="18"/>
        </w:rPr>
      </w:pPr>
      <w:r>
        <w:rPr>
          <w:rFonts w:ascii="宋体" w:hAnsi="宋体"/>
          <w:sz w:val="18"/>
          <w:szCs w:val="18"/>
        </w:rPr>
        <w:br w:type="page"/>
      </w:r>
    </w:p>
    <w:tbl>
      <w:tblPr>
        <w:tblStyle w:val="25"/>
        <w:tblW w:w="8222"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1"/>
        <w:gridCol w:w="7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222" w:type="dxa"/>
            <w:gridSpan w:val="2"/>
          </w:tcPr>
          <w:p>
            <w:pPr>
              <w:spacing w:line="280" w:lineRule="atLeast"/>
              <w:ind w:firstLine="422"/>
              <w:jc w:val="center"/>
              <w:rPr>
                <w:rFonts w:ascii="宋体" w:hAnsi="宋体" w:cs="Arial"/>
                <w:b/>
                <w:szCs w:val="21"/>
              </w:rPr>
            </w:pPr>
            <w:r>
              <w:rPr>
                <w:rFonts w:hint="eastAsia" w:ascii="宋体" w:hAnsi="宋体" w:cs="Arial"/>
                <w:b/>
                <w:szCs w:val="21"/>
              </w:rPr>
              <w:t>投资者确认栏</w:t>
            </w:r>
          </w:p>
          <w:p>
            <w:pPr>
              <w:spacing w:line="360" w:lineRule="auto"/>
              <w:ind w:firstLine="361"/>
              <w:rPr>
                <w:b/>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51" w:type="dxa"/>
          </w:tcPr>
          <w:p>
            <w:pPr>
              <w:spacing w:line="360" w:lineRule="auto"/>
              <w:jc w:val="left"/>
              <w:rPr>
                <w:b/>
                <w:sz w:val="18"/>
                <w:szCs w:val="18"/>
              </w:rPr>
            </w:pPr>
            <w:r>
              <w:rPr>
                <w:rFonts w:hint="eastAsia"/>
                <w:b/>
                <w:sz w:val="18"/>
                <w:szCs w:val="18"/>
              </w:rPr>
              <w:t>个人投资者适用</w:t>
            </w:r>
          </w:p>
        </w:tc>
        <w:tc>
          <w:tcPr>
            <w:tcW w:w="7371" w:type="dxa"/>
          </w:tcPr>
          <w:p>
            <w:pPr>
              <w:spacing w:line="360" w:lineRule="auto"/>
              <w:ind w:firstLine="360"/>
              <w:jc w:val="left"/>
              <w:rPr>
                <w:sz w:val="18"/>
                <w:szCs w:val="18"/>
              </w:rPr>
            </w:pPr>
            <w:r>
              <w:rPr>
                <w:rFonts w:hint="eastAsia"/>
                <w:sz w:val="18"/>
                <w:szCs w:val="18"/>
              </w:rPr>
              <w:t>投资者（</w:t>
            </w:r>
            <w:r>
              <w:rPr>
                <w:sz w:val="18"/>
                <w:szCs w:val="18"/>
              </w:rPr>
              <w:t>签名</w:t>
            </w:r>
            <w:r>
              <w:rPr>
                <w:rFonts w:hint="eastAsia"/>
                <w:sz w:val="18"/>
                <w:szCs w:val="18"/>
              </w:rPr>
              <w:t>/线上确认）：</w:t>
            </w:r>
          </w:p>
          <w:p>
            <w:pPr>
              <w:spacing w:line="360" w:lineRule="auto"/>
              <w:ind w:firstLine="361"/>
              <w:jc w:val="left"/>
              <w:rPr>
                <w:b/>
                <w:sz w:val="18"/>
                <w:szCs w:val="18"/>
              </w:rPr>
            </w:pPr>
          </w:p>
          <w:p>
            <w:pPr>
              <w:spacing w:line="360" w:lineRule="auto"/>
              <w:ind w:firstLine="360"/>
              <w:jc w:val="left"/>
              <w:rPr>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51" w:type="dxa"/>
          </w:tcPr>
          <w:p>
            <w:pPr>
              <w:spacing w:line="360" w:lineRule="auto"/>
              <w:jc w:val="left"/>
              <w:rPr>
                <w:b/>
                <w:sz w:val="18"/>
                <w:szCs w:val="18"/>
              </w:rPr>
            </w:pPr>
            <w:r>
              <w:rPr>
                <w:rFonts w:hint="eastAsia"/>
                <w:b/>
                <w:sz w:val="18"/>
                <w:szCs w:val="18"/>
              </w:rPr>
              <w:t>机构投资者适用</w:t>
            </w:r>
          </w:p>
        </w:tc>
        <w:tc>
          <w:tcPr>
            <w:tcW w:w="7371" w:type="dxa"/>
          </w:tcPr>
          <w:p>
            <w:pPr>
              <w:spacing w:line="360" w:lineRule="auto"/>
              <w:ind w:firstLine="360"/>
              <w:jc w:val="left"/>
              <w:rPr>
                <w:rFonts w:cs="Arial"/>
                <w:sz w:val="18"/>
                <w:szCs w:val="18"/>
              </w:rPr>
            </w:pPr>
            <w:r>
              <w:rPr>
                <w:rFonts w:hint="eastAsia"/>
                <w:sz w:val="18"/>
                <w:szCs w:val="18"/>
              </w:rPr>
              <w:t>投资者</w:t>
            </w:r>
            <w:r>
              <w:rPr>
                <w:rFonts w:hint="eastAsia" w:cs="Arial"/>
                <w:sz w:val="18"/>
                <w:szCs w:val="18"/>
              </w:rPr>
              <w:t>（盖章/线上确认）：</w:t>
            </w:r>
          </w:p>
          <w:p>
            <w:pPr>
              <w:spacing w:line="360" w:lineRule="auto"/>
              <w:ind w:firstLine="360"/>
              <w:jc w:val="left"/>
              <w:rPr>
                <w:rFonts w:cs="Arial"/>
                <w:sz w:val="18"/>
                <w:szCs w:val="18"/>
              </w:rPr>
            </w:pPr>
          </w:p>
          <w:p>
            <w:pPr>
              <w:spacing w:line="360" w:lineRule="auto"/>
              <w:ind w:firstLine="360"/>
              <w:jc w:val="left"/>
              <w:rPr>
                <w:rFonts w:cs="Arial"/>
                <w:sz w:val="18"/>
                <w:szCs w:val="18"/>
              </w:rPr>
            </w:pPr>
            <w:r>
              <w:rPr>
                <w:rFonts w:hint="eastAsia" w:cs="Arial"/>
                <w:sz w:val="18"/>
                <w:szCs w:val="18"/>
              </w:rPr>
              <w:t>投资者法定代表人或授权代理人（签名/盖章/线上确认）：</w:t>
            </w:r>
          </w:p>
          <w:p>
            <w:pPr>
              <w:spacing w:line="360" w:lineRule="auto"/>
              <w:ind w:firstLine="360"/>
              <w:jc w:val="left"/>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（本《产品说明书》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3</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1" w:cryptProviderType="rsaAES" w:cryptAlgorithmClass="hash" w:cryptAlgorithmType="typeAny" w:cryptAlgorithmSid="14" w:cryptSpinCount="100000" w:hash="LEhBznEj/90Ime5CXftt9kU7cCey0pmpL04tWvFH+AwaTQjWzeauc5FRg5lMo3jCxIFjSk5E8jYc+ov3fQAPXg==" w:salt="EWBtnVIAbUVeypKMTLA/9A=="/>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6819"/>
    <w:rsid w:val="000B7F67"/>
    <w:rsid w:val="000C31AC"/>
    <w:rsid w:val="000C3B81"/>
    <w:rsid w:val="000C69CB"/>
    <w:rsid w:val="000C6BF4"/>
    <w:rsid w:val="000C7C96"/>
    <w:rsid w:val="000D0C3A"/>
    <w:rsid w:val="000D10B1"/>
    <w:rsid w:val="000D1473"/>
    <w:rsid w:val="000D19CF"/>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367DD"/>
    <w:rsid w:val="00242CDB"/>
    <w:rsid w:val="0024357F"/>
    <w:rsid w:val="0024456C"/>
    <w:rsid w:val="0024625D"/>
    <w:rsid w:val="0024745C"/>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295"/>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1501"/>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3BD6"/>
    <w:rsid w:val="003D5ED1"/>
    <w:rsid w:val="003D63E6"/>
    <w:rsid w:val="003E1094"/>
    <w:rsid w:val="003E1B2D"/>
    <w:rsid w:val="003E2F07"/>
    <w:rsid w:val="003E31AA"/>
    <w:rsid w:val="003E37B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D45"/>
    <w:rsid w:val="00486A6C"/>
    <w:rsid w:val="00487444"/>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7A4"/>
    <w:rsid w:val="00512B61"/>
    <w:rsid w:val="00512E3B"/>
    <w:rsid w:val="00513143"/>
    <w:rsid w:val="005131E7"/>
    <w:rsid w:val="00517C1B"/>
    <w:rsid w:val="00521905"/>
    <w:rsid w:val="00521A8A"/>
    <w:rsid w:val="0052537A"/>
    <w:rsid w:val="005261C6"/>
    <w:rsid w:val="00526A8B"/>
    <w:rsid w:val="005306F5"/>
    <w:rsid w:val="00530EFC"/>
    <w:rsid w:val="0053145D"/>
    <w:rsid w:val="0053265E"/>
    <w:rsid w:val="00534837"/>
    <w:rsid w:val="00534ED6"/>
    <w:rsid w:val="005356DD"/>
    <w:rsid w:val="005422CC"/>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97F91"/>
    <w:rsid w:val="005A0CDE"/>
    <w:rsid w:val="005A1A2E"/>
    <w:rsid w:val="005A2814"/>
    <w:rsid w:val="005A2F58"/>
    <w:rsid w:val="005A52CE"/>
    <w:rsid w:val="005A5694"/>
    <w:rsid w:val="005A60A3"/>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5773"/>
    <w:rsid w:val="0066625E"/>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4F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6D74"/>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3D9D"/>
    <w:rsid w:val="00794CF9"/>
    <w:rsid w:val="00794DBB"/>
    <w:rsid w:val="0079594A"/>
    <w:rsid w:val="007A104C"/>
    <w:rsid w:val="007A2250"/>
    <w:rsid w:val="007A2E91"/>
    <w:rsid w:val="007A3563"/>
    <w:rsid w:val="007A56C3"/>
    <w:rsid w:val="007A610A"/>
    <w:rsid w:val="007B095E"/>
    <w:rsid w:val="007B256F"/>
    <w:rsid w:val="007B2905"/>
    <w:rsid w:val="007B335E"/>
    <w:rsid w:val="007B3CAC"/>
    <w:rsid w:val="007B435B"/>
    <w:rsid w:val="007B7E70"/>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5D3B"/>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A6C62"/>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4FB"/>
    <w:rsid w:val="00936818"/>
    <w:rsid w:val="009369EF"/>
    <w:rsid w:val="00936A52"/>
    <w:rsid w:val="00940B15"/>
    <w:rsid w:val="009416D1"/>
    <w:rsid w:val="0094391C"/>
    <w:rsid w:val="00945661"/>
    <w:rsid w:val="0094699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9E3"/>
    <w:rsid w:val="00974167"/>
    <w:rsid w:val="00974BED"/>
    <w:rsid w:val="00976143"/>
    <w:rsid w:val="009775A7"/>
    <w:rsid w:val="00980073"/>
    <w:rsid w:val="00980784"/>
    <w:rsid w:val="0098167D"/>
    <w:rsid w:val="00982041"/>
    <w:rsid w:val="00983099"/>
    <w:rsid w:val="009832E7"/>
    <w:rsid w:val="009836DB"/>
    <w:rsid w:val="009839EA"/>
    <w:rsid w:val="00984A57"/>
    <w:rsid w:val="00984EF3"/>
    <w:rsid w:val="00986062"/>
    <w:rsid w:val="009911A1"/>
    <w:rsid w:val="0099175F"/>
    <w:rsid w:val="00992322"/>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1A02"/>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77FBD"/>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5EC"/>
    <w:rsid w:val="00B058FF"/>
    <w:rsid w:val="00B07483"/>
    <w:rsid w:val="00B074D0"/>
    <w:rsid w:val="00B10CFD"/>
    <w:rsid w:val="00B158C3"/>
    <w:rsid w:val="00B16D56"/>
    <w:rsid w:val="00B22517"/>
    <w:rsid w:val="00B2293D"/>
    <w:rsid w:val="00B2353C"/>
    <w:rsid w:val="00B272BE"/>
    <w:rsid w:val="00B27737"/>
    <w:rsid w:val="00B27A14"/>
    <w:rsid w:val="00B32C84"/>
    <w:rsid w:val="00B33E5E"/>
    <w:rsid w:val="00B34D85"/>
    <w:rsid w:val="00B3567F"/>
    <w:rsid w:val="00B3710C"/>
    <w:rsid w:val="00B37FE3"/>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DDC"/>
    <w:rsid w:val="00B7347F"/>
    <w:rsid w:val="00B74AB7"/>
    <w:rsid w:val="00B75565"/>
    <w:rsid w:val="00B76017"/>
    <w:rsid w:val="00B7689E"/>
    <w:rsid w:val="00B81053"/>
    <w:rsid w:val="00B82164"/>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2E6F"/>
    <w:rsid w:val="00BC3D6F"/>
    <w:rsid w:val="00BC4C6A"/>
    <w:rsid w:val="00BC57F5"/>
    <w:rsid w:val="00BC782B"/>
    <w:rsid w:val="00BD18DC"/>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69F3"/>
    <w:rsid w:val="00C0746C"/>
    <w:rsid w:val="00C07ED9"/>
    <w:rsid w:val="00C11341"/>
    <w:rsid w:val="00C15A5E"/>
    <w:rsid w:val="00C17352"/>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047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024"/>
    <w:rsid w:val="00D22406"/>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3A9D"/>
    <w:rsid w:val="00D44372"/>
    <w:rsid w:val="00D443D4"/>
    <w:rsid w:val="00D4603C"/>
    <w:rsid w:val="00D5206B"/>
    <w:rsid w:val="00D52ADB"/>
    <w:rsid w:val="00D53161"/>
    <w:rsid w:val="00D5508F"/>
    <w:rsid w:val="00D55786"/>
    <w:rsid w:val="00D55EC2"/>
    <w:rsid w:val="00D55F02"/>
    <w:rsid w:val="00D60812"/>
    <w:rsid w:val="00D60A30"/>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45E9"/>
    <w:rsid w:val="00DE51F9"/>
    <w:rsid w:val="00DE52FB"/>
    <w:rsid w:val="00DE56BC"/>
    <w:rsid w:val="00DE7F8F"/>
    <w:rsid w:val="00DF03B9"/>
    <w:rsid w:val="00DF0C4B"/>
    <w:rsid w:val="00DF0F34"/>
    <w:rsid w:val="00DF1657"/>
    <w:rsid w:val="00DF36FD"/>
    <w:rsid w:val="00DF3718"/>
    <w:rsid w:val="00DF38F5"/>
    <w:rsid w:val="00DF6462"/>
    <w:rsid w:val="00DF6D4A"/>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4330"/>
    <w:rsid w:val="00FC55F9"/>
    <w:rsid w:val="00FC60D4"/>
    <w:rsid w:val="00FC77AE"/>
    <w:rsid w:val="00FC7D9F"/>
    <w:rsid w:val="00FD2BAD"/>
    <w:rsid w:val="00FD2F51"/>
    <w:rsid w:val="00FD330C"/>
    <w:rsid w:val="00FD3660"/>
    <w:rsid w:val="00FD484C"/>
    <w:rsid w:val="00FD49D6"/>
    <w:rsid w:val="00FD5230"/>
    <w:rsid w:val="00FD55FB"/>
    <w:rsid w:val="00FD569D"/>
    <w:rsid w:val="00FD678B"/>
    <w:rsid w:val="00FD6903"/>
    <w:rsid w:val="00FE1ADC"/>
    <w:rsid w:val="00FE225D"/>
    <w:rsid w:val="00FE4989"/>
    <w:rsid w:val="00FE56E3"/>
    <w:rsid w:val="00FE5C3E"/>
    <w:rsid w:val="00FF0A2F"/>
    <w:rsid w:val="00FF1B04"/>
    <w:rsid w:val="00FF22F8"/>
    <w:rsid w:val="01654C82"/>
    <w:rsid w:val="020A6A96"/>
    <w:rsid w:val="0356786B"/>
    <w:rsid w:val="046E31C1"/>
    <w:rsid w:val="056C4F65"/>
    <w:rsid w:val="06F4696E"/>
    <w:rsid w:val="07245E56"/>
    <w:rsid w:val="0C023D8C"/>
    <w:rsid w:val="0C215E99"/>
    <w:rsid w:val="0C225D7B"/>
    <w:rsid w:val="0E0A69F0"/>
    <w:rsid w:val="0E202D33"/>
    <w:rsid w:val="0E9022D3"/>
    <w:rsid w:val="0E94232E"/>
    <w:rsid w:val="0F0D5146"/>
    <w:rsid w:val="0F1306D5"/>
    <w:rsid w:val="11295396"/>
    <w:rsid w:val="12F56293"/>
    <w:rsid w:val="135F0F2D"/>
    <w:rsid w:val="163A1B23"/>
    <w:rsid w:val="163E2FB7"/>
    <w:rsid w:val="17622796"/>
    <w:rsid w:val="181C08FC"/>
    <w:rsid w:val="19F32D28"/>
    <w:rsid w:val="1A48157B"/>
    <w:rsid w:val="1AAA799F"/>
    <w:rsid w:val="1B9930ED"/>
    <w:rsid w:val="1BD70953"/>
    <w:rsid w:val="1BF87698"/>
    <w:rsid w:val="1E130C94"/>
    <w:rsid w:val="1E585AB7"/>
    <w:rsid w:val="1E5C0A12"/>
    <w:rsid w:val="1E8075A1"/>
    <w:rsid w:val="1EB160C2"/>
    <w:rsid w:val="1FA97B1F"/>
    <w:rsid w:val="1FF145B9"/>
    <w:rsid w:val="2193546F"/>
    <w:rsid w:val="21A40DA6"/>
    <w:rsid w:val="26F50BA9"/>
    <w:rsid w:val="27BD5E26"/>
    <w:rsid w:val="282E38A8"/>
    <w:rsid w:val="285E4249"/>
    <w:rsid w:val="29026D00"/>
    <w:rsid w:val="29AF0175"/>
    <w:rsid w:val="2EA644DF"/>
    <w:rsid w:val="2FB532A0"/>
    <w:rsid w:val="3198116E"/>
    <w:rsid w:val="319C4BEA"/>
    <w:rsid w:val="338472B6"/>
    <w:rsid w:val="34C829B2"/>
    <w:rsid w:val="35381804"/>
    <w:rsid w:val="36146FAD"/>
    <w:rsid w:val="37C414AB"/>
    <w:rsid w:val="38051411"/>
    <w:rsid w:val="386A3F56"/>
    <w:rsid w:val="387478C3"/>
    <w:rsid w:val="38777E2D"/>
    <w:rsid w:val="3A810EF7"/>
    <w:rsid w:val="3A842191"/>
    <w:rsid w:val="3ACF0F3F"/>
    <w:rsid w:val="3B7626CB"/>
    <w:rsid w:val="3C3802E9"/>
    <w:rsid w:val="3DA51C15"/>
    <w:rsid w:val="3E586AB8"/>
    <w:rsid w:val="3E5C1B1D"/>
    <w:rsid w:val="3EAE14E9"/>
    <w:rsid w:val="3FD261A6"/>
    <w:rsid w:val="407C0C49"/>
    <w:rsid w:val="42EB2F9C"/>
    <w:rsid w:val="45226963"/>
    <w:rsid w:val="477C2F5C"/>
    <w:rsid w:val="481A4122"/>
    <w:rsid w:val="499C5ED6"/>
    <w:rsid w:val="49CF7D54"/>
    <w:rsid w:val="4D39606F"/>
    <w:rsid w:val="4EFA742E"/>
    <w:rsid w:val="4F137BD5"/>
    <w:rsid w:val="4F8E3D4D"/>
    <w:rsid w:val="50F87284"/>
    <w:rsid w:val="515A6D29"/>
    <w:rsid w:val="53063B85"/>
    <w:rsid w:val="533C1961"/>
    <w:rsid w:val="53B3493A"/>
    <w:rsid w:val="54560EDE"/>
    <w:rsid w:val="5537323C"/>
    <w:rsid w:val="55855837"/>
    <w:rsid w:val="55CE54CE"/>
    <w:rsid w:val="55E83741"/>
    <w:rsid w:val="56503211"/>
    <w:rsid w:val="598B567E"/>
    <w:rsid w:val="5C624734"/>
    <w:rsid w:val="5FE91ABC"/>
    <w:rsid w:val="60EB32EA"/>
    <w:rsid w:val="61CF16A9"/>
    <w:rsid w:val="628E734C"/>
    <w:rsid w:val="62BD3A82"/>
    <w:rsid w:val="652B25DB"/>
    <w:rsid w:val="6580603B"/>
    <w:rsid w:val="66A34D18"/>
    <w:rsid w:val="679B508E"/>
    <w:rsid w:val="67B229F1"/>
    <w:rsid w:val="682A44E1"/>
    <w:rsid w:val="68C7223A"/>
    <w:rsid w:val="68EF6886"/>
    <w:rsid w:val="69867C07"/>
    <w:rsid w:val="6AAD6877"/>
    <w:rsid w:val="6B3F3089"/>
    <w:rsid w:val="6BBD5CB9"/>
    <w:rsid w:val="6C2B2E22"/>
    <w:rsid w:val="6D3A07B6"/>
    <w:rsid w:val="6EAA7DFD"/>
    <w:rsid w:val="6EE25628"/>
    <w:rsid w:val="6FDD1093"/>
    <w:rsid w:val="709C0126"/>
    <w:rsid w:val="76022652"/>
    <w:rsid w:val="768501BE"/>
    <w:rsid w:val="76C8601E"/>
    <w:rsid w:val="77150144"/>
    <w:rsid w:val="79E61650"/>
    <w:rsid w:val="7B426088"/>
    <w:rsid w:val="7BEA1CFE"/>
    <w:rsid w:val="7D803772"/>
    <w:rsid w:val="7D80556D"/>
    <w:rsid w:val="7E1A11B6"/>
    <w:rsid w:val="7E3713F1"/>
    <w:rsid w:val="7E5C381A"/>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D902962D-C8CC-43BF-804A-CD60AE6D7475}">
  <ds:schemaRefs/>
</ds:datastoreItem>
</file>

<file path=customXml/itemProps11.xml><?xml version="1.0" encoding="utf-8"?>
<ds:datastoreItem xmlns:ds="http://schemas.openxmlformats.org/officeDocument/2006/customXml" ds:itemID="{E6D3D55C-3DD8-4C31-8069-E5508DD844FB}">
  <ds:schemaRefs/>
</ds:datastoreItem>
</file>

<file path=customXml/itemProps12.xml><?xml version="1.0" encoding="utf-8"?>
<ds:datastoreItem xmlns:ds="http://schemas.openxmlformats.org/officeDocument/2006/customXml" ds:itemID="{1990A2D8-324F-45D5-B9CD-07245ED2860B}">
  <ds:schemaRefs/>
</ds:datastoreItem>
</file>

<file path=customXml/itemProps13.xml><?xml version="1.0" encoding="utf-8"?>
<ds:datastoreItem xmlns:ds="http://schemas.openxmlformats.org/officeDocument/2006/customXml" ds:itemID="{7E5C9D84-6DB6-48FB-8632-D5279FC233C8}">
  <ds:schemaRefs/>
</ds:datastoreItem>
</file>

<file path=customXml/itemProps14.xml><?xml version="1.0" encoding="utf-8"?>
<ds:datastoreItem xmlns:ds="http://schemas.openxmlformats.org/officeDocument/2006/customXml" ds:itemID="{CF487381-D648-48A1-B1E4-A4540B0D3650}">
  <ds:schemaRefs/>
</ds:datastoreItem>
</file>

<file path=customXml/itemProps15.xml><?xml version="1.0" encoding="utf-8"?>
<ds:datastoreItem xmlns:ds="http://schemas.openxmlformats.org/officeDocument/2006/customXml" ds:itemID="{2108FF18-8EC8-4170-A536-1AA8E39CC797}">
  <ds:schemaRefs/>
</ds:datastoreItem>
</file>

<file path=customXml/itemProps16.xml><?xml version="1.0" encoding="utf-8"?>
<ds:datastoreItem xmlns:ds="http://schemas.openxmlformats.org/officeDocument/2006/customXml" ds:itemID="{1A3BDF38-4832-4575-A8AB-7A1679738229}">
  <ds:schemaRefs/>
</ds:datastoreItem>
</file>

<file path=customXml/itemProps17.xml><?xml version="1.0" encoding="utf-8"?>
<ds:datastoreItem xmlns:ds="http://schemas.openxmlformats.org/officeDocument/2006/customXml" ds:itemID="{A06CD169-7F5C-4082-81B2-6ECAA9AF6149}">
  <ds:schemaRefs/>
</ds:datastoreItem>
</file>

<file path=customXml/itemProps18.xml><?xml version="1.0" encoding="utf-8"?>
<ds:datastoreItem xmlns:ds="http://schemas.openxmlformats.org/officeDocument/2006/customXml" ds:itemID="{79B37214-9E52-4241-8DD2-9E9CD9442006}">
  <ds:schemaRefs/>
</ds:datastoreItem>
</file>

<file path=customXml/itemProps2.xml><?xml version="1.0" encoding="utf-8"?>
<ds:datastoreItem xmlns:ds="http://schemas.openxmlformats.org/officeDocument/2006/customXml" ds:itemID="{509BA638-9D3A-4AA3-A169-FF78BC0E4BE9}">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9114D43D-ED98-4C7B-A3AE-26D78B80CA82}">
  <ds:schemaRefs/>
</ds:datastoreItem>
</file>

<file path=customXml/itemProps5.xml><?xml version="1.0" encoding="utf-8"?>
<ds:datastoreItem xmlns:ds="http://schemas.openxmlformats.org/officeDocument/2006/customXml" ds:itemID="{AC86F3EB-DB57-4B60-8A7E-BBB67A22EE0B}">
  <ds:schemaRefs/>
</ds:datastoreItem>
</file>

<file path=customXml/itemProps6.xml><?xml version="1.0" encoding="utf-8"?>
<ds:datastoreItem xmlns:ds="http://schemas.openxmlformats.org/officeDocument/2006/customXml" ds:itemID="{3A3C3A8D-C5E4-45AF-8B48-C3BF528808AD}">
  <ds:schemaRefs/>
</ds:datastoreItem>
</file>

<file path=customXml/itemProps7.xml><?xml version="1.0" encoding="utf-8"?>
<ds:datastoreItem xmlns:ds="http://schemas.openxmlformats.org/officeDocument/2006/customXml" ds:itemID="{EC45DDBE-A426-47CA-BC62-D025DE29F1BC}">
  <ds:schemaRefs/>
</ds:datastoreItem>
</file>

<file path=customXml/itemProps8.xml><?xml version="1.0" encoding="utf-8"?>
<ds:datastoreItem xmlns:ds="http://schemas.openxmlformats.org/officeDocument/2006/customXml" ds:itemID="{0A7AA9EF-3B8C-4BAA-9155-A6E3E5337D3C}">
  <ds:schemaRefs/>
</ds:datastoreItem>
</file>

<file path=customXml/itemProps9.xml><?xml version="1.0" encoding="utf-8"?>
<ds:datastoreItem xmlns:ds="http://schemas.openxmlformats.org/officeDocument/2006/customXml" ds:itemID="{24DDAF5F-E497-4A15-8EE8-E04A5CE4226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4310</Words>
  <Characters>24572</Characters>
  <Lines>204</Lines>
  <Paragraphs>57</Paragraphs>
  <TotalTime>30</TotalTime>
  <ScaleCrop>false</ScaleCrop>
  <LinksUpToDate>false</LinksUpToDate>
  <CharactersWithSpaces>28825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2024-08-28T12:34:00Z</dcterms:created>
  <dc:creator>张淼雯</dc:creator>
  <cp:lastModifiedBy>cib</cp:lastModifiedBy>
  <cp:lastPrinted>2022-01-18T08:37:00Z</cp:lastPrinted>
  <dcterms:modified xsi:type="dcterms:W3CDTF">2024-12-13T02:45:41Z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