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t>平安理财新启航第406期封闭固收类理财产品</w:t>
      </w:r>
    </w:p>
    <w:p>
      <w:pPr>
        <w:spacing w:after="156" w:afterLines="50" w:line="360" w:lineRule="auto"/>
        <w:ind w:left="126" w:leftChars="52" w:hanging="17"/>
        <w:jc w:val="center"/>
        <w:rPr>
          <w:rFonts w:ascii="Arial" w:hAnsi="Arial" w:cs="Arial" w:eastAsiaTheme="minorEastAsia"/>
          <w:b/>
          <w:sz w:val="32"/>
          <w:szCs w:val="21"/>
          <w:highlight w:val="none"/>
        </w:rPr>
      </w:pPr>
      <w:r>
        <w:rPr>
          <w:rFonts w:ascii="Arial" w:hAnsi="Arial" w:cs="Arial" w:eastAsiaTheme="minorEastAsia"/>
          <w:b/>
          <w:bCs/>
          <w:sz w:val="32"/>
          <w:szCs w:val="21"/>
          <w:highlight w:val="none"/>
        </w:rPr>
        <w:t>说明</w:t>
      </w:r>
      <w:r>
        <w:rPr>
          <w:rFonts w:ascii="Arial" w:hAnsi="Arial" w:cs="Arial" w:eastAsiaTheme="minorEastAsia"/>
          <w:b/>
          <w:sz w:val="32"/>
          <w:szCs w:val="21"/>
          <w:highlight w:val="none"/>
        </w:rPr>
        <w:t>书</w:t>
      </w:r>
    </w:p>
    <w:tbl>
      <w:tblPr>
        <w:tblStyle w:val="9"/>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理财非存款，产品有风险，投资须谨慎。平安理财有限责任公司（以下简称“平安理财”）不承诺本理财产品一定盈利，也不承诺最低收益。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w:t>
            </w:r>
            <w:r>
              <w:rPr>
                <w:rFonts w:ascii="Arial" w:hAnsi="Arial" w:cs="Arial" w:eastAsiaTheme="minorEastAsia"/>
                <w:b/>
                <w:bCs/>
                <w:sz w:val="22"/>
                <w:highlight w:val="none"/>
              </w:rPr>
              <w:t>平安理财新启航第406期封闭固收类理财产品说明书</w:t>
            </w:r>
            <w:r>
              <w:rPr>
                <w:rFonts w:ascii="Arial" w:hAnsi="Arial" w:cs="Arial" w:eastAsiaTheme="minorEastAsia"/>
                <w:b/>
                <w:sz w:val="22"/>
                <w:highlight w:val="none"/>
              </w:rPr>
              <w:t>》（以下简称“《产品说明书》”、“本理财产品说明书”）与《</w:t>
            </w:r>
            <w:r>
              <w:rPr>
                <w:rFonts w:ascii="Arial" w:hAnsi="Arial" w:cs="Arial" w:eastAsiaTheme="minorEastAsia"/>
                <w:b/>
                <w:bCs/>
                <w:sz w:val="22"/>
                <w:highlight w:val="none"/>
              </w:rPr>
              <w:t>平安理财新启航第406期封闭固收类理财产品</w:t>
            </w:r>
            <w:r>
              <w:rPr>
                <w:rFonts w:ascii="Arial" w:hAnsi="Arial" w:cs="Arial" w:eastAsiaTheme="minorEastAsia"/>
                <w:b/>
                <w:sz w:val="22"/>
                <w:highlight w:val="none"/>
              </w:rPr>
              <w:t>风险揭示书》（以下简称“《风险揭示书》”）、《投资协议书》、《代理销售协议书》（该文件具体名称以销售服务机构为准，下同）、《客户权益须知》共同组成本理财产品销售文件不可分割之组成部分。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投资者应随时关注本理财产品的信息披露情况，及时获取相关信息。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 </w:t>
            </w:r>
          </w:p>
          <w:p>
            <w:pPr>
              <w:widowControl/>
              <w:numPr>
                <w:ilvl w:val="0"/>
                <w:numId w:val="1"/>
              </w:numPr>
              <w:tabs>
                <w:tab w:val="left" w:pos="284"/>
                <w:tab w:val="left" w:pos="567"/>
                <w:tab w:val="left" w:pos="8931"/>
              </w:tabs>
              <w:spacing w:line="360" w:lineRule="auto"/>
              <w:ind w:left="0" w:firstLine="110" w:firstLineChars="50"/>
              <w:rPr>
                <w:rStyle w:val="14"/>
                <w:rFonts w:ascii="Arial" w:hAnsi="Arial" w:cs="Arial" w:eastAsiaTheme="minorEastAsia"/>
                <w:bCs w:val="0"/>
                <w:color w:val="auto"/>
                <w:spacing w:val="0"/>
                <w:szCs w:val="24"/>
                <w:highlight w:val="none"/>
              </w:rPr>
            </w:pPr>
            <w:r>
              <w:rPr>
                <w:rFonts w:ascii="Arial" w:hAnsi="Arial" w:cs="Arial" w:eastAsiaTheme="minorEastAsia"/>
                <w:b/>
                <w:sz w:val="22"/>
                <w:highlight w:val="none"/>
              </w:rPr>
              <w:t>根据监管机构要求，其他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pPr>
        <w:spacing w:line="360" w:lineRule="auto"/>
        <w:ind w:left="124" w:leftChars="52" w:hanging="15"/>
        <w:jc w:val="center"/>
        <w:rPr>
          <w:rFonts w:ascii="Arial" w:hAnsi="Arial" w:cs="Arial" w:eastAsiaTheme="minorEastAsia"/>
          <w:b/>
          <w:bCs/>
          <w:color w:val="000000"/>
          <w:sz w:val="32"/>
          <w:szCs w:val="21"/>
          <w:highlight w:val="none"/>
        </w:rPr>
      </w:pPr>
    </w:p>
    <w:p>
      <w:pPr>
        <w:widowControl/>
        <w:jc w:val="left"/>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br w:type="page"/>
      </w:r>
    </w:p>
    <w:p>
      <w:pPr>
        <w:pStyle w:val="2"/>
        <w:numPr>
          <w:ilvl w:val="0"/>
          <w:numId w:val="2"/>
        </w:numPr>
        <w:tabs>
          <w:tab w:val="left" w:pos="426"/>
        </w:tabs>
        <w:spacing w:line="240" w:lineRule="auto"/>
        <w:rPr>
          <w:rFonts w:ascii="Arial" w:hAnsi="Arial" w:cs="Arial" w:eastAsiaTheme="minorEastAsia"/>
          <w:color w:val="000000"/>
          <w:sz w:val="21"/>
          <w:szCs w:val="21"/>
          <w:highlight w:val="none"/>
        </w:rPr>
      </w:pPr>
      <w:r>
        <w:rPr>
          <w:rFonts w:ascii="Arial" w:hAnsi="Arial" w:cs="Arial" w:eastAsiaTheme="minorEastAsia"/>
          <w:color w:val="000000"/>
          <w:sz w:val="21"/>
          <w:szCs w:val="21"/>
          <w:highlight w:val="none"/>
        </w:rPr>
        <w:t>产品概述</w:t>
      </w:r>
    </w:p>
    <w:p>
      <w:pPr>
        <w:spacing w:line="360" w:lineRule="auto"/>
        <w:ind w:firstLine="444" w:firstLineChars="202"/>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本理财产品为</w:t>
      </w: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bCs/>
          <w:color w:val="000000"/>
          <w:sz w:val="22"/>
          <w:szCs w:val="22"/>
          <w:highlight w:val="none"/>
        </w:rPr>
        <w:t>净值型理财产品。投资者在购买本理财产品时需</w:t>
      </w:r>
      <w:r>
        <w:rPr>
          <w:rFonts w:ascii="Arial" w:hAnsi="Arial" w:cs="Arial" w:eastAsiaTheme="minorEastAsia"/>
          <w:snapToGrid w:val="0"/>
          <w:color w:val="000000"/>
          <w:sz w:val="22"/>
          <w:szCs w:val="22"/>
          <w:highlight w:val="none"/>
        </w:rPr>
        <w:t>充分了解并清楚知晓本理财产品</w:t>
      </w:r>
      <w:r>
        <w:rPr>
          <w:rFonts w:ascii="Arial" w:hAnsi="Arial" w:cs="Arial" w:eastAsiaTheme="minorEastAsia"/>
          <w:bCs/>
          <w:color w:val="000000"/>
          <w:sz w:val="22"/>
          <w:szCs w:val="22"/>
          <w:highlight w:val="none"/>
        </w:rPr>
        <w:t>特性和风险特征。</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2"/>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产品名称</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平安理财新启航第406期封闭固收类理财产品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产品代码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Cs w:val="21"/>
                <w:highlight w:val="none"/>
              </w:rPr>
              <w:t>QXFG06M406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产品管理人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平安理财有限责任公司</w:t>
            </w:r>
            <w:r>
              <w:rPr>
                <w:rFonts w:hint="eastAsia" w:ascii="Arial" w:hAnsi="Arial" w:eastAsia="宋体" w:cs="Arial"/>
                <w:color w:val="000000"/>
                <w:kern w:val="2"/>
                <w:sz w:val="22"/>
                <w:szCs w:val="22"/>
                <w:lang w:val="en-US" w:eastAsia="zh-CN" w:bidi="ar"/>
              </w:rPr>
              <w:t>，以下简称</w:t>
            </w:r>
            <w:r>
              <w:rPr>
                <w:rFonts w:hint="default" w:ascii="Arial" w:hAnsi="Arial" w:eastAsia="宋体" w:cs="Arial"/>
                <w:color w:val="000000"/>
                <w:kern w:val="2"/>
                <w:sz w:val="22"/>
                <w:szCs w:val="22"/>
                <w:lang w:val="en-US" w:eastAsia="zh-CN" w:bidi="ar"/>
              </w:rPr>
              <w:t>“</w:t>
            </w:r>
            <w:r>
              <w:rPr>
                <w:rFonts w:hint="eastAsia" w:ascii="Arial" w:hAnsi="Arial" w:eastAsia="宋体" w:cs="Arial"/>
                <w:color w:val="000000"/>
                <w:kern w:val="2"/>
                <w:sz w:val="22"/>
                <w:szCs w:val="22"/>
                <w:lang w:val="en-US" w:eastAsia="zh-CN" w:bidi="ar"/>
              </w:rPr>
              <w:t>平安理财</w:t>
            </w:r>
            <w:r>
              <w:rPr>
                <w:rFonts w:hint="default" w:ascii="Arial" w:hAnsi="Arial" w:eastAsia="宋体" w:cs="Arial"/>
                <w:color w:val="000000"/>
                <w:kern w:val="2"/>
                <w:sz w:val="22"/>
                <w:szCs w:val="22"/>
                <w:lang w:val="en-US" w:eastAsia="zh-CN" w:bidi="ar"/>
              </w:rPr>
              <w:t>”</w:t>
            </w:r>
            <w:r>
              <w:rPr>
                <w:rFonts w:hint="eastAsia" w:ascii="Arial" w:hAnsi="Arial" w:eastAsia="宋体" w:cs="Arial"/>
                <w:color w:val="000000"/>
                <w:kern w:val="2"/>
                <w:sz w:val="22"/>
                <w:szCs w:val="22"/>
                <w:lang w:val="en-US" w:eastAsia="zh-CN" w:bidi="ar"/>
              </w:rPr>
              <w:t>、</w:t>
            </w:r>
            <w:r>
              <w:rPr>
                <w:rFonts w:hint="default" w:ascii="Arial" w:hAnsi="Arial" w:eastAsia="宋体" w:cs="Arial"/>
                <w:color w:val="000000"/>
                <w:kern w:val="2"/>
                <w:sz w:val="22"/>
                <w:szCs w:val="22"/>
                <w:lang w:val="en-US" w:eastAsia="zh-CN" w:bidi="ar"/>
              </w:rPr>
              <w:t>“</w:t>
            </w:r>
            <w:r>
              <w:rPr>
                <w:rFonts w:hint="eastAsia" w:ascii="Arial" w:hAnsi="Arial" w:eastAsia="宋体" w:cs="Arial"/>
                <w:color w:val="000000"/>
                <w:kern w:val="2"/>
                <w:sz w:val="22"/>
                <w:szCs w:val="22"/>
                <w:lang w:val="en-US" w:eastAsia="zh-CN" w:bidi="ar"/>
              </w:rPr>
              <w:t>管理人</w:t>
            </w:r>
            <w:r>
              <w:rPr>
                <w:rFonts w:hint="default" w:ascii="Arial" w:hAnsi="Arial" w:eastAsia="宋体" w:cs="Arial"/>
                <w:color w:val="000000"/>
                <w:kern w:val="2"/>
                <w:sz w:val="22"/>
                <w:szCs w:val="22"/>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中国银行股份有限公司</w:t>
            </w:r>
            <w:r>
              <w:rPr>
                <w:rFonts w:hint="eastAsia" w:ascii="Arial" w:hAnsi="Arial" w:eastAsia="宋体" w:cs="Arial"/>
                <w:color w:val="000000"/>
                <w:kern w:val="2"/>
                <w:sz w:val="22"/>
                <w:szCs w:val="22"/>
                <w:lang w:val="en-US" w:eastAsia="zh-CN" w:bidi="ar"/>
              </w:rPr>
              <w:t>，以下简称</w:t>
            </w:r>
            <w:r>
              <w:rPr>
                <w:rFonts w:hint="default" w:ascii="Arial" w:hAnsi="Arial" w:eastAsia="宋体" w:cs="Arial"/>
                <w:color w:val="000000"/>
                <w:kern w:val="2"/>
                <w:sz w:val="22"/>
                <w:szCs w:val="22"/>
                <w:lang w:val="en-US" w:eastAsia="zh-CN" w:bidi="ar"/>
              </w:rPr>
              <w:t>“</w:t>
            </w:r>
            <w:r>
              <w:rPr>
                <w:rFonts w:hint="eastAsia" w:ascii="Arial" w:hAnsi="Arial" w:eastAsia="宋体" w:cs="Arial"/>
                <w:color w:val="000000"/>
                <w:kern w:val="2"/>
                <w:sz w:val="22"/>
                <w:szCs w:val="22"/>
                <w:lang w:val="en-US" w:eastAsia="zh-CN" w:bidi="ar"/>
              </w:rPr>
              <w:t>托管人</w:t>
            </w:r>
            <w:r>
              <w:rPr>
                <w:rFonts w:hint="default" w:ascii="Arial" w:hAnsi="Arial" w:eastAsia="宋体" w:cs="Arial"/>
                <w:color w:val="000000"/>
                <w:kern w:val="2"/>
                <w:sz w:val="22"/>
                <w:szCs w:val="22"/>
                <w:lang w:val="en-US" w:eastAsia="zh-CN" w:bidi="ar"/>
              </w:rPr>
              <w:t>”</w:t>
            </w:r>
            <w:bookmarkStart w:id="4" w:name="_GoBack"/>
            <w:bookmark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销售服务机构</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指产品管理人以及符合《理财公司理财产品销售管理暂行办法》和国家金融监督管理总局规定，办理理财产品销售业务的机构。具体销售服务机构信息以管理人公告为准</w:t>
            </w:r>
            <w:r>
              <w:rPr>
                <w:rFonts w:ascii="Arial" w:hAnsi="Arial" w:cs="Arial"/>
                <w:color w:val="000000"/>
                <w:sz w:val="22"/>
                <w:szCs w:val="22"/>
                <w:highlight w:val="none"/>
              </w:rPr>
              <w:t>。</w:t>
            </w:r>
            <w:r>
              <w:rPr>
                <w:rFonts w:ascii="Arial" w:hAnsi="Arial" w:cs="Arial"/>
                <w:sz w:val="22"/>
                <w:szCs w:val="22"/>
                <w:highlight w:val="none"/>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全国银行业理财信息登记系统编码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产品登记编码：【Z7003324000718】，投资者可以根据该登记编号在中国理财网（网址：https://www.chinawealth.com.cn/）查询产品信息。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理财币种</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产品类型</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募集方式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运作方式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封闭式，投资者可以按照本理财产品说明书约定的认购期和场所，认购本理财产品。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产品风险评级</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b/>
                <w:color w:val="000000"/>
                <w:sz w:val="22"/>
                <w:highlight w:val="none"/>
              </w:rPr>
              <w:t>二级（中低）风险</w:t>
            </w:r>
            <w:r>
              <w:rPr>
                <w:rFonts w:ascii="Arial" w:hAnsi="Arial" w:cs="Arial" w:eastAsiaTheme="minorEastAsia"/>
                <w:color w:val="000000"/>
                <w:sz w:val="22"/>
                <w:szCs w:val="22"/>
                <w:highlight w:val="none"/>
              </w:rPr>
              <w:t>（本风险评级为管理人内部评级结果，该评级仅供参考。本理财产品通过销售服务机构销售的，产品风险评级应当以销售服务机构最终披露的评级结果为准）。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目标客户</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本理财产品向个人投资者和机构投资者销售，相关标准以销售服务机构为准。</w:t>
            </w:r>
            <w:r>
              <w:rPr>
                <w:rFonts w:ascii="Arial" w:hAnsi="Arial" w:cs="Arial" w:eastAsiaTheme="minorEastAsia"/>
                <w:sz w:val="22"/>
                <w:szCs w:val="22"/>
                <w:highlight w:val="none"/>
              </w:rPr>
              <w:t>管理人有权调整目标客户范围，如有调整，以管理人公告为准。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管理人建议：</w:t>
            </w:r>
            <w:r>
              <w:rPr>
                <w:rFonts w:ascii="Arial" w:hAnsi="Arial" w:cs="Arial" w:eastAsiaTheme="minorEastAsia"/>
                <w:b/>
                <w:color w:val="000000"/>
                <w:sz w:val="22"/>
                <w:highlight w:val="none"/>
              </w:rPr>
              <w:t>二级（中低）风险</w:t>
            </w:r>
            <w:r>
              <w:rPr>
                <w:rFonts w:ascii="Arial" w:hAnsi="Arial" w:cs="Arial" w:eastAsiaTheme="minorEastAsia"/>
                <w:b/>
                <w:color w:val="000000"/>
                <w:sz w:val="22"/>
                <w:szCs w:val="22"/>
                <w:highlight w:val="none"/>
              </w:rPr>
              <w:t>产品适合风险承受能力为“进取型”、“成长型”、“平衡型”、“稳健型”的客户购买。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ind w:left="105" w:leftChars="50" w:right="105" w:rightChars="50"/>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产品份额类别</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1.</w:t>
            </w:r>
            <w:r>
              <w:rPr>
                <w:rFonts w:ascii="Arial" w:hAnsi="Arial" w:cs="Arial" w:eastAsiaTheme="minorEastAsia"/>
                <w:color w:val="000000"/>
                <w:sz w:val="22"/>
                <w:szCs w:val="22"/>
                <w:highlight w:val="none"/>
              </w:rPr>
              <w:t>本理财产品发行时将产品份额分为A/B/C类别。其中：</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类份额面向浙江长兴农村商业银行有限公司、浙江德清农村商业银行股份有限公司、中国银行股份有限公司、浙江舟山定海海洋农村商业银行股份有限公司、张家口银行股份有限公司的个人投资者和机构投资者销售，相关标准以销售服务机构为准。销售代码【QXFG06406A】，销售名称【平安理财新启航第406期封闭A】；B类份额面向中国银行股份有限公司的个人投资者和机构投资者销售，相关标准以销售服务机构为准。销售代码【QXFG06406B】，销售名称【（薪享）平安理财新启航第406期封闭B】；C类份额面向浙商银行股份有限公司、华夏银行股份有限公司的个人投资者和机构投资者销售，相关标准以销售服务机构为准。销售代码【QXFG06406C】，销售名称【平安理财新启航第406期封闭C】。</w:t>
            </w:r>
          </w:p>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eastAsiaTheme="minorEastAsia"/>
                <w:sz w:val="22"/>
                <w:szCs w:val="22"/>
                <w:highlight w:val="none"/>
              </w:rPr>
              <w:t>2</w:t>
            </w:r>
            <w:r>
              <w:rPr>
                <w:rFonts w:ascii="Arial" w:hAnsi="Arial" w:cs="Arial" w:eastAsiaTheme="minorEastAsia"/>
                <w:sz w:val="22"/>
                <w:szCs w:val="22"/>
                <w:highlight w:val="none"/>
              </w:rPr>
              <w:t>.</w:t>
            </w:r>
            <w:r>
              <w:rPr>
                <w:rFonts w:ascii="Arial" w:hAnsi="Arial" w:cs="Arial" w:eastAsiaTheme="minorEastAsia"/>
                <w:color w:val="000000"/>
                <w:sz w:val="22"/>
                <w:szCs w:val="22"/>
                <w:highlight w:val="none"/>
              </w:rPr>
              <w:t>产品设置理财不同的份额类别，理财产品每类份额以下内容可单独设置，具体设置情况以本理财产品说明书及相关公告为准：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（1）产品销售名称</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（2）产品销售代码</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（3）代销机构</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（4）适合的投资者</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（5）管理费率、销售费率、托管费率</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（6）业绩比较基准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（7）认购投资起点金额及递增金额</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（8）单笔最大购买金额、累计购买金额等认购限制</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（9）单一投资者持有上限</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（10）可单独设置的其他内容</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如理财产品设置不同的产品份额，各产品份额净值将分别计算及公告，投资者可根据实际情况自行选择认购的产品份额类别。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管理人有权根据实际情况增加新的产品份额类别、停止现有产品份额类别的销售、调整产品份额类别设置或对份额分类方法及规则进行调整。如有调整，以管理人公告为准。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发行规模</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各类份额发行规模合计下限不低于1.1亿元，上限不超过人民币200亿元。</w:t>
            </w:r>
          </w:p>
          <w:p>
            <w:pPr>
              <w:spacing w:line="360" w:lineRule="auto"/>
              <w:ind w:left="105" w:leftChars="50" w:right="105" w:rightChars="5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若本理财产品自开始认购至成立日之前，本理财产品认购金额未达下限，管理人有权宣布本理财产品不成立。若本理财产品发行规模超出上限，管理人有权结束认购，停止接受认购申请。</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管理人有权调整发行规模上限和下限，具体发行规模以平安理财公告为准。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认购起点</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A份额：认购起点为1元，超过认购起点部分应为0.01元的整数倍；B份额：认购起点为100元，超过认购起点部分应为0.01元的整数倍；C份额：认购起点为1元，超过认购起点部分应为0.01元的整数倍。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管理人有权以公告的形式调整上述规则。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单笔认购上限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A份额单笔认购上限为1亿元；B份额单笔认购上限为1亿元；C份额单笔认购上限为1亿元。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如发生超额申请，经管理人评估同意后可予以受理。管理人有权以公告形式调整各类份额单笔认购上限。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单一投资者持有上限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highlight w:val="none"/>
              </w:rPr>
            </w:pP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w:t>
            </w:r>
          </w:p>
          <w:p>
            <w:pPr>
              <w:spacing w:line="360" w:lineRule="auto"/>
              <w:ind w:left="105" w:leftChars="50" w:right="105" w:rightChars="50"/>
              <w:rPr>
                <w:rFonts w:ascii="Arial" w:hAnsi="Arial" w:cs="Arial" w:eastAsiaTheme="minorEastAsia"/>
                <w:kern w:val="0"/>
                <w:sz w:val="22"/>
                <w:szCs w:val="22"/>
                <w:highlight w:val="none"/>
              </w:rPr>
            </w:pPr>
            <w:r>
              <w:rPr>
                <w:rFonts w:ascii="Arial" w:hAnsi="Arial" w:cs="Arial" w:eastAsiaTheme="minorEastAsia"/>
                <w:sz w:val="22"/>
                <w:szCs w:val="22"/>
                <w:highlight w:val="none"/>
              </w:rPr>
              <w:t>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50%的申请（在产品运作过程中因份额赎回、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理财产品份额面值</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认购期每份理财产品份额面值为人民币1元。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业绩比较基准</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A份额的业绩比较基准为年化【2.26%-2.56%】；B份额的业绩比较基准为年化【2.33%-2.63%】；C份额的业绩比较基准为年化【2.31%-2.61%】。</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固定收益类产品，将不低于80%的资金投资于固定收益类资产，将不超过49%资金投资于非标准化债权类资产，将根据市场情况将小于20%资金配置优先股及混合类等资产。其中，非标准化债权类资产测算收益参考管理人拟投资的非标准化债权类资产协议价格，标准化债权类资产测算收益参考同等期限的中债中短期票据到期收益率（AAA），优先股测算收益参考管理人拟投资的优先股股息收益率，混合类资产测算收益参考底层风险敞口及过往历史业绩。根据上述资产配置比例、测算收益，叠加杠杆策略、骑乘策略、久期策略等方式增厚收益，扣除相关税费成本后，综合得出本理财产品的业绩比较基准。</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理财产品费用</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1.固定管理费：管理人收取本理财产品固定管理费，各类份额固定管理费率不超过0.50%/年。固定管理费精确到小数点后2位，小数点2 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2.销售服务费：销售服务机构收取本理财产品销售服务费，各类份额销售服务费率不超过0.50%/年。销售服务费精确到小数点后2位，小数点2位以后四舍五入。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3.托管费：托管人对本理财产品收取托管费，各类份额托管费率不超过0.03%/年。托管费精确到小数点后2位，小数点2位以后四舍五入。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4.浮动管理费：本理财产品浮动管理费计提基准为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sz w:val="22"/>
                <w:szCs w:val="22"/>
                <w:highlight w:val="none"/>
              </w:rPr>
              <w:t>。在浮动管理费计提评价日，若本理财产品扣除各项费用后的年化投资收益率大于浮动管理费计提基准，管理人将收取超过浮动管理费计提基准部分的【30.00】%作为浮动管理费。本理财产品的浮动管理费计提评价日为本理财产品终止日。</w:t>
            </w:r>
            <w:r>
              <w:rPr>
                <w:rFonts w:ascii="Arial" w:hAnsi="Arial" w:cs="Arial" w:eastAsiaTheme="minorEastAsia"/>
                <w:b/>
                <w:sz w:val="22"/>
                <w:szCs w:val="22"/>
                <w:highlight w:val="none"/>
              </w:rPr>
              <w:t>浮动管理费计提基准仅作为计算管理人浮动管理费的依据，不代表本理财产品的未来表现和实际收益，不构成管理人对本理财产品的任何收益承诺。</w:t>
            </w:r>
            <w:r>
              <w:rPr>
                <w:rFonts w:ascii="Arial" w:hAnsi="Arial" w:cs="Arial" w:eastAsiaTheme="minorEastAsia"/>
                <w:sz w:val="22"/>
                <w:szCs w:val="22"/>
                <w:highlight w:val="none"/>
              </w:rPr>
              <w:t>详细内容见</w:t>
            </w:r>
            <w:r>
              <w:rPr>
                <w:rFonts w:ascii="Arial" w:hAnsi="Arial" w:cs="Arial" w:eastAsiaTheme="minorEastAsia"/>
                <w:b/>
                <w:sz w:val="22"/>
                <w:szCs w:val="22"/>
                <w:highlight w:val="none"/>
              </w:rPr>
              <w:t>“六、产品费用”。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5.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6.管理人有权根据国家政策和适用法律的规定并结合实际情况，对本理财产品收费项目、收费条件、计算方法、收取方式及费率等在约定范围内进行调整，具体以管理人当期公告为准。超出约定范围的调整，管理人将至少提前5个工作日进行公告，详细内容见“</w:t>
            </w:r>
            <w:r>
              <w:rPr>
                <w:rFonts w:ascii="Arial" w:hAnsi="Arial" w:cs="Arial" w:eastAsiaTheme="minorEastAsia"/>
                <w:b/>
                <w:sz w:val="22"/>
                <w:szCs w:val="22"/>
                <w:highlight w:val="none"/>
              </w:rPr>
              <w:t>六、产品费用</w:t>
            </w:r>
            <w:r>
              <w:rPr>
                <w:rFonts w:ascii="Arial" w:hAnsi="Arial" w:cs="Arial" w:eastAsiaTheme="minorEastAsia"/>
                <w:sz w:val="22"/>
                <w:szCs w:val="22"/>
                <w:highlight w:val="none"/>
              </w:rPr>
              <w:t>”。</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7.其他费用：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本金及理财收益（如有，下同）</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本理财产品的收益特征为</w:t>
            </w:r>
            <w:r>
              <w:rPr>
                <w:rFonts w:ascii="Arial" w:hAnsi="Arial" w:cs="Arial" w:eastAsiaTheme="minorEastAsia"/>
                <w:b/>
                <w:sz w:val="22"/>
                <w:szCs w:val="22"/>
                <w:highlight w:val="none"/>
              </w:rPr>
              <w:t>非保本浮动收益，不保障本金且不保证理财收益</w:t>
            </w:r>
            <w:r>
              <w:rPr>
                <w:rFonts w:ascii="Arial" w:hAnsi="Arial" w:cs="Arial" w:eastAsiaTheme="minorEastAsia"/>
                <w:sz w:val="22"/>
                <w:szCs w:val="22"/>
                <w:highlight w:val="none"/>
              </w:rPr>
              <w:t>。</w:t>
            </w:r>
            <w:r>
              <w:rPr>
                <w:rFonts w:ascii="Arial" w:hAnsi="Arial" w:cs="Arial" w:eastAsiaTheme="minorEastAsia"/>
                <w:b/>
                <w:sz w:val="22"/>
                <w:szCs w:val="22"/>
                <w:highlight w:val="none"/>
              </w:rPr>
              <w:t>本理财产品的收益随投资收益浮动，投资者可能因市场变动等而蒙受损失。</w:t>
            </w:r>
            <w:r>
              <w:rPr>
                <w:rFonts w:ascii="Arial" w:hAnsi="Arial" w:cs="Arial" w:eastAsiaTheme="minorEastAsia"/>
                <w:sz w:val="22"/>
                <w:szCs w:val="22"/>
                <w:highlight w:val="none"/>
              </w:rPr>
              <w:t>在本理财产品对外投资资产正常回收的情况下，扣除本理财产品应承担的费用和税款后，计算本理财产品的可分配利益。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认购期</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2024年12月19日09:30 - 2024年12月25日17:00（不含），管理人保留延长或提前终止产品认购期的权利。如有变动，本理财产品实际认购期以管理人公告为准。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认购登记日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2024年12月26日（如遇非交易日顺延到下一个交易日）。如本理财产品认购期提前终止或延长，实际认购登记日以管理人实际公告为准。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理财产品成立日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2024年12月26日（如遇非交易日顺延到下一个交易日）。如本理财产品认购期提前终止或延长，实际成立日以管理人实际公告为准。产品管理人将在本理财产品成立日之后5个工作日内披露成立公告。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理财产品预计到期日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2025年6月26日</w:t>
            </w:r>
            <w:r>
              <w:rPr>
                <w:rFonts w:ascii="Arial" w:hAnsi="Arial" w:cs="Arial" w:eastAsiaTheme="minorEastAsia"/>
                <w:color w:val="000000" w:themeColor="text1"/>
                <w:spacing w:val="4"/>
                <w:sz w:val="22"/>
                <w:szCs w:val="22"/>
                <w:highlight w:val="none"/>
                <w14:textFill>
                  <w14:solidFill>
                    <w14:schemeClr w14:val="tx1"/>
                  </w14:solidFill>
                </w14:textFill>
              </w:rPr>
              <w:t>（如遇非交易日顺延至下一个交易日），如产品提前终止或延长，实际到期日以产品管理人实际公告为准。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在本理财产品存续期间发生任一理财产品终止事件的，本理财产品有可能终止。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指本理财产品终止之日，根据实际情况，是指本理财产品预计到期日，或管理人根据本《产品说明书》约定宣布本理财产品早于预计到期日而终止之日，或宣布本理财产品延长后的实际终止之日。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color w:val="000000" w:themeColor="text1"/>
                <w:sz w:val="22"/>
                <w:szCs w:val="22"/>
                <w:highlight w:val="none"/>
                <w14:textFill>
                  <w14:solidFill>
                    <w14:schemeClr w14:val="tx1"/>
                  </w14:solidFill>
                </w14:textFill>
              </w:rPr>
              <w:t>资金到账日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本理财产品终止日后的5个工作日内转入投资者账户（如有延期，将在本理财产品说明书约定渠道向本理财产品投资者进行披露）。终止日至资金实际到账日之间，资金不计付收益。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认购渠道</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申购、赎回</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color w:val="000000" w:themeColor="text1"/>
                <w:spacing w:val="4"/>
                <w:sz w:val="22"/>
                <w:szCs w:val="22"/>
                <w:highlight w:val="none"/>
                <w14:textFill>
                  <w14:solidFill>
                    <w14:schemeClr w14:val="tx1"/>
                  </w14:solidFill>
                </w14:textFill>
              </w:rPr>
              <w:t>本理财产品为封闭式产品，产品存续期内不开放申购和赎回。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工作日</w:t>
            </w:r>
          </w:p>
        </w:tc>
        <w:tc>
          <w:tcPr>
            <w:tcW w:w="6837"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交易日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pacing w:val="4"/>
                <w:sz w:val="22"/>
                <w:szCs w:val="22"/>
                <w:highlight w:val="none"/>
              </w:rPr>
            </w:pPr>
            <w:r>
              <w:rPr>
                <w:rFonts w:ascii="Arial" w:hAnsi="Arial" w:cs="Arial" w:eastAsiaTheme="minorEastAsia"/>
                <w:sz w:val="22"/>
                <w:szCs w:val="22"/>
                <w:highlight w:val="none"/>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估值日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本理财产品存续期间，管理人在每个交易日进行估值，经产品托管人复核无误后，由管理人每周进行公告。</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以上规则如有调整，以产品管理人的公告为准。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提前终止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按照监管要求或实际投资情况终止本理财产品，并至少于终止日前进行信息披露。原则上终止后5个工作日内将投资者理财资金划入投资者指定资金账户（如有延期，将在本理财产品说明书约定渠道向本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税款</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追索条款</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Pr>
                <w:rFonts w:ascii="Arial" w:hAnsi="Arial" w:cs="Arial" w:eastAsiaTheme="minorEastAsia"/>
                <w:color w:val="000000" w:themeColor="text1"/>
                <w:sz w:val="22"/>
                <w:szCs w:val="22"/>
                <w:highlight w:val="none"/>
                <w14:textFill>
                  <w14:solidFill>
                    <w14:schemeClr w14:val="tx1"/>
                  </w14:solidFill>
                </w14:textFill>
              </w:rPr>
              <w:t>管理人</w:t>
            </w:r>
            <w:r>
              <w:rPr>
                <w:rFonts w:ascii="Arial" w:hAnsi="Arial" w:cs="Arial" w:eastAsiaTheme="minorEastAsia"/>
                <w:sz w:val="22"/>
                <w:szCs w:val="22"/>
                <w:highlight w:val="none"/>
              </w:rPr>
              <w:t>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不可抗力</w:t>
            </w:r>
          </w:p>
        </w:tc>
        <w:tc>
          <w:tcPr>
            <w:tcW w:w="6837"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eastAsiaTheme="minorEastAsia"/>
                <w:sz w:val="22"/>
                <w:szCs w:val="22"/>
                <w:highlight w:val="none"/>
              </w:rPr>
            </w:pPr>
            <w:r>
              <w:rPr>
                <w:rFonts w:ascii="Arial" w:hAnsi="Arial" w:cs="Arial" w:eastAsiaTheme="minorEastAsia"/>
                <w:color w:val="000000"/>
                <w:sz w:val="22"/>
                <w:szCs w:val="22"/>
                <w:highlight w:val="none"/>
              </w:rPr>
              <w:t>指本理财产品当事人不能预见、不能避免且不能克服的客观情况。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其他规定</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产品认购期、认购登记日、产品成立日、提前终止日等日期，管理人有权根据节假日进行调整，并以实际公</w:t>
            </w:r>
            <w:r>
              <w:rPr>
                <w:rFonts w:hint="eastAsia" w:ascii="Arial" w:hAnsi="Arial" w:cs="Arial" w:eastAsiaTheme="minorEastAsia"/>
                <w:sz w:val="22"/>
                <w:szCs w:val="22"/>
                <w:highlight w:val="none"/>
              </w:rPr>
              <w:t>告</w:t>
            </w:r>
            <w:r>
              <w:rPr>
                <w:rFonts w:ascii="Arial" w:hAnsi="Arial" w:cs="Arial" w:eastAsiaTheme="minorEastAsia"/>
                <w:sz w:val="22"/>
                <w:szCs w:val="22"/>
                <w:highlight w:val="none"/>
              </w:rPr>
              <w:t>为准。</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登记日至成立日为认购清算期，理财产品终止日/提前终止日至资金到账日为终止清算期（若本理财产品提前终止），上述清算期内均不计付收益。清算期最后一日逢节假日非交易日则顺延至下一交易日。</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pPr>
        <w:spacing w:line="360" w:lineRule="auto"/>
        <w:ind w:firstLine="458" w:firstLineChars="200"/>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产品投资</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（一）投资范围及投资比例</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一般性存款</w:t>
      </w:r>
      <w:r>
        <w:rPr>
          <w:rFonts w:ascii="Arial" w:hAnsi="Arial" w:cs="Arial" w:eastAsiaTheme="minorEastAsia"/>
          <w:color w:val="000000"/>
          <w:spacing w:val="-2"/>
          <w:sz w:val="22"/>
          <w:highlight w:val="none"/>
        </w:rPr>
        <w:t>、结构性存款、同业存单、货币市场工具、债券、货币市场基金、债券基金、债券质押式及买断式回购、资产支持证券、可转换债券、可交换债券、理财直接融资工具、</w:t>
      </w:r>
      <w:r>
        <w:rPr>
          <w:rFonts w:ascii="Arial" w:hAnsi="Arial" w:cs="Arial" w:eastAsiaTheme="minorEastAsia"/>
          <w:color w:val="000000"/>
          <w:spacing w:val="-2"/>
          <w:sz w:val="22"/>
          <w:szCs w:val="22"/>
          <w:highlight w:val="none"/>
        </w:rPr>
        <w:t>收益凭证、</w:t>
      </w:r>
      <w:r>
        <w:rPr>
          <w:rFonts w:ascii="Arial" w:hAnsi="Arial" w:cs="Arial" w:eastAsiaTheme="minorEastAsia"/>
          <w:color w:val="000000"/>
          <w:spacing w:val="-2"/>
          <w:sz w:val="22"/>
          <w:highlight w:val="none"/>
        </w:rPr>
        <w:t>其他非标准化债权类资产，</w:t>
      </w:r>
      <w:r>
        <w:rPr>
          <w:rFonts w:ascii="Arial" w:hAnsi="Arial" w:cs="Arial" w:eastAsiaTheme="minorEastAsia"/>
          <w:color w:val="000000"/>
          <w:spacing w:val="-2"/>
          <w:sz w:val="22"/>
          <w:szCs w:val="22"/>
          <w:highlight w:val="none"/>
        </w:rPr>
        <w:t>以上述资产为主要投资范围的资产管理产品（包括但不限于公募基金</w:t>
      </w:r>
      <w:r>
        <w:rPr>
          <w:rFonts w:ascii="Arial" w:hAnsi="Arial" w:cs="Arial" w:eastAsiaTheme="minorEastAsia"/>
          <w:color w:val="000000"/>
          <w:spacing w:val="-2"/>
          <w:sz w:val="22"/>
          <w:highlight w:val="none"/>
        </w:rPr>
        <w:t>、信托计划、</w:t>
      </w:r>
      <w:r>
        <w:rPr>
          <w:rFonts w:ascii="Arial" w:hAnsi="Arial" w:cs="Arial" w:eastAsiaTheme="minorEastAsia"/>
          <w:color w:val="000000"/>
          <w:spacing w:val="-2"/>
          <w:sz w:val="22"/>
          <w:szCs w:val="22"/>
          <w:highlight w:val="none"/>
        </w:rPr>
        <w:t>资产管理计划等，下同），</w:t>
      </w:r>
      <w:r>
        <w:rPr>
          <w:rFonts w:ascii="Arial" w:hAnsi="Arial" w:cs="Arial" w:eastAsiaTheme="minorEastAsia"/>
          <w:color w:val="000000"/>
          <w:spacing w:val="-2"/>
          <w:sz w:val="22"/>
          <w:highlight w:val="none"/>
        </w:rPr>
        <w:t>及其他符合监管要求的债权类资产。</w:t>
      </w:r>
      <w:r>
        <w:rPr>
          <w:rFonts w:ascii="Arial" w:hAnsi="Arial" w:cs="Arial" w:eastAsiaTheme="minorEastAsia"/>
          <w:color w:val="000000"/>
          <w:spacing w:val="-2"/>
          <w:sz w:val="22"/>
          <w:szCs w:val="22"/>
          <w:highlight w:val="none"/>
        </w:rPr>
        <w:t>以上资产的投资比例不低于80%，非标准化债权类资产的投资比例不高于49%。</w:t>
      </w:r>
    </w:p>
    <w:p>
      <w:pPr>
        <w:numPr>
          <w:ilvl w:val="0"/>
          <w:numId w:val="3"/>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优先股，权益类、混合类资产管理产品等，及其他符合监管要求的权益类资产。以上资产的投资比例小于20%。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以对冲风险为目的投资国债期货、利率互换</w:t>
      </w:r>
      <w:r>
        <w:rPr>
          <w:rFonts w:ascii="Arial" w:hAnsi="Arial" w:cs="Arial" w:eastAsiaTheme="minorEastAsia"/>
          <w:color w:val="000000"/>
          <w:spacing w:val="-2"/>
          <w:sz w:val="22"/>
          <w:highlight w:val="none"/>
        </w:rPr>
        <w:t>、远期合约、掉期合约、</w:t>
      </w:r>
      <w:r>
        <w:rPr>
          <w:rFonts w:ascii="Arial" w:hAnsi="Arial" w:cs="Arial" w:eastAsiaTheme="minorEastAsia"/>
          <w:color w:val="000000"/>
          <w:spacing w:val="-2"/>
          <w:sz w:val="22"/>
          <w:szCs w:val="22"/>
          <w:highlight w:val="none"/>
        </w:rPr>
        <w:t>互换合约、场外期权等商品及金融衍生品（本理财产品管理人在直接投资于商品及金融衍生品类资产前</w:t>
      </w:r>
      <w:r>
        <w:rPr>
          <w:rFonts w:ascii="Arial" w:hAnsi="Arial" w:cs="Arial" w:eastAsiaTheme="minorEastAsia"/>
          <w:color w:val="000000"/>
          <w:spacing w:val="-2"/>
          <w:sz w:val="22"/>
          <w:highlight w:val="none"/>
        </w:rPr>
        <w:t>，需先获得相应的衍生产品交易资格</w:t>
      </w:r>
      <w:r>
        <w:rPr>
          <w:rFonts w:ascii="Arial" w:hAnsi="Arial" w:cs="Arial" w:eastAsiaTheme="minorEastAsia"/>
          <w:color w:val="000000"/>
          <w:spacing w:val="-2"/>
          <w:sz w:val="22"/>
          <w:szCs w:val="22"/>
          <w:highlight w:val="none"/>
        </w:rPr>
        <w:t>），商品及金融衍生品类资产管理产品，及其他符合监管要求的商品及金融衍生品类资产。以上资产的投资比例小于20%。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投资于境外金融资产和金融工具的QDII资产管理产品。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本理财产品的上述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非因管理人主观因素导致突破前述比例限制的，管理人将尽力在流动性受限资产可出售、可转让或者恢复交易的15个交易日内将理财产品投资比例调整至符合相关要求。</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（二）投资限制</w:t>
      </w:r>
    </w:p>
    <w:p>
      <w:pPr>
        <w:numPr>
          <w:ilvl w:val="0"/>
          <w:numId w:val="4"/>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本理财产品的杠杆水平不超过200%。</w:t>
      </w:r>
    </w:p>
    <w:p>
      <w:pPr>
        <w:numPr>
          <w:ilvl w:val="0"/>
          <w:numId w:val="4"/>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32"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2"/>
          <w:sz w:val="22"/>
          <w:szCs w:val="22"/>
          <w:highlight w:val="none"/>
        </w:rPr>
        <w:t>非因管理人主观因素致使不符合前述第2条比例限制的，管理人将在流动性受限资产可出售、可转让或者恢复交易的10个交易日内调整至符合相关要求，国务院银行业监督管理机构规定的特殊情形除外。</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产品管理人、托管人和销售服务机构</w:t>
      </w:r>
    </w:p>
    <w:p>
      <w:pPr>
        <w:widowControl/>
        <w:numPr>
          <w:ilvl w:val="0"/>
          <w:numId w:val="5"/>
        </w:numPr>
        <w:spacing w:line="360" w:lineRule="auto"/>
        <w:ind w:firstLine="442" w:firstLineChars="200"/>
        <w:rPr>
          <w:rFonts w:ascii="Arial" w:hAnsi="Arial" w:cs="Arial" w:eastAsiaTheme="minorEastAsia"/>
          <w:b/>
          <w:bCs/>
          <w:color w:val="000000"/>
          <w:sz w:val="22"/>
          <w:szCs w:val="22"/>
          <w:highlight w:val="none"/>
        </w:rPr>
      </w:pPr>
      <w:r>
        <w:rPr>
          <w:rFonts w:ascii="Arial" w:hAnsi="Arial" w:cs="Arial" w:eastAsiaTheme="minorEastAsia"/>
          <w:b/>
          <w:bCs/>
          <w:color w:val="000000"/>
          <w:sz w:val="22"/>
          <w:szCs w:val="22"/>
          <w:highlight w:val="none"/>
        </w:rPr>
        <w:t>产品管理人：平安理财有限责任公司。</w:t>
      </w:r>
      <w:r>
        <w:rPr>
          <w:rFonts w:ascii="Arial" w:hAnsi="Arial" w:cs="Arial" w:eastAsiaTheme="minorEastAsia"/>
          <w:sz w:val="22"/>
          <w:szCs w:val="22"/>
          <w:highlight w:val="none"/>
        </w:rPr>
        <w:t xml:space="preserve">管理人负责本理财产品的投资运作和产品管理，投资者在此授权并同意管理人享有以下权利：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按照本理财产品销售文件的约定，管理、运用和处分本理财产品资金；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管理人有权根据本理财产品销售文件的约定提前终止或延长本理财产品的期限；</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管理人有权调整本理财产品的认购起点、单笔认购上限等要素；</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管理人有权按照法律规定和监管机构的要求将投资者的信息向有权部门或相关机构披露；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以产品管理人的名义，依照法律法规相关规定、本理财产品销售文件的约定以及为本理财产品的利益，对被投资的资管计划/产品、各类基金、公司/企业等行使出资人/投资者权利（包括但不限于表决投票的权利）以及行使因本理财产品财产投资于证券类基础资产（含债券、股票等）或其他基础资产（包括但不限于债权类资产）所产生的相关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以产品管理人的名义，依照法律法规相关规定、本理财产品销售文件的约定以及代表本理财产品份额持有人的利益行使代为追索的权利（包括但不限于提起诉讼/仲裁、申请保全/执行的权利）或者实施其他风险处置，行使、放弃、变更相关权利义务等法律行为；</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在法律法规、监管政策允许的前提下调整估值日；</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法律法规、监管规则规定及本理财产品销售文件约定赋予管理人的其他权利。</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bCs/>
          <w:color w:val="000000"/>
          <w:sz w:val="22"/>
          <w:szCs w:val="22"/>
          <w:highlight w:val="none"/>
        </w:rPr>
        <w:t>产品</w:t>
      </w:r>
      <w:r>
        <w:rPr>
          <w:rFonts w:ascii="Arial" w:hAnsi="Arial" w:cs="Arial" w:eastAsiaTheme="minorEastAsia"/>
          <w:b/>
          <w:sz w:val="22"/>
          <w:szCs w:val="22"/>
          <w:highlight w:val="none"/>
        </w:rPr>
        <w:t>托管人：</w:t>
      </w:r>
      <w:r>
        <w:rPr>
          <w:rFonts w:hint="eastAsia" w:asciiTheme="minorEastAsia" w:hAnsiTheme="minorEastAsia" w:eastAsiaTheme="minorEastAsia" w:cstheme="minorEastAsia"/>
          <w:b/>
          <w:bCs/>
          <w:sz w:val="22"/>
          <w:szCs w:val="22"/>
          <w:highlight w:val="none"/>
        </w:rPr>
        <w:t>中国银行股份有限公司</w:t>
      </w:r>
      <w:r>
        <w:rPr>
          <w:rFonts w:ascii="Arial" w:hAnsi="Arial" w:cs="Arial" w:eastAsiaTheme="minorEastAsia"/>
          <w:sz w:val="22"/>
          <w:szCs w:val="22"/>
          <w:highlight w:val="none"/>
        </w:rPr>
        <w:t>。产品托管人基本信息及主要职责如下：</w:t>
      </w:r>
    </w:p>
    <w:tbl>
      <w:tblPr>
        <w:tblStyle w:val="9"/>
        <w:tblW w:w="88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7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产品托管人</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中国银行股份有限公司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成立时间</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1983年10月31日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住所</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北京市西城区复兴门内大街1号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主要职责</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提供包括账户开立、资金保管、资金清算、估值核算等本理财产品托管服务。</w:t>
            </w:r>
          </w:p>
        </w:tc>
      </w:tr>
    </w:tbl>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 </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销售服务机构：指产品管理人以及符合《理财公司理财产品销售管理暂行办法》和国家金融监督管理总局规定，办理理财产品销售业务的机构。</w:t>
      </w:r>
      <w:r>
        <w:rPr>
          <w:rFonts w:ascii="Arial" w:hAnsi="Arial" w:cs="Arial" w:eastAsiaTheme="minorEastAsia"/>
          <w:sz w:val="22"/>
          <w:szCs w:val="22"/>
          <w:highlight w:val="none"/>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pPr>
        <w:widowControl/>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本理财产品销售服务机构的基本信息如下：</w:t>
      </w:r>
    </w:p>
    <w:tbl>
      <w:tblPr>
        <w:tblStyle w:val="8"/>
        <w:tblW w:w="850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76"/>
        <w:gridCol w:w="1676"/>
        <w:gridCol w:w="514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Align w:val="center"/>
          </w:tcPr>
          <w:p>
            <w:pPr>
              <w:jc w:val="left"/>
              <w:rPr>
                <w:highlight w:val="none"/>
              </w:rPr>
            </w:pPr>
            <w:r>
              <w:rPr>
                <w:rFonts w:ascii="宋体" w:hAnsi="宋体" w:cs="宋体"/>
                <w:b/>
                <w:sz w:val="22"/>
                <w:highlight w:val="none"/>
              </w:rPr>
              <w:t>销售服务机构</w:t>
            </w:r>
          </w:p>
        </w:tc>
        <w:tc>
          <w:tcPr>
            <w:tcW w:w="500" w:type="dxa"/>
            <w:gridSpan w:val="2"/>
            <w:vAlign w:val="center"/>
          </w:tcPr>
          <w:p>
            <w:pPr>
              <w:jc w:val="left"/>
              <w:rPr>
                <w:highlight w:val="none"/>
              </w:rPr>
            </w:pPr>
            <w:r>
              <w:rPr>
                <w:rFonts w:ascii="宋体" w:hAnsi="宋体" w:cs="宋体"/>
                <w:b/>
                <w:sz w:val="22"/>
                <w:highlight w:val="none"/>
              </w:rPr>
              <w:t>基本信息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浙江长兴农村商业银行有限公司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2005年3月31日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浙江省湖州市长兴县太湖街道明珠路1298号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 xml:space="preserve"> 96596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中国银行股份有限公司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1983年10月31日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北京市西城区复兴门内大街1号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95566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华夏银行股份有限公司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1992年10月14日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北京市东城区建国门内大街22号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95577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浙江舟山定海海洋农村商业银行股份有限公司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1994年11月23日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浙江省舟山市定海区环城东路81号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0580-2030956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浙商银行股份有限公司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1993年4月16日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浙江省杭州市萧山区鸿宁路1788号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95527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张家口银行股份有限公司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2003年3月8日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河北省张家口市桥东区胜利北路51号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4006896368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浙江德清农村商业银行股份有限公司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2008年8月21日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浙江省德清县武康街道沈长圩街50号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96596</w:t>
            </w:r>
          </w:p>
        </w:tc>
      </w:tr>
    </w:tbl>
    <w:p>
      <w:pPr>
        <w:widowControl/>
        <w:spacing w:line="360" w:lineRule="auto"/>
        <w:ind w:firstLine="440" w:firstLineChars="200"/>
        <w:rPr>
          <w:rFonts w:ascii="Arial" w:hAnsi="Arial" w:cs="Arial" w:eastAsiaTheme="minorEastAsia"/>
          <w:highlight w:val="none"/>
        </w:rPr>
      </w:pPr>
      <w:r>
        <w:rPr>
          <w:rFonts w:ascii="Arial" w:hAnsi="Arial" w:cs="Arial" w:eastAsiaTheme="minorEastAsia"/>
          <w:sz w:val="22"/>
          <w:szCs w:val="22"/>
          <w:highlight w:val="none"/>
        </w:rPr>
        <w:t>如有新增销售服务机构，新增销售服务机构的基本信息以管理人公告为准。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交易规则</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理财产品认购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认购份额：本理财产品份额以“份”为单位，</w:t>
      </w:r>
      <w:r>
        <w:rPr>
          <w:rFonts w:hint="eastAsia" w:ascii="Arial" w:hAnsi="Arial" w:cs="Arial"/>
          <w:color w:val="000000"/>
          <w:sz w:val="22"/>
          <w:szCs w:val="22"/>
          <w:highlight w:val="none"/>
          <w:lang w:bidi="ar"/>
        </w:rPr>
        <w:t>认购期每份理财产品份额面值为人民币</w:t>
      </w:r>
      <w:r>
        <w:rPr>
          <w:rFonts w:ascii="Arial" w:hAnsi="Arial" w:cs="Arial"/>
          <w:color w:val="000000"/>
          <w:sz w:val="22"/>
          <w:szCs w:val="22"/>
          <w:highlight w:val="none"/>
          <w:lang w:bidi="ar"/>
        </w:rPr>
        <w:t>1</w:t>
      </w:r>
      <w:r>
        <w:rPr>
          <w:rFonts w:hint="eastAsia" w:ascii="Arial" w:hAnsi="Arial" w:cs="Arial"/>
          <w:color w:val="000000"/>
          <w:sz w:val="22"/>
          <w:szCs w:val="22"/>
          <w:highlight w:val="none"/>
          <w:lang w:bidi="ar"/>
        </w:rPr>
        <w:t>元</w:t>
      </w:r>
      <w:r>
        <w:rPr>
          <w:rFonts w:ascii="Arial" w:hAnsi="Arial" w:cs="Arial" w:eastAsiaTheme="minorEastAsia"/>
          <w:snapToGrid w:val="0"/>
          <w:color w:val="000000"/>
          <w:sz w:val="22"/>
          <w:szCs w:val="22"/>
          <w:highlight w:val="none"/>
        </w:rPr>
        <w:t xml:space="preserve">。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认购期：2024年12月19日09:30 - 2024年12月25日</w:t>
      </w:r>
      <w:r>
        <w:rPr>
          <w:rFonts w:ascii="Arial" w:hAnsi="Arial" w:cs="Arial" w:eastAsiaTheme="minorEastAsia"/>
          <w:snapToGrid w:val="0"/>
          <w:color w:val="000000"/>
          <w:sz w:val="22"/>
          <w:szCs w:val="22"/>
          <w:highlight w:val="none"/>
        </w:rPr>
        <w:fldChar w:fldCharType="begin"/>
      </w:r>
      <w:r>
        <w:rPr>
          <w:rFonts w:ascii="Arial" w:hAnsi="Arial" w:cs="Arial" w:eastAsiaTheme="minorEastAsia"/>
          <w:snapToGrid w:val="0"/>
          <w:color w:val="000000"/>
          <w:sz w:val="22"/>
          <w:szCs w:val="22"/>
          <w:highlight w:val="none"/>
        </w:rPr>
        <w:instrText xml:space="preserve"> MERGEFIELD 结束时间 </w:instrText>
      </w:r>
      <w:r>
        <w:rPr>
          <w:rFonts w:ascii="Arial" w:hAnsi="Arial" w:cs="Arial" w:eastAsiaTheme="minorEastAsia"/>
          <w:snapToGrid w:val="0"/>
          <w:color w:val="000000"/>
          <w:sz w:val="22"/>
          <w:szCs w:val="22"/>
          <w:highlight w:val="none"/>
        </w:rPr>
        <w:fldChar w:fldCharType="separate"/>
      </w:r>
      <w:r>
        <w:rPr>
          <w:rFonts w:ascii="Arial" w:hAnsi="Arial" w:cs="Arial" w:eastAsiaTheme="minorEastAsia"/>
          <w:snapToGrid w:val="0"/>
          <w:color w:val="000000"/>
          <w:sz w:val="22"/>
          <w:szCs w:val="22"/>
          <w:highlight w:val="none"/>
        </w:rPr>
        <w:t>17:00（不含）</w:t>
      </w:r>
      <w:r>
        <w:rPr>
          <w:rFonts w:ascii="Arial" w:hAnsi="Arial" w:cs="Arial" w:eastAsiaTheme="minorEastAsia"/>
          <w:snapToGrid w:val="0"/>
          <w:color w:val="000000"/>
          <w:sz w:val="22"/>
          <w:szCs w:val="22"/>
          <w:highlight w:val="none"/>
        </w:rPr>
        <w:fldChar w:fldCharType="end"/>
      </w:r>
      <w:r>
        <w:rPr>
          <w:rFonts w:ascii="Arial" w:hAnsi="Arial" w:cs="Arial" w:eastAsiaTheme="minorEastAsia"/>
          <w:snapToGrid w:val="0"/>
          <w:color w:val="000000"/>
          <w:sz w:val="22"/>
          <w:szCs w:val="22"/>
          <w:highlight w:val="none"/>
        </w:rPr>
        <w:t>，管理人保留延长或提前终止产品认购期的权利。如有变动，产品实际认购期以管理人公告为准。投资者可通过销售服务机构手机银行APP或者管理人认可的其他方式参与认购。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认购撤单：认购期内允许撤单。</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w:t>
      </w:r>
      <w:r>
        <w:rPr>
          <w:rFonts w:hint="eastAsia" w:ascii="Arial" w:hAnsi="Arial" w:cs="Arial" w:eastAsiaTheme="minorEastAsia"/>
          <w:snapToGrid w:val="0"/>
          <w:color w:val="000000"/>
          <w:sz w:val="22"/>
          <w:szCs w:val="22"/>
          <w:highlight w:val="none"/>
        </w:rPr>
        <w:t>起点</w:t>
      </w:r>
      <w:r>
        <w:rPr>
          <w:rFonts w:ascii="Arial" w:hAnsi="Arial" w:cs="Arial" w:eastAsiaTheme="minorEastAsia"/>
          <w:snapToGrid w:val="0"/>
          <w:color w:val="000000"/>
          <w:sz w:val="22"/>
          <w:szCs w:val="22"/>
          <w:highlight w:val="none"/>
        </w:rPr>
        <w:t xml:space="preserve">：在认购期内， </w:t>
      </w:r>
      <w:r>
        <w:rPr>
          <w:rFonts w:ascii="Arial" w:hAnsi="Arial" w:cs="Arial" w:eastAsiaTheme="minorEastAsia"/>
          <w:color w:val="000000"/>
          <w:sz w:val="22"/>
          <w:szCs w:val="22"/>
          <w:highlight w:val="none"/>
        </w:rPr>
        <w:t>A份额认购起点为1元，超过认购起点部分应为0.01元的整数倍；B份额认购起点为100元，超过认购起点部分应为0.01元的整数倍；C份额认购起点为1元，超过认购起点部分应为0.01元的整数倍。</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单笔认购上限：</w:t>
      </w: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A份额单笔认购上限为1亿元；B份额单笔认购上限为1亿元；C份额单笔认购上限为1亿元。</w:t>
      </w:r>
      <w:r>
        <w:rPr>
          <w:rFonts w:ascii="Arial" w:hAnsi="Arial" w:cs="Arial" w:eastAsiaTheme="minorEastAsia"/>
          <w:sz w:val="22"/>
          <w:szCs w:val="22"/>
          <w:highlight w:val="none"/>
        </w:rPr>
        <w:t>如发生超额申请，经管理人评估同意后可予以受理。</w:t>
      </w:r>
      <w:r>
        <w:rPr>
          <w:rFonts w:ascii="Arial" w:hAnsi="Arial" w:cs="Arial" w:eastAsiaTheme="minorEastAsia"/>
          <w:snapToGrid w:val="0"/>
          <w:color w:val="000000"/>
          <w:sz w:val="22"/>
          <w:szCs w:val="22"/>
          <w:highlight w:val="none"/>
        </w:rPr>
        <w:t>管理人有权以公告形式调整单笔认购上限。在认购期内，投资者可多次认购。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单一投资者持有上限：本理财产品</w:t>
      </w: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w:t>
      </w:r>
      <w:r>
        <w:rPr>
          <w:rFonts w:ascii="Arial" w:hAnsi="Arial" w:cs="Arial" w:eastAsiaTheme="minorEastAsia"/>
          <w:snapToGrid w:val="0"/>
          <w:color w:val="000000"/>
          <w:sz w:val="22"/>
          <w:szCs w:val="22"/>
          <w:highlight w:val="none"/>
        </w:rPr>
        <w:t xml:space="preserve">，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50%的申请（在产品运作过程中因份额赎回、收益结转等情形导致持有份额被动超过此规则的情形除外）。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themeColor="text1"/>
          <w:sz w:val="22"/>
          <w:szCs w:val="22"/>
          <w:highlight w:val="none"/>
          <w14:textFill>
            <w14:solidFill>
              <w14:schemeClr w14:val="tx1"/>
            </w14:solidFill>
          </w14:textFill>
        </w:rPr>
      </w:pPr>
      <w:r>
        <w:rPr>
          <w:rFonts w:ascii="Arial" w:hAnsi="Arial" w:cs="Arial" w:eastAsiaTheme="minorEastAsia"/>
          <w:b/>
          <w:snapToGrid w:val="0"/>
          <w:color w:val="000000" w:themeColor="text1"/>
          <w:sz w:val="22"/>
          <w:szCs w:val="22"/>
          <w:highlight w:val="none"/>
          <w14:textFill>
            <w14:solidFill>
              <w14:schemeClr w14:val="tx1"/>
            </w14:solidFill>
          </w14:textFill>
        </w:rPr>
        <w:t>理财产品份额净值的计算</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highlight w:val="none"/>
        </w:rPr>
        <w:t>本理财产品某一类份额的份额净值=本理财产品该类份额总资产净值÷本理财产品该类份额数</w:t>
      </w:r>
      <w:r>
        <w:rPr>
          <w:rFonts w:ascii="Arial" w:hAnsi="Arial" w:cs="Arial" w:eastAsiaTheme="minorEastAsia"/>
          <w:color w:val="000000"/>
          <w:sz w:val="22"/>
          <w:szCs w:val="22"/>
          <w:highlight w:val="none"/>
        </w:rPr>
        <w:t xml:space="preserve">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本理财产品份额净值的计算，按</w:t>
      </w:r>
      <w:r>
        <w:rPr>
          <w:rFonts w:ascii="Arial" w:hAnsi="Arial" w:cs="Arial" w:eastAsiaTheme="minorEastAsia"/>
          <w:snapToGrid w:val="0"/>
          <w:color w:val="000000" w:themeColor="text1"/>
          <w:sz w:val="22"/>
          <w:szCs w:val="22"/>
          <w:highlight w:val="none"/>
          <w14:textFill>
            <w14:solidFill>
              <w14:schemeClr w14:val="tx1"/>
            </w14:solidFill>
          </w14:textFill>
        </w:rPr>
        <w:t>四舍五入法</w:t>
      </w:r>
      <w:r>
        <w:rPr>
          <w:rFonts w:ascii="Arial" w:hAnsi="Arial" w:cs="Arial" w:eastAsiaTheme="minorEastAsia"/>
          <w:color w:val="000000" w:themeColor="text1"/>
          <w:sz w:val="22"/>
          <w:szCs w:val="22"/>
          <w:highlight w:val="none"/>
          <w14:textFill>
            <w14:solidFill>
              <w14:schemeClr w14:val="tx1"/>
            </w14:solidFill>
          </w14:textFill>
        </w:rPr>
        <w:t>保留到小数点后4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拒绝或暂停接受认购申请的情形及处理方式</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发生下列情况时，管理人有权拒绝或暂停接受、办理投资者的认购申请：</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（1）因战争、自然灾害等不可抗力导致本理财产品无法正常运作。</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（2）银行间市场交易所或证券交易所交易时间非正常停市，导致管理人无法计算当日本理财产品资产净值。</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（3）</w:t>
      </w:r>
      <w:r>
        <w:rPr>
          <w:rFonts w:hint="eastAsia" w:ascii="Arial" w:hAnsi="Arial" w:cs="Arial" w:eastAsiaTheme="minorEastAsia"/>
          <w:color w:val="000000" w:themeColor="text1"/>
          <w:spacing w:val="4"/>
          <w:sz w:val="22"/>
          <w:szCs w:val="22"/>
          <w:highlight w:val="none"/>
          <w14:textFill>
            <w14:solidFill>
              <w14:schemeClr w14:val="tx1"/>
            </w14:solidFill>
          </w14:textFill>
        </w:rPr>
        <w:t>本理财产品投资的主要证券、期货交易市场或外汇市场休市或处于公众节假日，可能影响本理财产品正常估值时。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hint="eastAsia" w:ascii="Arial" w:hAnsi="Arial" w:cs="Arial" w:eastAsiaTheme="minorEastAsia"/>
          <w:color w:val="000000" w:themeColor="text1"/>
          <w:spacing w:val="4"/>
          <w:sz w:val="22"/>
          <w:szCs w:val="22"/>
          <w:highlight w:val="none"/>
          <w14:textFill>
            <w14:solidFill>
              <w14:schemeClr w14:val="tx1"/>
            </w14:solidFill>
          </w14:textFill>
        </w:rPr>
        <w:t>（4）</w:t>
      </w:r>
      <w:r>
        <w:rPr>
          <w:rFonts w:ascii="Arial" w:hAnsi="Arial" w:cs="Arial" w:eastAsiaTheme="minorEastAsia"/>
          <w:color w:val="000000" w:themeColor="text1"/>
          <w:spacing w:val="4"/>
          <w:sz w:val="22"/>
          <w:szCs w:val="22"/>
          <w:highlight w:val="none"/>
          <w14:textFill>
            <w14:solidFill>
              <w14:schemeClr w14:val="tx1"/>
            </w14:solidFill>
          </w14:textFill>
        </w:rPr>
        <w:t>发生本理财产品说明书约定的暂停本理财产品资产估值情况。</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5</w:t>
      </w:r>
      <w:r>
        <w:rPr>
          <w:rFonts w:ascii="Arial" w:hAnsi="Arial" w:cs="Arial" w:eastAsiaTheme="minorEastAsia"/>
          <w:color w:val="000000" w:themeColor="text1"/>
          <w:spacing w:val="4"/>
          <w:sz w:val="22"/>
          <w:szCs w:val="22"/>
          <w:highlight w:val="none"/>
          <w14:textFill>
            <w14:solidFill>
              <w14:schemeClr w14:val="tx1"/>
            </w14:solidFill>
          </w14:textFill>
        </w:rPr>
        <w:t>）投资者认购超过本产品说明书约定的发行规模上限、单笔认购上限、单一投资者持有上限等。</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6</w:t>
      </w:r>
      <w:r>
        <w:rPr>
          <w:rFonts w:ascii="Arial" w:hAnsi="Arial" w:cs="Arial" w:eastAsiaTheme="minorEastAsia"/>
          <w:color w:val="000000" w:themeColor="text1"/>
          <w:spacing w:val="4"/>
          <w:sz w:val="22"/>
          <w:szCs w:val="22"/>
          <w:highlight w:val="none"/>
          <w14:textFill>
            <w14:solidFill>
              <w14:schemeClr w14:val="tx1"/>
            </w14:solidFill>
          </w14:textFill>
        </w:rPr>
        <w:t>）理财产品管理人接受某笔或者某些认购申请有可能导致单一投资者持有理财产品份额的比例达到或者超过50%。</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7</w:t>
      </w:r>
      <w:r>
        <w:rPr>
          <w:rFonts w:ascii="Arial" w:hAnsi="Arial" w:cs="Arial" w:eastAsiaTheme="minorEastAsia"/>
          <w:color w:val="000000" w:themeColor="text1"/>
          <w:spacing w:val="4"/>
          <w:sz w:val="22"/>
          <w:szCs w:val="22"/>
          <w:highlight w:val="none"/>
          <w14:textFill>
            <w14:solidFill>
              <w14:schemeClr w14:val="tx1"/>
            </w14:solidFill>
          </w14:textFill>
        </w:rPr>
        <w:t>）当本理财产品规模过大，管理人无法找到合适的投资品种，或存在其他可能对本理财产品投资业绩产生负面影响的情形时。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8</w:t>
      </w:r>
      <w:r>
        <w:rPr>
          <w:rFonts w:ascii="Arial" w:hAnsi="Arial" w:cs="Arial" w:eastAsiaTheme="minorEastAsia"/>
          <w:color w:val="000000" w:themeColor="text1"/>
          <w:spacing w:val="4"/>
          <w:sz w:val="22"/>
          <w:szCs w:val="22"/>
          <w:highlight w:val="none"/>
          <w14:textFill>
            <w14:solidFill>
              <w14:schemeClr w14:val="tx1"/>
            </w14:solidFill>
          </w14:textFill>
        </w:rPr>
        <w:t>）法律法规规定或国家金融监督管理总局等监管机构认定的其他情形。</w:t>
      </w:r>
    </w:p>
    <w:p>
      <w:pPr>
        <w:tabs>
          <w:tab w:val="left" w:pos="426"/>
        </w:tabs>
        <w:spacing w:line="360" w:lineRule="auto"/>
        <w:ind w:firstLine="456" w:firstLineChars="200"/>
        <w:rPr>
          <w:rFonts w:ascii="Arial" w:hAnsi="Arial" w:cs="Arial" w:eastAsiaTheme="minorEastAsia"/>
          <w:color w:val="000000"/>
          <w:sz w:val="22"/>
          <w:szCs w:val="22"/>
          <w:highlight w:val="none"/>
        </w:rPr>
      </w:pPr>
      <w:r>
        <w:rPr>
          <w:rFonts w:ascii="Arial" w:hAnsi="Arial" w:cs="Arial" w:eastAsiaTheme="minorEastAsia"/>
          <w:color w:val="000000" w:themeColor="text1"/>
          <w:spacing w:val="4"/>
          <w:sz w:val="22"/>
          <w:szCs w:val="22"/>
          <w:highlight w:val="none"/>
          <w14:textFill>
            <w14:solidFill>
              <w14:schemeClr w14:val="tx1"/>
            </w14:solidFill>
          </w14:textFill>
        </w:rPr>
        <w:t>发生上述暂停认购等情形时，管理人应于3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产品估值方法</w:t>
      </w:r>
    </w:p>
    <w:p>
      <w:pPr>
        <w:pStyle w:val="20"/>
        <w:numPr>
          <w:ilvl w:val="0"/>
          <w:numId w:val="9"/>
        </w:numPr>
        <w:snapToGrid w:val="0"/>
        <w:spacing w:line="360" w:lineRule="auto"/>
        <w:ind w:firstLineChars="0"/>
        <w:jc w:val="left"/>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估值对象</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本理财产品所持有的一切金融资产和金融负债。</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估值日</w:t>
      </w:r>
    </w:p>
    <w:p>
      <w:pPr>
        <w:widowControl/>
        <w:spacing w:line="360" w:lineRule="auto"/>
        <w:ind w:firstLine="440" w:firstLineChars="200"/>
        <w:jc w:val="left"/>
        <w:rPr>
          <w:rFonts w:ascii="Arial" w:hAnsi="Arial" w:cs="Arial" w:eastAsiaTheme="minorEastAsia"/>
          <w:highlight w:val="none"/>
        </w:rPr>
      </w:pPr>
      <w:r>
        <w:rPr>
          <w:rFonts w:ascii="Arial" w:hAnsi="Arial" w:cs="Arial" w:eastAsiaTheme="minorEastAsia"/>
          <w:sz w:val="22"/>
          <w:szCs w:val="22"/>
          <w:highlight w:val="none"/>
        </w:rPr>
        <w:t>本理财产品存续期间，产品管理人每个交易日进行估值，经产品托管人复核无误后，由产品管理人每周进行公告。</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估值方法</w:t>
      </w:r>
    </w:p>
    <w:p>
      <w:pPr>
        <w:autoSpaceDE w:val="0"/>
        <w:autoSpaceDN w:val="0"/>
        <w:adjustRightInd w:val="0"/>
        <w:spacing w:line="360" w:lineRule="auto"/>
        <w:ind w:firstLine="440" w:firstLineChars="200"/>
        <w:jc w:val="left"/>
        <w:rPr>
          <w:rFonts w:ascii="Arial" w:hAnsi="Arial" w:cs="Arial" w:eastAsiaTheme="minorEastAsia"/>
          <w:kern w:val="0"/>
          <w:sz w:val="22"/>
          <w:highlight w:val="none"/>
        </w:rPr>
      </w:pPr>
      <w:r>
        <w:rPr>
          <w:rFonts w:ascii="Arial" w:hAnsi="Arial" w:cs="Arial" w:eastAsiaTheme="minorEastAsia"/>
          <w:kern w:val="0"/>
          <w:sz w:val="22"/>
          <w:highlight w:val="none"/>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具体估值方法如下：</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货币市场工具类资产的估值：</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一般性存款按其适用利率逐日计提利息；</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债券回购和拆借、同业存款按其约定利率逐日计提利息。</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以摊余成本计量的资产：</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以公允价值计量且其变动计入当期损益的资产：</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在证券交易所和全国银行间市场交易的债券类资产的估值：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a.不含转股权的债券，按第三方估值机构（中债、中证等）提供的估值数据，对本理财产品持有的债券进行估值，具体第三方估值机构及取值方法由管理人和托管人具体协商确定；</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 xml:space="preserve">b.含转股权的债券（如可转换债券、可交换债券等），实行全价交易的，按照估值日收盘价减去收盘价中所含债券应收利息后得到的净价进行估值；实行净价交易的，采用估值日收盘价估值； </w:t>
      </w:r>
    </w:p>
    <w:p>
      <w:pPr>
        <w:pStyle w:val="20"/>
        <w:spacing w:line="360" w:lineRule="auto"/>
        <w:ind w:firstLine="440"/>
        <w:rPr>
          <w:rFonts w:ascii="Arial" w:hAnsi="Arial" w:cs="Arial" w:eastAsiaTheme="minorEastAsia"/>
          <w:color w:val="000000"/>
          <w:sz w:val="22"/>
          <w:szCs w:val="22"/>
          <w:highlight w:val="none"/>
        </w:rPr>
      </w:pPr>
      <w:r>
        <w:rPr>
          <w:rFonts w:ascii="Arial" w:hAnsi="Arial" w:cs="Arial" w:eastAsiaTheme="minorEastAsia"/>
          <w:kern w:val="0"/>
          <w:sz w:val="22"/>
          <w:szCs w:val="22"/>
          <w:highlight w:val="none"/>
        </w:rPr>
        <w:t>c.同一债券同时在两个或两个以上市场交易的</w:t>
      </w:r>
      <w:r>
        <w:rPr>
          <w:rFonts w:ascii="Arial" w:hAnsi="Arial" w:cs="Arial" w:eastAsiaTheme="minorEastAsia"/>
          <w:color w:val="000000"/>
          <w:sz w:val="22"/>
          <w:szCs w:val="22"/>
          <w:highlight w:val="none"/>
        </w:rPr>
        <w:t>，按债券所处的市场分别估值；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d.如监管对此另有规定的，按照监管的最新规定进行调整。</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证券投资基金的估值：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sz w:val="22"/>
          <w:highlight w:val="none"/>
        </w:rPr>
        <w:t>a.非上市基金估值</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b.上市基金估值</w:t>
      </w:r>
    </w:p>
    <w:p>
      <w:pPr>
        <w:spacing w:line="360" w:lineRule="auto"/>
        <w:ind w:firstLine="424" w:firstLineChars="193"/>
        <w:rPr>
          <w:rFonts w:ascii="Arial" w:hAnsi="Arial" w:cs="Arial" w:eastAsiaTheme="minorEastAsia"/>
          <w:sz w:val="22"/>
          <w:highlight w:val="none"/>
        </w:rPr>
      </w:pPr>
      <w:r>
        <w:rPr>
          <w:rFonts w:ascii="Arial" w:hAnsi="Arial" w:cs="Arial" w:eastAsiaTheme="minorEastAsia"/>
          <w:sz w:val="22"/>
          <w:highlight w:val="none"/>
        </w:rPr>
        <w:t>交易所上市流通的基金，按估值日其所在证券交易所的收盘价估值,</w:t>
      </w:r>
      <w:r>
        <w:rPr>
          <w:rFonts w:ascii="Arial" w:hAnsi="Arial" w:cs="Arial" w:eastAsiaTheme="minorEastAsia"/>
          <w:color w:val="000000"/>
          <w:sz w:val="22"/>
          <w:highlight w:val="none"/>
        </w:rPr>
        <w:t xml:space="preserve"> </w:t>
      </w:r>
      <w:r>
        <w:rPr>
          <w:rFonts w:ascii="Arial" w:hAnsi="Arial" w:cs="Arial" w:eastAsiaTheme="minorEastAsia"/>
          <w:sz w:val="22"/>
          <w:highlight w:val="none"/>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ascii="Arial" w:hAnsi="Arial" w:cs="Arial" w:eastAsiaTheme="minorEastAsia"/>
          <w:color w:val="000000"/>
          <w:sz w:val="22"/>
          <w:highlight w:val="none"/>
        </w:rPr>
        <w:t>交易所上市的开放式基金（LOF），按所投资基金估值日的份额净值估值；</w:t>
      </w:r>
      <w:r>
        <w:rPr>
          <w:rFonts w:ascii="Arial" w:hAnsi="Arial" w:cs="Arial" w:eastAsiaTheme="minorEastAsia"/>
          <w:sz w:val="22"/>
          <w:highlight w:val="none"/>
        </w:rPr>
        <w:t>公募 REITs，</w:t>
      </w:r>
      <w:r>
        <w:rPr>
          <w:rFonts w:ascii="Arial" w:hAnsi="Arial" w:cs="Arial" w:eastAsiaTheme="minorEastAsia"/>
          <w:color w:val="000000"/>
          <w:sz w:val="22"/>
          <w:highlight w:val="none"/>
        </w:rPr>
        <w:t>按监管机构或行业协会有关规定确定公允价值</w:t>
      </w:r>
      <w:r>
        <w:rPr>
          <w:rFonts w:ascii="Arial" w:hAnsi="Arial" w:cs="Arial" w:eastAsiaTheme="minorEastAsia"/>
          <w:sz w:val="22"/>
          <w:highlight w:val="none"/>
        </w:rPr>
        <w:t>。</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c.如遇所投资基金不公布基金份额净值、进行折算或拆分、估值日无交易等特殊情况，按照以下原则进行估值：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①</w:t>
      </w:r>
      <w:r>
        <w:rPr>
          <w:rFonts w:ascii="Arial" w:hAnsi="Arial" w:cs="Arial" w:eastAsiaTheme="minorEastAsia"/>
          <w:sz w:val="22"/>
          <w:highlight w:val="none"/>
        </w:rPr>
        <w:t>以所投基金的基金份额净值估值的，若所投资基金管理人未公布估值日基金份额净值，按其最近公布的基金份额净值为基础估值。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②</w:t>
      </w:r>
      <w:r>
        <w:rPr>
          <w:rFonts w:ascii="Arial" w:hAnsi="Arial" w:cs="Arial" w:eastAsiaTheme="minorEastAsia"/>
          <w:sz w:val="22"/>
          <w:highlight w:val="none"/>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adjustRightInd w:val="0"/>
        <w:spacing w:line="360" w:lineRule="auto"/>
        <w:ind w:firstLine="440" w:firstLineChars="200"/>
        <w:rPr>
          <w:rFonts w:ascii="Arial" w:hAnsi="Arial" w:cs="Arial" w:eastAsiaTheme="minorEastAsia"/>
          <w:kern w:val="0"/>
          <w:sz w:val="22"/>
          <w:highlight w:val="none"/>
        </w:rPr>
      </w:pPr>
      <w:r>
        <w:rPr>
          <w:rFonts w:hint="eastAsia" w:ascii="微软雅黑" w:hAnsi="微软雅黑" w:eastAsia="微软雅黑" w:cs="微软雅黑"/>
          <w:sz w:val="22"/>
          <w:highlight w:val="none"/>
        </w:rPr>
        <w:t>③</w:t>
      </w:r>
      <w:r>
        <w:rPr>
          <w:rFonts w:ascii="Arial" w:hAnsi="Arial" w:cs="Arial" w:eastAsiaTheme="minorEastAsia"/>
          <w:sz w:val="22"/>
          <w:highlight w:val="none"/>
        </w:rPr>
        <w:t>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其他资产管理产品的估值：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b.如所投资产管理产品的产品合同未约定估值方案或其管理人提供的估值数据不公允，由管理人和托管人根据合理判断按反映产品公允价值的计量方案进行估值。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衍生品金融工具估值，包括但不限于利率互换等：</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a.场内交易的衍生品金融工具，以交易所最近交易日结算价或收盘价进行估值；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b.场外交易的衍生品金融工具，采用估值技术确定其公允价值，按照管理人和托管人认可的估值模型或第三方数据进行估值。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优先股的估值：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优先股按第三方估值机构（中债、中证等）提供的估值数据进行估值；无第三方估值的，由管理人和托管人根据合理判断按反映产品公允价值的计量方案进行估值。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结构性产品的估值：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结构性产品以发行人提供的最新估值价格或管理人与托管人认可的估值技术进行估值。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非标准化债权类资产的估值：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highlight w:val="none"/>
        </w:rPr>
        <w:t>非标准化债权类资产按照管理人和托管人认可的估值方式进行估值。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其他类资产的估值：若本理财产品存续期间持有其他投资品种，以管理人和托管人共同认可的方法估值。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相关法律法规以及监管部门、自律规则另有规定的，从其规定。如有新增事项，按国家最新规定估值。</w:t>
      </w:r>
    </w:p>
    <w:p>
      <w:pPr>
        <w:pStyle w:val="20"/>
        <w:numPr>
          <w:ilvl w:val="0"/>
          <w:numId w:val="9"/>
        </w:numPr>
        <w:snapToGrid w:val="0"/>
        <w:spacing w:line="360" w:lineRule="auto"/>
        <w:ind w:firstLineChars="0"/>
        <w:jc w:val="left"/>
        <w:rPr>
          <w:rFonts w:ascii="Arial" w:hAnsi="Arial" w:cs="Arial" w:eastAsiaTheme="minorEastAsia"/>
          <w:sz w:val="22"/>
          <w:szCs w:val="22"/>
          <w:highlight w:val="none"/>
        </w:rPr>
      </w:pPr>
      <w:r>
        <w:rPr>
          <w:rFonts w:ascii="Arial" w:hAnsi="Arial" w:cs="Arial" w:eastAsiaTheme="minorEastAsia"/>
          <w:b/>
          <w:spacing w:val="4"/>
          <w:sz w:val="22"/>
          <w:szCs w:val="22"/>
          <w:highlight w:val="none"/>
        </w:rPr>
        <w:t>暂停估值的情形</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根据本理财产品投资所涉及的交易场所遇法定假日或因其它原因暂停营业时；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因其他任何不可抗力致使产品管理人（或其授权人）、产品托管人无法准确评估理财所投资产价值时；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占本理财产品所投资产相当比例的投资品种的估值出现重大转变，而产品管理人（或其授权人）</w:t>
      </w:r>
      <w:r>
        <w:rPr>
          <w:rFonts w:ascii="Arial" w:hAnsi="Arial" w:cs="Arial" w:eastAsiaTheme="minorEastAsia"/>
          <w:color w:val="000000" w:themeColor="text1"/>
          <w:sz w:val="22"/>
          <w:szCs w:val="22"/>
          <w:highlight w:val="none"/>
          <w14:textFill>
            <w14:solidFill>
              <w14:schemeClr w14:val="tx1"/>
            </w14:solidFill>
          </w14:textFill>
        </w:rPr>
        <w:t>为保障资产委托人的利益</w:t>
      </w:r>
      <w:r>
        <w:rPr>
          <w:rFonts w:ascii="Arial" w:hAnsi="Arial" w:cs="Arial" w:eastAsiaTheme="minorEastAsia"/>
          <w:color w:val="000000" w:themeColor="text1"/>
          <w:sz w:val="22"/>
          <w:highlight w:val="none"/>
          <w14:textFill>
            <w14:solidFill>
              <w14:schemeClr w14:val="tx1"/>
            </w14:solidFill>
          </w14:textFill>
        </w:rPr>
        <w:t>，决定延迟估值并征得产品托管人同意的；</w:t>
      </w:r>
    </w:p>
    <w:p>
      <w:pPr>
        <w:pStyle w:val="20"/>
        <w:numPr>
          <w:ilvl w:val="0"/>
          <w:numId w:val="14"/>
        </w:numPr>
        <w:spacing w:line="360" w:lineRule="auto"/>
        <w:ind w:firstLine="440"/>
        <w:rPr>
          <w:rFonts w:ascii="Arial" w:hAnsi="Arial" w:cs="Arial" w:eastAsiaTheme="minorEastAsia"/>
          <w:highlight w:val="none"/>
        </w:rPr>
      </w:pPr>
      <w:r>
        <w:rPr>
          <w:rFonts w:ascii="Arial" w:hAnsi="Arial" w:cs="Arial" w:eastAsiaTheme="minorEastAsia"/>
          <w:color w:val="000000" w:themeColor="text1"/>
          <w:sz w:val="22"/>
          <w:highlight w:val="none"/>
          <w14:textFill>
            <w14:solidFill>
              <w14:schemeClr w14:val="tx1"/>
            </w14:solidFill>
          </w14:textFill>
        </w:rPr>
        <w:t>监管部门认定的其他情形。</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估值错误的处理</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（1）估值错误处理原则</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w:t>
      </w:r>
      <w:r>
        <w:rPr>
          <w:rFonts w:ascii="Arial" w:hAnsi="Arial" w:cs="Arial" w:eastAsiaTheme="minorEastAsia"/>
          <w:highlight w:val="none"/>
        </w:rPr>
        <w:t>因理财产品托管人估值错误造成财产损失，管理人先行赔付的，管理人有权向托管人追偿。</w:t>
      </w:r>
      <w:r>
        <w:rPr>
          <w:rFonts w:ascii="Arial" w:hAnsi="Arial" w:cs="Arial" w:eastAsiaTheme="minorEastAsia"/>
          <w:spacing w:val="4"/>
          <w:sz w:val="22"/>
          <w:szCs w:val="22"/>
          <w:highlight w:val="none"/>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4）当估值出现错误时，因估值错误而获得不当得利的投资者负有及时返还不当得利的义务。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5）按法律法规规定的其他原则处理估值错误。</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（2）估值错误处理程序</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估值错误被发现后，有关的当事人应当及时进行处理，处理的程序如下：</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1）查明估值错误发生的原因，列明所有的当事人，并根据估值错误发生的原因确定估值错误的责任方；</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2）根据估值错误处理原则或当事人协商的方法对因估值错误造成的损失进行评估；</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3）根据估值错误处理原则或当事人协商的方法由估值错误的责任方进行更正和赔偿损失；</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4）根据估值错误处理的方法，需要修改理财产品登记机构交易数据的，由理财产品管理人进行更正，并就估值错误的更正向有关当事人进行确认。</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（3）特殊情况的处理</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其他</w:t>
      </w:r>
    </w:p>
    <w:p>
      <w:pPr>
        <w:snapToGrid w:val="0"/>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若因国家规定或有确凿证据表明按上述方法进行计价不能客观反映公允价值的，产品管理人有权按照最能反映其公允价值的方法计价，并及时向投资者公告。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理财资金所承担的相关费用</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本理财产品所承担的费用包括产品固定管理费、产品托管费、销售服务费、浮动管理费（如有）、增值税及附加税费等费用以及其它应由本理财产品资产承担的产品费用。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highlight w:val="none"/>
        </w:rPr>
      </w:pPr>
      <w:r>
        <w:rPr>
          <w:rFonts w:hint="eastAsia" w:ascii="Arial" w:hAnsi="Arial" w:cs="Arial"/>
          <w:color w:val="000000"/>
          <w:sz w:val="22"/>
          <w:szCs w:val="22"/>
          <w:highlight w:val="none"/>
        </w:rPr>
        <w:t>本</w:t>
      </w:r>
      <w:r>
        <w:rPr>
          <w:rFonts w:ascii="Arial" w:hAnsi="Arial" w:cs="Arial"/>
          <w:color w:val="000000"/>
          <w:sz w:val="22"/>
          <w:szCs w:val="22"/>
          <w:highlight w:val="none"/>
        </w:rPr>
        <w:t>理财</w:t>
      </w:r>
      <w:r>
        <w:rPr>
          <w:rFonts w:hint="eastAsia" w:ascii="Arial" w:hAnsi="Arial" w:cs="Arial"/>
          <w:color w:val="000000"/>
          <w:sz w:val="22"/>
          <w:szCs w:val="22"/>
          <w:highlight w:val="none"/>
        </w:rPr>
        <w:t>产品</w:t>
      </w:r>
      <w:r>
        <w:rPr>
          <w:rFonts w:ascii="Arial" w:hAnsi="Arial" w:cs="Arial"/>
          <w:color w:val="000000"/>
          <w:sz w:val="22"/>
          <w:szCs w:val="22"/>
          <w:highlight w:val="none"/>
        </w:rPr>
        <w:t>费用按本</w:t>
      </w:r>
      <w:r>
        <w:rPr>
          <w:rFonts w:hint="eastAsia" w:ascii="Arial" w:hAnsi="Arial" w:cs="Arial"/>
          <w:color w:val="000000"/>
          <w:sz w:val="22"/>
          <w:szCs w:val="22"/>
          <w:highlight w:val="none"/>
        </w:rPr>
        <w:t>理财</w:t>
      </w:r>
      <w:r>
        <w:rPr>
          <w:rFonts w:ascii="Arial" w:hAnsi="Arial" w:cs="Arial"/>
          <w:color w:val="000000"/>
          <w:sz w:val="22"/>
          <w:szCs w:val="22"/>
          <w:highlight w:val="none"/>
        </w:rPr>
        <w:t>产品说明书及管理人与费用收取方之间的协议约定从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理财产品资产中支付。管理人或</w:t>
      </w:r>
      <w:r>
        <w:rPr>
          <w:rFonts w:hint="eastAsia" w:ascii="Arial" w:hAnsi="Arial" w:cs="Arial"/>
          <w:color w:val="000000"/>
          <w:sz w:val="22"/>
          <w:szCs w:val="22"/>
          <w:highlight w:val="none"/>
        </w:rPr>
        <w:t>本</w:t>
      </w:r>
      <w:r>
        <w:rPr>
          <w:rFonts w:ascii="Arial" w:hAnsi="Arial" w:cs="Arial"/>
          <w:color w:val="000000"/>
          <w:sz w:val="22"/>
          <w:szCs w:val="22"/>
          <w:highlight w:val="none"/>
        </w:rPr>
        <w:t>理财产品参与方以固有财产先行垫付的，有权从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理财产品资产中优先受偿。</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产品</w:t>
      </w:r>
      <w:r>
        <w:rPr>
          <w:rFonts w:ascii="Arial" w:hAnsi="Arial" w:cs="Arial"/>
          <w:color w:val="000000"/>
          <w:sz w:val="22"/>
          <w:szCs w:val="22"/>
          <w:highlight w:val="none"/>
        </w:rPr>
        <w:t>固定管理费</w:t>
      </w:r>
      <w:r>
        <w:rPr>
          <w:rFonts w:hint="eastAsia" w:ascii="Arial" w:hAnsi="Arial" w:cs="Arial"/>
          <w:color w:val="000000"/>
          <w:sz w:val="22"/>
          <w:szCs w:val="22"/>
          <w:highlight w:val="none"/>
        </w:rPr>
        <w:t>、托管费、销售服务费</w:t>
      </w:r>
      <w:r>
        <w:rPr>
          <w:rFonts w:ascii="Arial" w:hAnsi="Arial" w:cs="Arial"/>
          <w:color w:val="000000"/>
          <w:sz w:val="22"/>
          <w:szCs w:val="22"/>
          <w:highlight w:val="none"/>
        </w:rPr>
        <w:t>精确到小数点后2位，小数点2位以后</w:t>
      </w:r>
      <w:r>
        <w:rPr>
          <w:rFonts w:hint="eastAsia" w:ascii="Arial" w:hAnsi="Arial" w:cs="Arial"/>
          <w:color w:val="000000"/>
          <w:sz w:val="22"/>
          <w:szCs w:val="22"/>
          <w:highlight w:val="none"/>
        </w:rPr>
        <w:t>四舍五入</w:t>
      </w:r>
      <w:r>
        <w:rPr>
          <w:rFonts w:ascii="Arial" w:hAnsi="Arial" w:cs="Arial"/>
          <w:color w:val="000000" w:themeColor="text1"/>
          <w:sz w:val="22"/>
          <w:szCs w:val="22"/>
          <w:highlight w:val="none"/>
          <w14:textFill>
            <w14:solidFill>
              <w14:schemeClr w14:val="tx1"/>
            </w14:solidFill>
          </w14:textFill>
        </w:rPr>
        <w:t>。</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产品固定管理费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各类份额产品固定管理费按不超过前一日本理财产品对应份额的资产净值的0.50%</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年费率计提。各类份额的固定管理费率以管理人公告为准。计算方法如下：</w:t>
      </w:r>
    </w:p>
    <w:p>
      <w:pPr>
        <w:autoSpaceDE w:val="0"/>
        <w:autoSpaceDN w:val="0"/>
        <w:adjustRightInd w:val="0"/>
        <w:spacing w:line="360" w:lineRule="auto"/>
        <w:ind w:firstLine="440" w:firstLineChars="200"/>
        <w:rPr>
          <w:rFonts w:ascii="Arial" w:hAnsi="Arial" w:cs="Arial" w:eastAsiaTheme="minorEastAsia"/>
          <w:color w:val="000000"/>
          <w:sz w:val="22"/>
          <w:highlight w:val="none"/>
          <w:vertAlign w:val="subscript"/>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×固定管理费率÷365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H为每日应计提的产品固定管理费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产品固定管理费每日计提，按期支付。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各类份额产品托管费按不超过前一日本理财产品对应份额的资产净值的0.03%</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年费率计提。各类份额的托管费率以管理人公告为准。计算方法如下： </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×托管费率÷365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产品托管费每日计提，按期支付。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产品销售服务费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各类份额销售服务费按不超过前一日本理财产品对应份额的资产净值的0.50%</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年费率计提。各类份额的销售服务费率以管理人公告为准。计算方法如下： </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×各份额销售服务费率</w:t>
      </w:r>
      <w:r>
        <w:rPr>
          <w:rFonts w:ascii="Arial" w:hAnsi="Arial" w:cs="Arial" w:eastAsiaTheme="minorEastAsia"/>
          <w:color w:val="000000"/>
          <w:sz w:val="22"/>
          <w:highlight w:val="none"/>
        </w:rPr>
        <w:t>÷365</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H为每日应计提的销售服务费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产品销售服务费每日计提，按期支付。</w:t>
      </w:r>
    </w:p>
    <w:p>
      <w:pPr>
        <w:widowControl/>
        <w:numPr>
          <w:ilvl w:val="0"/>
          <w:numId w:val="16"/>
        </w:numPr>
        <w:autoSpaceDE w:val="0"/>
        <w:autoSpaceDN w:val="0"/>
        <w:adjustRightInd w:val="0"/>
        <w:spacing w:line="360" w:lineRule="auto"/>
        <w:ind w:hanging="3679"/>
        <w:rPr>
          <w:rFonts w:ascii="Arial" w:hAnsi="Arial" w:cs="Arial" w:eastAsiaTheme="minorEastAsia"/>
          <w:b/>
          <w:color w:val="000000" w:themeColor="text1"/>
          <w:sz w:val="22"/>
          <w:szCs w:val="22"/>
          <w:highlight w:val="none"/>
          <w14:textFill>
            <w14:solidFill>
              <w14:schemeClr w14:val="tx1"/>
            </w14:solidFill>
          </w14:textFill>
        </w:rPr>
      </w:pPr>
      <w:r>
        <w:rPr>
          <w:rFonts w:ascii="Arial" w:hAnsi="Arial" w:cs="Arial" w:eastAsiaTheme="minorEastAsia"/>
          <w:b/>
          <w:color w:val="000000" w:themeColor="text1"/>
          <w:sz w:val="22"/>
          <w:szCs w:val="22"/>
          <w:highlight w:val="none"/>
          <w14:textFill>
            <w14:solidFill>
              <w14:schemeClr w14:val="tx1"/>
            </w14:solidFill>
          </w14:textFill>
        </w:rPr>
        <w:t>浮动管理费（如有）</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kern w:val="0"/>
          <w:sz w:val="22"/>
          <w:szCs w:val="22"/>
          <w:highlight w:val="none"/>
        </w:rPr>
        <w:t>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color w:val="000000" w:themeColor="text1"/>
          <w:kern w:val="0"/>
          <w:sz w:val="22"/>
          <w:szCs w:val="22"/>
          <w:highlight w:val="none"/>
          <w14:textFill>
            <w14:solidFill>
              <w14:schemeClr w14:val="tx1"/>
            </w14:solidFill>
          </w14:textFill>
        </w:rPr>
        <w:t>。在浮动管理费计提评价日，若本理财产品扣除各项费用后的年化投资收益率大于浮动管理费计提基准，管理人将收取超过浮动管理费计提基准部分的【</w:t>
      </w:r>
      <w:r>
        <w:rPr>
          <w:rFonts w:hint="eastAsia" w:ascii="Arial" w:hAnsi="Arial" w:cs="Arial" w:eastAsiaTheme="minorEastAsia"/>
          <w:color w:val="000000" w:themeColor="text1"/>
          <w:kern w:val="0"/>
          <w:sz w:val="22"/>
          <w:szCs w:val="22"/>
          <w:highlight w:val="none"/>
          <w14:textFill>
            <w14:solidFill>
              <w14:schemeClr w14:val="tx1"/>
            </w14:solidFill>
          </w14:textFill>
        </w:rPr>
        <w:t>30.00</w:t>
      </w:r>
      <w:r>
        <w:rPr>
          <w:rFonts w:ascii="Arial" w:hAnsi="Arial" w:cs="Arial" w:eastAsiaTheme="minorEastAsia"/>
          <w:color w:val="000000" w:themeColor="text1"/>
          <w:kern w:val="0"/>
          <w:sz w:val="22"/>
          <w:szCs w:val="22"/>
          <w:highlight w:val="none"/>
          <w14:textFill>
            <w14:solidFill>
              <w14:schemeClr w14:val="tx1"/>
            </w14:solidFill>
          </w14:textFill>
        </w:rPr>
        <w:t>】%作为浮动管理费。本理财产品的浮动管理费计提评价日为本理财产品终止日。</w:t>
      </w:r>
      <w:r>
        <w:rPr>
          <w:rFonts w:ascii="Arial" w:hAnsi="Arial" w:cs="Arial" w:eastAsiaTheme="minorEastAsia"/>
          <w:b/>
          <w:color w:val="000000" w:themeColor="text1"/>
          <w:kern w:val="0"/>
          <w:sz w:val="22"/>
          <w:szCs w:val="22"/>
          <w:highlight w:val="none"/>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浮动管理费计算方法如下：</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×365/D</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X 表示本理财产品的不同份额，本理财产品份额类型以本理财产品说明书相关约定为准</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 xml:space="preserve">为本理财产品终止日X份额计提浮动管理费前的持有期年化投资收益率（按四舍五入法保留6位小数）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xml:space="preserve">为本理财产品终止日X份额浮动管理费计提前的产品累计单位净值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为本理财产品成立日X份额的期初单位净值</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D为理财产品成立日（含）至本理财产品终止日（含）的持有天数</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30.00</w:t>
      </w:r>
      <w:r>
        <w:rPr>
          <w:rFonts w:ascii="Arial" w:hAnsi="Arial" w:cs="Arial" w:eastAsiaTheme="minorEastAsia"/>
          <w:color w:val="000000"/>
          <w:sz w:val="22"/>
          <w:szCs w:val="22"/>
          <w:highlight w:val="none"/>
        </w:rPr>
        <w:t>】%</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为本理财产品终止日X份额应计提的浮动管理费费率</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为X份额的浮动管理费计提基准</w:t>
      </w:r>
    </w:p>
    <w:p>
      <w:pPr>
        <w:spacing w:line="360" w:lineRule="auto"/>
        <w:ind w:right="141" w:firstLine="440" w:firstLineChars="20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F</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=M</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×本理财产品X份额终止日的总份额×P</w:t>
      </w:r>
      <w:r>
        <w:rPr>
          <w:rFonts w:ascii="Arial" w:hAnsi="Arial" w:cs="Arial" w:eastAsiaTheme="minorEastAsia"/>
          <w:color w:val="000000"/>
          <w:kern w:val="0"/>
          <w:sz w:val="22"/>
          <w:szCs w:val="22"/>
          <w:highlight w:val="none"/>
          <w:vertAlign w:val="subscript"/>
        </w:rPr>
        <w:t>X成立日单位净值</w:t>
      </w:r>
      <w:r>
        <w:rPr>
          <w:rFonts w:ascii="Arial" w:hAnsi="Arial" w:cs="Arial" w:eastAsiaTheme="minorEastAsia"/>
          <w:color w:val="000000"/>
          <w:kern w:val="0"/>
          <w:sz w:val="22"/>
          <w:szCs w:val="22"/>
          <w:highlight w:val="none"/>
        </w:rPr>
        <w:t>×D/365</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为管理人向X份额收取的浮动管理费（按四舍五入法保留2位小数）</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于每日模拟产品在当日终止的情形，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增值税及附加税费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 </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其它费用</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widowControl/>
        <w:numPr>
          <w:ilvl w:val="0"/>
          <w:numId w:val="16"/>
        </w:numPr>
        <w:autoSpaceDE w:val="0"/>
        <w:autoSpaceDN w:val="0"/>
        <w:adjustRightInd w:val="0"/>
        <w:spacing w:line="360" w:lineRule="auto"/>
        <w:ind w:left="0"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本理财产品的产品成立日不计提固定费用。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认购费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本理财产品不收取认购费。</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费用调整</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bookmarkStart w:id="0" w:name="TCSignYear"/>
      <w:bookmarkEnd w:id="0"/>
      <w:bookmarkStart w:id="1" w:name="TCSignMonth"/>
      <w:bookmarkEnd w:id="1"/>
      <w:bookmarkStart w:id="2" w:name="TAttachment"/>
      <w:bookmarkEnd w:id="2"/>
      <w:bookmarkStart w:id="3" w:name="TCSignDay"/>
      <w:bookmarkEnd w:id="3"/>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 xml:space="preserve">管理人有权根据国家政策和适用法律的规定并结合实际情况，对本理财产品收费项目、收费条件、计算方法、收取方式及费率等在约定范围内进行调整，具体以管理人公告为准。  </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超出约定范围的调整，管理人将至少提前5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产品收益分配</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收益的构成</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eastAsiaTheme="minorEastAsia"/>
          <w:b/>
          <w:color w:val="000000"/>
          <w:sz w:val="22"/>
          <w:szCs w:val="22"/>
          <w:highlight w:val="none"/>
        </w:rPr>
        <w:t>该收益的构成不代表投资者一定可以获得收益。</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收益分配原则</w:t>
      </w:r>
    </w:p>
    <w:p>
      <w:pPr>
        <w:numPr>
          <w:ilvl w:val="0"/>
          <w:numId w:val="18"/>
        </w:numPr>
        <w:spacing w:line="360" w:lineRule="auto"/>
        <w:ind w:left="0" w:firstLine="440" w:firstLineChars="200"/>
        <w:rPr>
          <w:rFonts w:ascii="Arial" w:hAnsi="Arial" w:cs="Arial" w:eastAsiaTheme="minorEastAsia"/>
          <w:color w:val="000000"/>
          <w:sz w:val="22"/>
          <w:szCs w:val="22"/>
          <w:highlight w:val="none"/>
        </w:rPr>
      </w:pPr>
      <w:r>
        <w:rPr>
          <w:rFonts w:ascii="Arial" w:hAnsi="Arial" w:cs="Arial" w:eastAsiaTheme="minorEastAsia"/>
          <w:snapToGrid w:val="0"/>
          <w:color w:val="000000"/>
          <w:sz w:val="22"/>
          <w:szCs w:val="22"/>
          <w:highlight w:val="none"/>
        </w:rPr>
        <w:t>收益采用现金分配方式</w:t>
      </w:r>
      <w:r>
        <w:rPr>
          <w:rFonts w:ascii="Arial" w:hAnsi="Arial" w:cs="Arial" w:eastAsiaTheme="minorEastAsia"/>
          <w:color w:val="000000"/>
          <w:sz w:val="22"/>
          <w:szCs w:val="22"/>
          <w:highlight w:val="none"/>
        </w:rPr>
        <w:t>；</w:t>
      </w:r>
    </w:p>
    <w:p>
      <w:pPr>
        <w:numPr>
          <w:ilvl w:val="0"/>
          <w:numId w:val="18"/>
        </w:numPr>
        <w:snapToGrid w:val="0"/>
        <w:spacing w:line="360" w:lineRule="auto"/>
        <w:ind w:left="0" w:firstLine="442" w:firstLineChars="200"/>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同一类别的每一份额享有同等分配权</w:t>
      </w:r>
      <w:r>
        <w:rPr>
          <w:rFonts w:ascii="Arial" w:hAnsi="Arial" w:cs="Arial" w:eastAsiaTheme="minorEastAsia"/>
          <w:snapToGrid w:val="0"/>
          <w:color w:val="000000"/>
          <w:sz w:val="22"/>
          <w:szCs w:val="22"/>
          <w:highlight w:val="none"/>
        </w:rPr>
        <w:t>。</w:t>
      </w:r>
    </w:p>
    <w:p>
      <w:pPr>
        <w:snapToGrid w:val="0"/>
        <w:spacing w:line="360" w:lineRule="auto"/>
        <w:ind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如投资周期内涉及收益分配的，具体分配规则以管理人的公告为准。</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风险示例</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本理财产品实际收益率容易受到企业信用变化、市场利率的变化、实际投资运作情况以及投资管理方投资能力的影响，</w:t>
      </w:r>
      <w:r>
        <w:rPr>
          <w:rFonts w:ascii="Arial" w:hAnsi="Arial" w:cs="Arial" w:eastAsiaTheme="minorEastAsia"/>
          <w:b/>
          <w:color w:val="000000"/>
          <w:sz w:val="22"/>
          <w:szCs w:val="22"/>
          <w:highlight w:val="none"/>
        </w:rPr>
        <w:t>在发生资产违约且无法正常处置等最不利的情况下，本理财产品收益率可能为零或负，投资者有可能损失全部本金。</w:t>
      </w:r>
      <w:r>
        <w:rPr>
          <w:rFonts w:ascii="Arial" w:hAnsi="Arial" w:cs="Arial" w:eastAsiaTheme="minorEastAsia"/>
          <w:color w:val="000000"/>
          <w:sz w:val="22"/>
          <w:szCs w:val="22"/>
          <w:highlight w:val="none"/>
        </w:rPr>
        <w:t>对于因信用风险导致的损失，管理人将向发生信用风险的投资品种的发行主体进行追偿。所追偿的全部收益在扣除相关费用后，将继续向投资者进行清偿。</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产品终止和清算</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出现以下情况，管理人有权终止本理财产品：</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本理财产品期限届满的；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根据法律法规规定、监管要求、本理财产品销售文件约定等需要终止本理财产品的；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经投资者、管理人、托管人协商一致后决定终止的；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因不可抗力或意外事件导致产品管理人无法继续履行本理财产品销售文件约定事项的；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管理人根据市场情况、实际投资情况、产品运营情况等认为需要终止产品的。</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理财产品清算程序：</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本理财产品终止情形出现时，由管理人及托管人对产品进行清算；</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对本理财产品财产和债权债务进行清理和确认；</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对本理财产品财产进行估值和变现；</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制作本理财产品到期报告；</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对本理财产品剩余财产进行分配。</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理财产品财产清算剩余资产的分配</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依据理财产品财产清算的分配方案，在理财产品终止日如理财产品项下资产全部变现，将理财产品财产清算后的全部剩余资产扣除理财产品财产清算费用、交纳所欠税款并清偿理财产品债务，按照“四、交易规则”中的约定，计算各类份额的资产净值，并以各类份额资产净值为限，按照投资者持有该类份额比例在5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四、交易规则”中的约定，计算各类份额对应的可分配资产净值，并按照各投资者持有理财产品某一类份额占该类份额比例在5个工作日内向投资者分配。对于未变现资产部分，管理人以投资者利益最大化的原则，寻求未变现资产变现方式，在资产变现后，扣除应由理财产品承担的税费及费用后，参考“四、交易规则”中的约定，计算各类份额对应的剩余可分配资产净值，按照各投资者持有理财产品某一类份额占该类份额比例在5个工作日内向投资者分配。自终止日起资金不计付收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信息披露</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本理财产品的公开信息将按照产品说明书约定通过管理人授权的场所进行披露。</w:t>
      </w:r>
    </w:p>
    <w:p>
      <w:pPr>
        <w:tabs>
          <w:tab w:val="left" w:pos="8647"/>
        </w:tabs>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本理财产品信息披露的具体内容和时间规定等详见本理财产品销售文件，请投资者详细阅读并注意查阅相关产品信息。</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信息披露的渠道 </w:t>
      </w:r>
    </w:p>
    <w:p>
      <w:p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平安理财官方网站（https://wm.pingan.com）及管理人授权销售服务机构指定信息披露渠道（官方网站或APP或营业网点等）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eastAsiaTheme="minorEastAsia"/>
          <w:sz w:val="22"/>
          <w:szCs w:val="22"/>
          <w:highlight w:val="none"/>
        </w:rPr>
        <w:t xml:space="preserve">以上相关信息自披露之日即视为已送达投资者，也视为管理人与销售服务机构已适当披露代销本理财产品相关信息。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如有新增授权的信息披露场所，将以管理人公告为准。</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信息披露的内容和时间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理财产品发行公告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成立之后5个工作日内披露发行公告，包括本理财产品成立日期和募集规模等信息。若认购期内新出台的法律、法规导致本理财产品不适宜成立运行，或出现其他经管理人合理判断认为影响本理财产品正常运作的情况，则管理人有权宣布本理财产品不能成立，并在决定本理财产品不成立后的5个工作日内进行披露。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管理人将在每个季度结束之日起的 15 个工作日内、每个上半年度结束之日起的60个工作日内、每个年度结束之日起的90个工作日内向投资者披露季度、半年和年度报告等定期报告。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本理财产品成立不足90个工作日或者剩余存续期不超过90个工作日的，管理人可以不编制本理财产品当期的季度、半年和年度报告。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管理人将在本理财产品定期报告中披露本理财产品在季度、半年和年度最后一个交易日的理财产品的份额净值、份额累计净值和资产净值等。</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管理人有权仅向本理财产品持有人披露定期报告。</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理财产品临时性信息披露 </w:t>
      </w:r>
    </w:p>
    <w:p>
      <w:pPr>
        <w:pStyle w:val="20"/>
        <w:numPr>
          <w:ilvl w:val="0"/>
          <w:numId w:val="24"/>
        </w:numPr>
        <w:spacing w:line="360" w:lineRule="auto"/>
        <w:ind w:left="0"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发生管理人、托管人变更情形的，管理人将提前 5 个工作日以临时公告形式向投资者进行信息披露。 </w:t>
      </w:r>
    </w:p>
    <w:p>
      <w:pPr>
        <w:pStyle w:val="20"/>
        <w:numPr>
          <w:ilvl w:val="0"/>
          <w:numId w:val="24"/>
        </w:numPr>
        <w:spacing w:line="360" w:lineRule="auto"/>
        <w:ind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在本理财产品存续期间，管理人对本理财产品投资范围或比例或其他经管理人判断可能对本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5个工作日内划转至投资者账户。逾期未赎回的视为投资者书面同意相关调整并继续持有本理财产品。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理财产品重大事项公告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理财产品到期公告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管理人将在本理财产品终止后的5个工作日内披露本理财产品到期公告。终止公告的内容包括本理财产品的存续期限、终止日期、收费情况和收益分配情况等信息。 </w:t>
      </w:r>
    </w:p>
    <w:p>
      <w:pPr>
        <w:widowControl/>
        <w:numPr>
          <w:ilvl w:val="0"/>
          <w:numId w:val="23"/>
        </w:numPr>
        <w:spacing w:line="360" w:lineRule="auto"/>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产品存续期间，投资者应定期通过本条第1款“信息披露的渠道”获取与本理财产品相关的信息。 </w:t>
      </w:r>
    </w:p>
    <w:p>
      <w:pPr>
        <w:widowControl/>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5个工作日通过授权进行信息披露的场所发布相关信息公告通知投资者。修订后的本理财产品销售文件对投资者具有法律约束力。</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风险揭示</w:t>
      </w:r>
    </w:p>
    <w:p>
      <w:pPr>
        <w:tabs>
          <w:tab w:val="left" w:pos="8647"/>
        </w:tabs>
        <w:adjustRightInd w:val="0"/>
        <w:snapToGrid w:val="0"/>
        <w:spacing w:line="360" w:lineRule="auto"/>
        <w:ind w:firstLine="440"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sz w:val="22"/>
          <w:szCs w:val="22"/>
          <w:highlight w:val="none"/>
        </w:rPr>
        <w:t>管理人对本理财产品的本金和收益不提供保证承诺</w:t>
      </w:r>
      <w:r>
        <w:rPr>
          <w:rFonts w:ascii="Arial" w:hAnsi="Arial" w:cs="Arial" w:eastAsiaTheme="minorEastAsia"/>
          <w:snapToGrid w:val="0"/>
          <w:color w:val="000000"/>
          <w:sz w:val="22"/>
          <w:szCs w:val="22"/>
          <w:highlight w:val="none"/>
        </w:rPr>
        <w:t>，您的本金可能因市场变动而蒙受重大损失，您应充分认识投资风险，谨慎投资。</w:t>
      </w: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本理财产品有投资风险，不保证理财本金和收益，投资者应该充分认识投资风险，谨慎投资。</w:t>
      </w:r>
      <w:r>
        <w:rPr>
          <w:rFonts w:ascii="Arial" w:hAnsi="Arial" w:cs="Arial" w:eastAsiaTheme="minorEastAsia"/>
          <w:snapToGrid w:val="0"/>
          <w:color w:val="000000"/>
          <w:sz w:val="22"/>
          <w:szCs w:val="22"/>
          <w:highlight w:val="none"/>
        </w:rPr>
        <w:t>本理财产品风险揭示内容详见《平安理财新启航第406期封闭固收类理财产品风险揭示书》，请投资者详细阅读，在充分了解并清楚知晓本理财产品蕴含风险的基础上，通过自身判断自主参与交易，并自愿承担相关风险。</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其他重要事项说明</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1.</w:t>
      </w:r>
      <w:r>
        <w:rPr>
          <w:rFonts w:ascii="Arial" w:hAnsi="Arial" w:cs="Arial" w:eastAsiaTheme="minorEastAsia"/>
          <w:b/>
          <w:snapToGrid w:val="0"/>
          <w:color w:val="000000"/>
          <w:sz w:val="22"/>
          <w:szCs w:val="22"/>
          <w:highlight w:val="none"/>
        </w:rPr>
        <w:t>由于投资者原因导致管理人终止双方理财关系的情形</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若因投资者原因导致扣款失败，则投资者认购本理财产品失败。</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由于投资者原因导致，在法律允许的范围内管理人认定必须终止与该投资者对于本理财产品的理财关系的其他情形。</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2.</w:t>
      </w:r>
      <w:r>
        <w:rPr>
          <w:rFonts w:ascii="Arial" w:hAnsi="Arial" w:cs="Arial" w:eastAsiaTheme="minorEastAsia"/>
          <w:b/>
          <w:snapToGrid w:val="0"/>
          <w:color w:val="000000"/>
          <w:sz w:val="22"/>
          <w:szCs w:val="22"/>
          <w:highlight w:val="none"/>
        </w:rPr>
        <w:t>理财产品销售文件违约</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本理财产品存续期内，投资者不得以本理财资金设定除销售服务机构或管理人外其他任何第三方权益。</w:t>
      </w:r>
      <w:r>
        <w:rPr>
          <w:rFonts w:ascii="Arial" w:hAnsi="Arial" w:cs="Arial" w:eastAsiaTheme="minorEastAsia"/>
          <w:snapToGrid w:val="0"/>
          <w:color w:val="000000"/>
          <w:sz w:val="22"/>
          <w:szCs w:val="22"/>
          <w:highlight w:val="none"/>
        </w:rPr>
        <w:t>如因司法或行政机构采取强制措施导致理财账户内资产的部分或全部被扣划，均被视为投资者违反本理财产品销售文件，投资者应承担由此造成的全部经济损失。</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本理财产品</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适用中国法律并依据中国法律解释。为本</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之目的，中国法律指中华人民共和国大陆地区的法律，不包括香港特别行政区、澳门特别行政区和台湾地区的法律。</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b/>
          <w:snapToGrid w:val="0"/>
          <w:color w:val="000000"/>
          <w:sz w:val="22"/>
          <w:szCs w:val="22"/>
          <w:highlight w:val="none"/>
        </w:rPr>
      </w:pPr>
      <w:r>
        <w:rPr>
          <w:rFonts w:hint="eastAsia" w:ascii="Arial" w:hAnsi="Arial" w:cs="Arial" w:eastAsiaTheme="minorEastAsia"/>
          <w:b/>
          <w:snapToGrid w:val="0"/>
          <w:color w:val="000000"/>
          <w:sz w:val="22"/>
          <w:szCs w:val="22"/>
          <w:highlight w:val="none"/>
        </w:rPr>
        <w:t>3.</w:t>
      </w:r>
      <w:r>
        <w:rPr>
          <w:rFonts w:ascii="Arial" w:hAnsi="Arial" w:cs="Arial" w:eastAsiaTheme="minorEastAsia"/>
          <w:b/>
          <w:snapToGrid w:val="0"/>
          <w:color w:val="000000"/>
          <w:sz w:val="22"/>
          <w:szCs w:val="22"/>
          <w:highlight w:val="none"/>
        </w:rPr>
        <w:t>保密信息</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销售文件另有约定的。前述保密义务不因本理财产品销售文件或相关协议的无效、被撤销、终止而受影响。 </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特别提示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本理财产品说明书与《平安理财新启航第406期封闭固收类理财产品风险揭示书》、《投资协议书》、《代理销售协议书》、《客户权益须知》共同构成本理财产品销售文件。</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本理财产品说明书为《投资协议书》不可分割之组成部分，与《投资协议书》不同之处，以本理财产品说明书为准。</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本理财产品仅向依据中华人民共和国有关法律法规及本理财产品说明书规定可以购买本理财产品的个人投资者和机构投资者发售。</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在购买本理财产品前，请投资者确保完全了解本理财产品的性质、其中涉及的风险以及投资者的自身情况。</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本理财产品说明书中任何其他收益表述均属不具有法律约束力的用语，不代表投资者可能获得的实际收益，亦不构成管理人对本理财产品的额外收益承诺。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本理财产品只根据本理财产品说明书所载的内容操作。</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本理财产品不等同于银行存款。</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如投资者对本理财产品说明书存在任何意见或建议，投资者可通过</w:t>
      </w:r>
      <w:r>
        <w:rPr>
          <w:rFonts w:ascii="Arial" w:hAnsi="Arial" w:cs="Arial" w:eastAsiaTheme="minorEastAsia"/>
          <w:b/>
          <w:sz w:val="22"/>
          <w:szCs w:val="22"/>
          <w:highlight w:val="none"/>
        </w:rPr>
        <w:t>《代理销售协议书》披露的方式</w:t>
      </w:r>
      <w:r>
        <w:rPr>
          <w:rFonts w:ascii="Arial" w:hAnsi="Arial" w:cs="Arial" w:eastAsiaTheme="minorEastAsia"/>
          <w:b/>
          <w:color w:val="000000"/>
          <w:sz w:val="22"/>
          <w:szCs w:val="22"/>
          <w:highlight w:val="none"/>
        </w:rPr>
        <w:t>进行咨询或投诉。</w:t>
      </w:r>
    </w:p>
    <w:p>
      <w:pPr>
        <w:spacing w:line="360" w:lineRule="auto"/>
        <w:ind w:firstLine="444" w:firstLineChars="202"/>
        <w:rPr>
          <w:rFonts w:ascii="Arial" w:hAnsi="Arial" w:cs="Arial" w:eastAsiaTheme="minorEastAsia"/>
          <w:color w:val="000000"/>
          <w:sz w:val="22"/>
          <w:szCs w:val="22"/>
          <w:highlight w:val="none"/>
        </w:rPr>
      </w:pPr>
    </w:p>
    <w:p>
      <w:pPr>
        <w:tabs>
          <w:tab w:val="left" w:pos="8647"/>
        </w:tabs>
        <w:adjustRightInd w:val="0"/>
        <w:snapToGrid w:val="0"/>
        <w:spacing w:line="360" w:lineRule="auto"/>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w:t>
      </w:r>
    </w:p>
    <w:p>
      <w:pPr>
        <w:adjustRightInd w:val="0"/>
        <w:snapToGrid w:val="0"/>
        <w:spacing w:line="360" w:lineRule="auto"/>
        <w:ind w:firstLine="442" w:firstLineChars="200"/>
        <w:rPr>
          <w:rFonts w:ascii="Arial" w:hAnsi="Arial" w:cs="Arial" w:eastAsiaTheme="minorEastAsia"/>
          <w:b/>
          <w:bCs/>
          <w:color w:val="000000"/>
          <w:kern w:val="0"/>
          <w:sz w:val="22"/>
          <w:szCs w:val="22"/>
          <w:highlight w:val="none"/>
        </w:rPr>
      </w:pPr>
      <w:r>
        <w:rPr>
          <w:rFonts w:ascii="Arial" w:hAnsi="Arial" w:cs="Arial" w:eastAsiaTheme="minorEastAsia"/>
          <w:b/>
          <w:bCs/>
          <w:color w:val="000000"/>
          <w:kern w:val="0"/>
          <w:sz w:val="22"/>
          <w:szCs w:val="22"/>
          <w:highlight w:val="none"/>
        </w:rPr>
        <w:t>本理财产品投资者已阅读并领取《平安理财新启航第406期封闭固收类理财产品说明书》，充分了解本理财产品的收益和风险，自愿购买。</w:t>
      </w:r>
    </w:p>
    <w:p>
      <w:pPr>
        <w:adjustRightInd w:val="0"/>
        <w:snapToGrid w:val="0"/>
        <w:spacing w:line="360" w:lineRule="auto"/>
        <w:ind w:firstLine="442" w:firstLineChars="200"/>
        <w:textAlignment w:val="center"/>
        <w:rPr>
          <w:rFonts w:ascii="Arial" w:hAnsi="Arial" w:cs="Arial" w:eastAsiaTheme="minorEastAsia"/>
          <w:b/>
          <w:bCs/>
          <w:color w:val="000000"/>
          <w:kern w:val="0"/>
          <w:sz w:val="22"/>
          <w:szCs w:val="22"/>
          <w:highlight w:val="none"/>
        </w:rPr>
      </w:pP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bCs/>
          <w:color w:val="000000"/>
          <w:kern w:val="0"/>
          <w:sz w:val="22"/>
          <w:szCs w:val="22"/>
          <w:highlight w:val="none"/>
        </w:rPr>
        <w:t xml:space="preserve">投资者签字：                     </w:t>
      </w:r>
      <w:r>
        <w:rPr>
          <w:rFonts w:ascii="Arial" w:hAnsi="Arial" w:cs="Arial" w:eastAsiaTheme="minorEastAsia"/>
          <w:b/>
          <w:bCs/>
          <w:color w:val="000000"/>
          <w:kern w:val="0"/>
          <w:sz w:val="24"/>
          <w:highlight w:val="none"/>
        </w:rPr>
        <w:t xml:space="preserve">      </w:t>
      </w:r>
      <w:r>
        <w:rPr>
          <w:rFonts w:ascii="Arial" w:hAnsi="Arial" w:cs="Arial" w:eastAsiaTheme="minorEastAsia"/>
          <w:b/>
          <w:bCs/>
          <w:color w:val="000000"/>
          <w:kern w:val="0"/>
          <w:sz w:val="22"/>
          <w:szCs w:val="22"/>
          <w:highlight w:val="none"/>
        </w:rPr>
        <w:t xml:space="preserve"> 日期：</w:t>
      </w:r>
      <w:r>
        <w:rPr>
          <w:rFonts w:ascii="Arial" w:hAnsi="Arial" w:cs="Arial" w:eastAsiaTheme="minorEastAsia"/>
          <w:b/>
          <w:bCs/>
          <w:color w:val="000000"/>
          <w:kern w:val="0"/>
          <w:sz w:val="24"/>
          <w:highlight w:val="none"/>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宋体">
    <w:panose1 w:val="02010600030101010101"/>
    <w:charset w:val="86"/>
    <w:family w:val="auto"/>
    <w:pitch w:val="variable"/>
    <w:sig w:usb0="0000020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1</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113C626D"/>
    <w:multiLevelType w:val="multilevel"/>
    <w:tmpl w:val="113C626D"/>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281443FE"/>
    <w:multiLevelType w:val="multilevel"/>
    <w:tmpl w:val="281443FE"/>
    <w:lvl w:ilvl="0" w:tentative="0">
      <w:start w:val="1"/>
      <w:numFmt w:val="decimal"/>
      <w:lvlText w:val="%1."/>
      <w:lvlJc w:val="left"/>
      <w:pPr>
        <w:ind w:left="360"/>
      </w:pPr>
      <w:rPr>
        <w:rFonts w:hint="default" w:ascii="Arial" w:hAnsi="Arial" w:eastAsia="宋体-PUA"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8">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9">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2">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3">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4">
    <w:nsid w:val="3A940FF7"/>
    <w:multiLevelType w:val="multilevel"/>
    <w:tmpl w:val="3A940FF7"/>
    <w:lvl w:ilvl="0" w:tentative="0">
      <w:start w:val="1"/>
      <w:numFmt w:val="decimal"/>
      <w:lvlText w:val="%1."/>
      <w:lvlJc w:val="left"/>
      <w:pPr>
        <w:ind w:left="792" w:hanging="36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15">
    <w:nsid w:val="3D884594"/>
    <w:multiLevelType w:val="multilevel"/>
    <w:tmpl w:val="3D884594"/>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6">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1">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2">
    <w:nsid w:val="5FE63E61"/>
    <w:multiLevelType w:val="multilevel"/>
    <w:tmpl w:val="5FE63E61"/>
    <w:lvl w:ilvl="0" w:tentative="0">
      <w:start w:val="1"/>
      <w:numFmt w:val="decimal"/>
      <w:lvlText w:val="（%1）"/>
      <w:lvlJc w:val="left"/>
      <w:pPr>
        <w:ind w:left="620" w:hanging="420"/>
      </w:pPr>
      <w:rPr>
        <w:rFonts w:hint="eastAsia"/>
        <w:lang w:val="en-US"/>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3">
    <w:nsid w:val="66BA2C95"/>
    <w:multiLevelType w:val="multilevel"/>
    <w:tmpl w:val="66BA2C95"/>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4">
    <w:nsid w:val="6CB1042F"/>
    <w:multiLevelType w:val="multilevel"/>
    <w:tmpl w:val="6CB1042F"/>
    <w:lvl w:ilvl="0" w:tentative="0">
      <w:start w:val="1"/>
      <w:numFmt w:val="decimal"/>
      <w:lvlText w:val="%1."/>
      <w:lvlJc w:val="left"/>
      <w:pPr>
        <w:ind w:left="852" w:hanging="420"/>
      </w:p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25">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2"/>
  </w:num>
  <w:num w:numId="2">
    <w:abstractNumId w:val="10"/>
  </w:num>
  <w:num w:numId="3">
    <w:abstractNumId w:val="24"/>
  </w:num>
  <w:num w:numId="4">
    <w:abstractNumId w:val="14"/>
  </w:num>
  <w:num w:numId="5">
    <w:abstractNumId w:val="11"/>
  </w:num>
  <w:num w:numId="6">
    <w:abstractNumId w:val="5"/>
  </w:num>
  <w:num w:numId="7">
    <w:abstractNumId w:val="13"/>
  </w:num>
  <w:num w:numId="8">
    <w:abstractNumId w:val="6"/>
  </w:num>
  <w:num w:numId="9">
    <w:abstractNumId w:val="21"/>
  </w:num>
  <w:num w:numId="10">
    <w:abstractNumId w:val="22"/>
  </w:num>
  <w:num w:numId="11">
    <w:abstractNumId w:val="15"/>
  </w:num>
  <w:num w:numId="12">
    <w:abstractNumId w:val="23"/>
  </w:num>
  <w:num w:numId="13">
    <w:abstractNumId w:val="3"/>
  </w:num>
  <w:num w:numId="14">
    <w:abstractNumId w:val="8"/>
  </w:num>
  <w:num w:numId="15">
    <w:abstractNumId w:val="16"/>
  </w:num>
  <w:num w:numId="16">
    <w:abstractNumId w:val="9"/>
  </w:num>
  <w:num w:numId="17">
    <w:abstractNumId w:val="20"/>
  </w:num>
  <w:num w:numId="18">
    <w:abstractNumId w:val="0"/>
  </w:num>
  <w:num w:numId="19">
    <w:abstractNumId w:val="2"/>
  </w:num>
  <w:num w:numId="20">
    <w:abstractNumId w:val="18"/>
  </w:num>
  <w:num w:numId="21">
    <w:abstractNumId w:val="17"/>
  </w:num>
  <w:num w:numId="22">
    <w:abstractNumId w:val="7"/>
  </w:num>
  <w:num w:numId="23">
    <w:abstractNumId w:val="25"/>
  </w:num>
  <w:num w:numId="24">
    <w:abstractNumId w:val="19"/>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2A27"/>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2641"/>
    <w:rsid w:val="005539C8"/>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6457"/>
    <w:rsid w:val="00A16E51"/>
    <w:rsid w:val="00A2149E"/>
    <w:rsid w:val="00A221C4"/>
    <w:rsid w:val="00A24B66"/>
    <w:rsid w:val="00A255EF"/>
    <w:rsid w:val="00A26534"/>
    <w:rsid w:val="00A30BEE"/>
    <w:rsid w:val="00A31041"/>
    <w:rsid w:val="00A32E00"/>
    <w:rsid w:val="00A33697"/>
    <w:rsid w:val="00A34E1D"/>
    <w:rsid w:val="00A42BD6"/>
    <w:rsid w:val="00A4378E"/>
    <w:rsid w:val="00A44637"/>
    <w:rsid w:val="00A4492C"/>
    <w:rsid w:val="00A45086"/>
    <w:rsid w:val="00A52EA6"/>
    <w:rsid w:val="00A54AB4"/>
    <w:rsid w:val="00A6203A"/>
    <w:rsid w:val="00A62795"/>
    <w:rsid w:val="00A641E0"/>
    <w:rsid w:val="00A64FF2"/>
    <w:rsid w:val="00A650DD"/>
    <w:rsid w:val="00A66919"/>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4E81"/>
    <w:rsid w:val="00AB01E6"/>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26"/>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2C619F7"/>
    <w:rsid w:val="04866512"/>
    <w:rsid w:val="04DE57A2"/>
    <w:rsid w:val="07EF4010"/>
    <w:rsid w:val="0B0E7430"/>
    <w:rsid w:val="0D82610D"/>
    <w:rsid w:val="0DBD709A"/>
    <w:rsid w:val="101A6D9B"/>
    <w:rsid w:val="11F22F34"/>
    <w:rsid w:val="176115FB"/>
    <w:rsid w:val="1AF87BC6"/>
    <w:rsid w:val="1B7433FC"/>
    <w:rsid w:val="20C57A31"/>
    <w:rsid w:val="247D4641"/>
    <w:rsid w:val="274B2C02"/>
    <w:rsid w:val="2AA76E47"/>
    <w:rsid w:val="2C00355C"/>
    <w:rsid w:val="3096375E"/>
    <w:rsid w:val="30F16848"/>
    <w:rsid w:val="34B30C64"/>
    <w:rsid w:val="3EC7711A"/>
    <w:rsid w:val="415F544E"/>
    <w:rsid w:val="41612CCF"/>
    <w:rsid w:val="43C95822"/>
    <w:rsid w:val="44AA4AF3"/>
    <w:rsid w:val="44EB11ED"/>
    <w:rsid w:val="45D419D1"/>
    <w:rsid w:val="501A1A7A"/>
    <w:rsid w:val="52B23907"/>
    <w:rsid w:val="564D31A3"/>
    <w:rsid w:val="574F3E1A"/>
    <w:rsid w:val="5D80032B"/>
    <w:rsid w:val="5E8343A9"/>
    <w:rsid w:val="5E9617EA"/>
    <w:rsid w:val="6005523E"/>
    <w:rsid w:val="61877226"/>
    <w:rsid w:val="61D2000C"/>
    <w:rsid w:val="624956CD"/>
    <w:rsid w:val="63514246"/>
    <w:rsid w:val="63600FD2"/>
    <w:rsid w:val="66C407B9"/>
    <w:rsid w:val="68CA43DE"/>
    <w:rsid w:val="6B333AEC"/>
    <w:rsid w:val="6CBB7EFE"/>
    <w:rsid w:val="6DCC1EB5"/>
    <w:rsid w:val="70AD325B"/>
    <w:rsid w:val="72767F12"/>
    <w:rsid w:val="76A8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25">
    <w:name w:val="网格型11"/>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D995C-D0E0-4F3A-B72A-498B6CE4CF27}">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26</Pages>
  <Words>19678</Words>
  <Characters>20478</Characters>
  <Lines>147</Lines>
  <Paragraphs>41</Paragraphs>
  <TotalTime>14</TotalTime>
  <ScaleCrop>false</ScaleCrop>
  <LinksUpToDate>false</LinksUpToDate>
  <CharactersWithSpaces>20567</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2024-12-16T08:25:00Z</dcterms:created>
  <dc:creator>PingAn</dc:creator>
  <cp:lastModifiedBy>EX-CHENJIANIAN001</cp:lastModifiedBy>
  <dcterms:modified xsi:type="dcterms:W3CDTF">2024-12-16T08:51:05Z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