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w:t>
      </w:r>
      <w:permStart w:id="0" w:edGrp="everyone"/>
      <w:r>
        <w:rPr>
          <w:rFonts w:hint="eastAsia" w:ascii="黑体" w:hAnsi="黑体" w:eastAsia="黑体"/>
          <w:b/>
          <w:bCs/>
          <w:sz w:val="28"/>
          <w:szCs w:val="28"/>
        </w:rPr>
        <w:t>【稳添利最短持有期日开固收类】</w:t>
      </w:r>
      <w:permEnd w:id="0"/>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w:t>
      </w:r>
      <w:r>
        <w:rPr>
          <w:rFonts w:hint="eastAsia" w:ascii="宋体" w:hAnsi="宋体"/>
          <w:sz w:val="18"/>
          <w:szCs w:val="18"/>
        </w:rPr>
        <w:t>兴银理财稳添利陆盈ESG201号(6个月最短持有期)日开固收类理财产品</w:t>
      </w:r>
      <w:r>
        <w:rPr>
          <w:rFonts w:hint="eastAsia" w:ascii="宋体" w:hAnsi="宋体" w:cs="仿宋_GB2312"/>
          <w:kern w:val="0"/>
          <w:sz w:val="18"/>
          <w:szCs w:val="18"/>
        </w:rPr>
        <w:t>】</w:t>
      </w:r>
      <w:permEnd w:id="1"/>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permStart w:id="2" w:edGrp="everyone"/>
      <w:r>
        <w:rPr>
          <w:rFonts w:hint="eastAsia" w:asciiTheme="majorEastAsia" w:hAnsiTheme="majorEastAsia" w:eastAsiaTheme="majorEastAsia"/>
          <w:bCs/>
          <w:kern w:val="0"/>
          <w:sz w:val="18"/>
          <w:szCs w:val="18"/>
        </w:rPr>
        <w:t>【</w:t>
      </w:r>
      <w:r>
        <w:rPr>
          <w:rFonts w:hint="eastAsia" w:ascii="宋体" w:hAnsi="宋体"/>
          <w:sz w:val="18"/>
          <w:szCs w:val="18"/>
        </w:rPr>
        <w:t>稳添利ESG陆盈201号</w:t>
      </w:r>
      <w:r>
        <w:rPr>
          <w:rFonts w:hint="eastAsia" w:ascii="宋体" w:hAnsi="宋体"/>
          <w:sz w:val="18"/>
          <w:szCs w:val="18"/>
          <w:lang w:val="en-US" w:eastAsia="zh-CN"/>
        </w:rPr>
        <w:t>F</w:t>
      </w:r>
      <w:r>
        <w:rPr>
          <w:rFonts w:hint="eastAsia" w:asciiTheme="majorEastAsia" w:hAnsiTheme="majorEastAsia" w:eastAsiaTheme="majorEastAsia"/>
          <w:bCs/>
          <w:kern w:val="0"/>
          <w:sz w:val="18"/>
          <w:szCs w:val="18"/>
        </w:rPr>
        <w:t>】</w:t>
      </w:r>
      <w:r>
        <w:rPr>
          <w:rFonts w:hint="eastAsia" w:ascii="宋体" w:hAnsi="宋体" w:cs="仿宋_GB2312"/>
          <w:kern w:val="0"/>
          <w:sz w:val="18"/>
          <w:szCs w:val="18"/>
        </w:rPr>
        <w:t>（适用【</w:t>
      </w:r>
      <w:r>
        <w:rPr>
          <w:rFonts w:hint="eastAsia" w:ascii="宋体" w:hAnsi="宋体" w:cs="仿宋_GB2312"/>
          <w:kern w:val="0"/>
          <w:sz w:val="18"/>
          <w:szCs w:val="18"/>
          <w:lang w:val="en-US" w:eastAsia="zh-CN"/>
        </w:rPr>
        <w:t>F</w:t>
      </w:r>
      <w:r>
        <w:rPr>
          <w:rFonts w:hint="eastAsia" w:ascii="宋体" w:hAnsi="宋体" w:cs="仿宋_GB2312"/>
          <w:kern w:val="0"/>
          <w:sz w:val="18"/>
          <w:szCs w:val="18"/>
        </w:rPr>
        <w:t>】类份额）</w:t>
      </w:r>
      <w:permEnd w:id="2"/>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permStart w:id="3" w:edGrp="everyone"/>
      <w:r>
        <w:rPr>
          <w:rFonts w:hint="eastAsia" w:ascii="宋体" w:hAnsi="宋体" w:cs="仿宋_GB2312"/>
          <w:kern w:val="0"/>
          <w:sz w:val="18"/>
          <w:szCs w:val="18"/>
        </w:rPr>
        <w:t>【</w:t>
      </w:r>
      <w:r>
        <w:rPr>
          <w:rFonts w:hint="eastAsia" w:asciiTheme="minorEastAsia" w:hAnsiTheme="minorEastAsia"/>
          <w:sz w:val="18"/>
          <w:szCs w:val="18"/>
        </w:rPr>
        <w:t>Z7002024002105</w:t>
      </w:r>
      <w:r>
        <w:rPr>
          <w:rFonts w:hint="eastAsia" w:ascii="宋体" w:hAnsi="宋体" w:cs="仿宋_GB2312"/>
          <w:kern w:val="0"/>
          <w:sz w:val="18"/>
          <w:szCs w:val="18"/>
        </w:rPr>
        <w:t>】</w:t>
      </w:r>
      <w:permEnd w:id="3"/>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permStart w:id="4" w:edGrp="everyone"/>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permStart w:id="5" w:edGrp="everyone"/>
      <w:r>
        <w:rPr>
          <w:rFonts w:hint="eastAsia" w:ascii="宋体" w:hAnsi="宋体" w:cs="仿宋_GB2312"/>
          <w:kern w:val="0"/>
          <w:sz w:val="18"/>
          <w:szCs w:val="18"/>
        </w:rPr>
        <w:t>【无固定期限】</w:t>
      </w:r>
      <w:permEnd w:id="5"/>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permStart w:id="6" w:edGrp="everyone"/>
      <w:r>
        <w:rPr>
          <w:rFonts w:hint="eastAsia" w:ascii="宋体" w:hAnsi="宋体" w:cs="仿宋_GB2312"/>
          <w:kern w:val="0"/>
          <w:sz w:val="18"/>
          <w:szCs w:val="18"/>
        </w:rPr>
        <w:t>【R2</w:t>
      </w:r>
      <w:r>
        <w:rPr>
          <w:rFonts w:ascii="宋体" w:hAnsi="宋体" w:cs="仿宋_GB2312"/>
          <w:kern w:val="0"/>
          <w:sz w:val="18"/>
          <w:szCs w:val="18"/>
        </w:rPr>
        <w:t>】</w:t>
      </w:r>
      <w:permEnd w:id="6"/>
      <w:r>
        <w:rPr>
          <w:rFonts w:hint="eastAsia" w:ascii="宋体" w:hAnsi="宋体" w:cs="仿宋_GB2312"/>
          <w:kern w:val="0"/>
          <w:sz w:val="18"/>
          <w:szCs w:val="18"/>
        </w:rPr>
        <w:t>（产品管理人定义的产品风险评级为</w:t>
      </w:r>
      <w:permStart w:id="7" w:edGrp="everyone"/>
      <w:r>
        <w:rPr>
          <w:rFonts w:hint="eastAsia" w:ascii="宋体" w:hAnsi="宋体" w:cs="仿宋_GB2312"/>
          <w:kern w:val="0"/>
          <w:sz w:val="18"/>
          <w:szCs w:val="18"/>
        </w:rPr>
        <w:t>【R2</w:t>
      </w:r>
      <w:r>
        <w:rPr>
          <w:rFonts w:ascii="宋体" w:hAnsi="宋体" w:cs="仿宋_GB2312"/>
          <w:kern w:val="0"/>
          <w:sz w:val="18"/>
          <w:szCs w:val="18"/>
        </w:rPr>
        <w:t>】</w:t>
      </w:r>
      <w:permEnd w:id="7"/>
      <w:r>
        <w:rPr>
          <w:rFonts w:hint="eastAsia" w:ascii="宋体" w:hAnsi="宋体" w:cs="仿宋_GB2312"/>
          <w:kern w:val="0"/>
          <w:sz w:val="18"/>
          <w:szCs w:val="18"/>
        </w:rPr>
        <w:t>；代理销售机构定义的产品风险评级为</w:t>
      </w:r>
      <w:permStart w:id="8" w:edGrp="everyone"/>
      <w:r>
        <w:rPr>
          <w:rFonts w:hint="eastAsia" w:ascii="宋体" w:hAnsi="宋体" w:cs="仿宋_GB2312"/>
          <w:kern w:val="0"/>
          <w:sz w:val="18"/>
          <w:szCs w:val="18"/>
        </w:rPr>
        <w:t>【R2】</w:t>
      </w:r>
      <w:permEnd w:id="8"/>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permStart w:id="9" w:edGrp="everyone"/>
      <w:r>
        <w:rPr>
          <w:rFonts w:hint="eastAsia" w:asciiTheme="majorEastAsia" w:hAnsiTheme="majorEastAsia" w:eastAsiaTheme="majorEastAsia"/>
          <w:bCs/>
          <w:color w:val="000000" w:themeColor="text1"/>
          <w:sz w:val="18"/>
          <w:szCs w:val="18"/>
          <w14:textFill>
            <w14:solidFill>
              <w14:schemeClr w14:val="tx1"/>
            </w14:solidFill>
          </w14:textFill>
        </w:rPr>
        <w:t>■个人投资者：【□  CR1、■ CR2、■ CR3、■ CR4、■ CR5】。</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客户，□金融同业客户。</w:t>
      </w:r>
    </w:p>
    <w:permEnd w:id="9"/>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10"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ind w:firstLine="360" w:firstLineChars="200"/>
        <w:rPr>
          <w:rFonts w:ascii="宋体" w:hAnsi="宋体"/>
          <w:sz w:val="18"/>
          <w:szCs w:val="18"/>
        </w:rPr>
      </w:pPr>
      <w:r>
        <w:rPr>
          <w:rFonts w:ascii="宋体" w:hAnsi="宋体"/>
          <w:sz w:val="18"/>
          <w:szCs w:val="18"/>
        </w:rPr>
        <w:t xml:space="preserve"> </w:t>
      </w:r>
    </w:p>
    <w:permEnd w:id="10"/>
    <w:p>
      <w:pPr>
        <w:pStyle w:val="14"/>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pStyle w:val="14"/>
        <w:ind w:firstLine="426" w:firstLineChars="0"/>
        <w:rPr>
          <w:rFonts w:ascii="宋体" w:hAnsi="宋体"/>
          <w:b/>
          <w:bCs/>
          <w:sz w:val="18"/>
          <w:szCs w:val="18"/>
        </w:rPr>
      </w:pPr>
      <w:r>
        <w:rPr>
          <w:rFonts w:hint="eastAsia" w:ascii="宋体" w:hAnsi="宋体"/>
          <w:b/>
          <w:bCs/>
          <w:sz w:val="18"/>
          <w:szCs w:val="18"/>
        </w:rPr>
        <w:t xml:space="preserve">（二）投资者投资本产品可能面临的一般风险主要包括（但不限于）： </w:t>
      </w:r>
    </w:p>
    <w:p>
      <w:pPr>
        <w:pStyle w:val="14"/>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4"/>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4"/>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pPr>
        <w:pStyle w:val="14"/>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4"/>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14"/>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pPr>
        <w:pStyle w:val="14"/>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pPr>
        <w:pStyle w:val="14"/>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pPr>
        <w:pStyle w:val="14"/>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pPr>
        <w:pStyle w:val="14"/>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pPr>
        <w:pStyle w:val="14"/>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pPr>
        <w:pStyle w:val="14"/>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pPr>
        <w:pStyle w:val="14"/>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4"/>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pPr>
        <w:pStyle w:val="14"/>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pPr>
        <w:pStyle w:val="14"/>
        <w:ind w:firstLineChars="0"/>
        <w:rPr>
          <w:rFonts w:ascii="宋体" w:hAnsi="宋体"/>
          <w:b/>
          <w:bCs/>
          <w:sz w:val="18"/>
          <w:szCs w:val="18"/>
        </w:rPr>
      </w:pPr>
      <w:r>
        <w:rPr>
          <w:rFonts w:hint="eastAsia" w:ascii="宋体" w:hAnsi="宋体"/>
          <w:b/>
          <w:bCs/>
          <w:sz w:val="18"/>
          <w:szCs w:val="18"/>
        </w:rPr>
        <w:t>17.关联交易风险</w:t>
      </w:r>
    </w:p>
    <w:p>
      <w:pPr>
        <w:pStyle w:val="14"/>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五、【非机构投资者适用】</w:t>
      </w:r>
      <w:r>
        <w:rPr>
          <w:rFonts w:hint="eastAsia" w:ascii="宋体" w:hAnsi="宋体" w:cs="仿宋_GB2312"/>
          <w:kern w:val="0"/>
          <w:sz w:val="18"/>
          <w:szCs w:val="18"/>
        </w:rPr>
        <w:t>《投资者风险承受能力评估问卷》用于评估非机构投资者对金融工具及投资目标的相关风险的态度。非机构投资者可根据评估结果确定所属投资者类型，购买适合的理财产品。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的理财产品适用】当销售机构销售产品风险评级为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permStart w:id="11" w:edGrp="everyone"/>
      <w:r>
        <w:rPr>
          <w:rFonts w:hint="eastAsia" w:ascii="宋体" w:hAnsi="宋体"/>
          <w:sz w:val="18"/>
          <w:szCs w:val="18"/>
        </w:rPr>
        <w:t>销售机构（【华夏银行</w:t>
      </w:r>
      <w:r>
        <w:rPr>
          <w:rFonts w:hint="eastAsia" w:asciiTheme="majorEastAsia" w:hAnsiTheme="majorEastAsia" w:eastAsiaTheme="majorEastAsia"/>
          <w:bCs/>
          <w:sz w:val="18"/>
          <w:szCs w:val="18"/>
        </w:rPr>
        <w:t>股份有限公司</w:t>
      </w:r>
      <w:r>
        <w:rPr>
          <w:rFonts w:hint="eastAsia" w:ascii="宋体" w:hAnsi="宋体"/>
          <w:sz w:val="18"/>
          <w:szCs w:val="18"/>
        </w:rPr>
        <w:t>】）</w:t>
      </w:r>
    </w:p>
    <w:permEnd w:id="11"/>
    <w:p>
      <w:pPr>
        <w:widowControl/>
        <w:jc w:val="left"/>
        <w:rPr>
          <w:rFonts w:ascii="宋体" w:hAnsi="宋体"/>
          <w:sz w:val="18"/>
          <w:szCs w:val="18"/>
        </w:rPr>
      </w:pPr>
      <w:r>
        <w:rPr>
          <w:rFonts w:ascii="宋体" w:hAnsi="宋体"/>
          <w:sz w:val="18"/>
          <w:szCs w:val="18"/>
        </w:rPr>
        <w:br w:type="page"/>
      </w:r>
      <w:bookmarkStart w:id="0" w:name="_GoBack"/>
      <w:bookmarkEnd w:id="0"/>
    </w:p>
    <w:p>
      <w:pPr>
        <w:ind w:left="540"/>
        <w:jc w:val="right"/>
        <w:rPr>
          <w:rFonts w:ascii="宋体" w:hAnsi="宋体"/>
          <w:sz w:val="18"/>
          <w:szCs w:val="18"/>
        </w:rPr>
      </w:pPr>
    </w:p>
    <w:p>
      <w:pPr>
        <w:ind w:left="540"/>
        <w:jc w:val="right"/>
        <w:rPr>
          <w:rFonts w:ascii="宋体" w:hAnsi="宋体"/>
          <w:sz w:val="18"/>
          <w:szCs w:val="18"/>
        </w:rPr>
      </w:pPr>
    </w:p>
    <w:tbl>
      <w:tblPr>
        <w:tblStyle w:val="8"/>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8"/>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52492923"/>
    </w:sdtPr>
    <w:sdtContent>
      <w:p>
        <w:pPr>
          <w:pStyle w:val="4"/>
          <w:jc w:val="center"/>
        </w:pPr>
        <w:r>
          <w:fldChar w:fldCharType="begin"/>
        </w:r>
        <w:r>
          <w:instrText xml:space="preserve">PAGE   \* MERGEFORMAT</w:instrText>
        </w:r>
        <w:r>
          <w:fldChar w:fldCharType="separate"/>
        </w:r>
        <w:r>
          <w:rPr>
            <w:lang w:val="zh-CN"/>
          </w:rPr>
          <w:t>1</w:t>
        </w:r>
        <w:r>
          <w:fldChar w:fldCharType="end"/>
        </w: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readOnly" w:enforcement="1" w:cryptProviderType="rsaAES" w:cryptAlgorithmClass="hash" w:cryptAlgorithmType="typeAny" w:cryptAlgorithmSid="14" w:cryptSpinCount="100000" w:hash="Me96IdT+20cAJ4S6jvgjdmGNJLrWN5B6ICPCYQLoFsEUbuOy/Nvw/lQTlJL/do8J/ixgicWpmlHjBCkYLKK9TQ==" w:salt="V6Em+dTLVzmZObYxSYlsMw=="/>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30515"/>
    <w:rsid w:val="0006211F"/>
    <w:rsid w:val="00075B52"/>
    <w:rsid w:val="00096AC8"/>
    <w:rsid w:val="000A1375"/>
    <w:rsid w:val="000A244A"/>
    <w:rsid w:val="000B16F1"/>
    <w:rsid w:val="000B357F"/>
    <w:rsid w:val="000B3F0D"/>
    <w:rsid w:val="000B7F9A"/>
    <w:rsid w:val="000F0566"/>
    <w:rsid w:val="000F1948"/>
    <w:rsid w:val="001104E8"/>
    <w:rsid w:val="00152999"/>
    <w:rsid w:val="001703D6"/>
    <w:rsid w:val="00172A27"/>
    <w:rsid w:val="00180310"/>
    <w:rsid w:val="00190F8E"/>
    <w:rsid w:val="001C3531"/>
    <w:rsid w:val="001C5047"/>
    <w:rsid w:val="001D12DE"/>
    <w:rsid w:val="001F6EE9"/>
    <w:rsid w:val="002354DB"/>
    <w:rsid w:val="00262560"/>
    <w:rsid w:val="002B4BDD"/>
    <w:rsid w:val="002B63FC"/>
    <w:rsid w:val="002C604E"/>
    <w:rsid w:val="002F0B15"/>
    <w:rsid w:val="00346ED2"/>
    <w:rsid w:val="00374070"/>
    <w:rsid w:val="00386006"/>
    <w:rsid w:val="0039211A"/>
    <w:rsid w:val="003A53B7"/>
    <w:rsid w:val="003E1A68"/>
    <w:rsid w:val="003F1C32"/>
    <w:rsid w:val="003F4FCA"/>
    <w:rsid w:val="00403B0A"/>
    <w:rsid w:val="00413F03"/>
    <w:rsid w:val="00420D74"/>
    <w:rsid w:val="00432923"/>
    <w:rsid w:val="0045040F"/>
    <w:rsid w:val="00466605"/>
    <w:rsid w:val="004A236B"/>
    <w:rsid w:val="004B4026"/>
    <w:rsid w:val="004C3608"/>
    <w:rsid w:val="004C7F5E"/>
    <w:rsid w:val="00510BA5"/>
    <w:rsid w:val="00527A03"/>
    <w:rsid w:val="00563E8F"/>
    <w:rsid w:val="005804B9"/>
    <w:rsid w:val="005A0DD9"/>
    <w:rsid w:val="005C6FCB"/>
    <w:rsid w:val="005C764B"/>
    <w:rsid w:val="005F48BE"/>
    <w:rsid w:val="00640FDE"/>
    <w:rsid w:val="006538E1"/>
    <w:rsid w:val="007143CD"/>
    <w:rsid w:val="007303F6"/>
    <w:rsid w:val="00732C8C"/>
    <w:rsid w:val="00763776"/>
    <w:rsid w:val="00764A43"/>
    <w:rsid w:val="007A4C26"/>
    <w:rsid w:val="007B017F"/>
    <w:rsid w:val="007C7189"/>
    <w:rsid w:val="007D142B"/>
    <w:rsid w:val="0080662E"/>
    <w:rsid w:val="00830A0E"/>
    <w:rsid w:val="00836C1F"/>
    <w:rsid w:val="008627FF"/>
    <w:rsid w:val="00863974"/>
    <w:rsid w:val="0087632D"/>
    <w:rsid w:val="008825E3"/>
    <w:rsid w:val="0088635D"/>
    <w:rsid w:val="00894EE6"/>
    <w:rsid w:val="008A6E7A"/>
    <w:rsid w:val="008A707D"/>
    <w:rsid w:val="008D3E86"/>
    <w:rsid w:val="008F2B54"/>
    <w:rsid w:val="00906E57"/>
    <w:rsid w:val="00916DD2"/>
    <w:rsid w:val="0093321F"/>
    <w:rsid w:val="00955293"/>
    <w:rsid w:val="00972DEE"/>
    <w:rsid w:val="00981E5B"/>
    <w:rsid w:val="009A3643"/>
    <w:rsid w:val="009B13AF"/>
    <w:rsid w:val="00A30306"/>
    <w:rsid w:val="00A52581"/>
    <w:rsid w:val="00A95D0C"/>
    <w:rsid w:val="00AB4024"/>
    <w:rsid w:val="00AC2EB8"/>
    <w:rsid w:val="00AE5AA3"/>
    <w:rsid w:val="00B06267"/>
    <w:rsid w:val="00B07DEF"/>
    <w:rsid w:val="00B35D81"/>
    <w:rsid w:val="00B3723D"/>
    <w:rsid w:val="00B53014"/>
    <w:rsid w:val="00BB513F"/>
    <w:rsid w:val="00BC1259"/>
    <w:rsid w:val="00BC2076"/>
    <w:rsid w:val="00BC398E"/>
    <w:rsid w:val="00BD2495"/>
    <w:rsid w:val="00BE1A3A"/>
    <w:rsid w:val="00C01696"/>
    <w:rsid w:val="00C4233D"/>
    <w:rsid w:val="00CA5199"/>
    <w:rsid w:val="00CF693D"/>
    <w:rsid w:val="00D03CCD"/>
    <w:rsid w:val="00D33509"/>
    <w:rsid w:val="00D33FC9"/>
    <w:rsid w:val="00D46533"/>
    <w:rsid w:val="00D61355"/>
    <w:rsid w:val="00D91389"/>
    <w:rsid w:val="00DA2C69"/>
    <w:rsid w:val="00DD246D"/>
    <w:rsid w:val="00DD5ABC"/>
    <w:rsid w:val="00DE3630"/>
    <w:rsid w:val="00E163B9"/>
    <w:rsid w:val="00E2712B"/>
    <w:rsid w:val="00E27A39"/>
    <w:rsid w:val="00E31C01"/>
    <w:rsid w:val="00E504DE"/>
    <w:rsid w:val="00E767F1"/>
    <w:rsid w:val="00E80603"/>
    <w:rsid w:val="00EA3FCD"/>
    <w:rsid w:val="00EB34F9"/>
    <w:rsid w:val="00EC5B4C"/>
    <w:rsid w:val="00F1747E"/>
    <w:rsid w:val="00F34E57"/>
    <w:rsid w:val="00F57B20"/>
    <w:rsid w:val="00F8077D"/>
    <w:rsid w:val="00FA5993"/>
    <w:rsid w:val="00FD7473"/>
    <w:rsid w:val="05DA1F45"/>
    <w:rsid w:val="0DD13180"/>
    <w:rsid w:val="0E615D48"/>
    <w:rsid w:val="10430E3C"/>
    <w:rsid w:val="184E6828"/>
    <w:rsid w:val="1D9858FD"/>
    <w:rsid w:val="23024B39"/>
    <w:rsid w:val="24C45C6C"/>
    <w:rsid w:val="38D8123B"/>
    <w:rsid w:val="48045529"/>
    <w:rsid w:val="601969DF"/>
    <w:rsid w:val="70330189"/>
    <w:rsid w:val="79112845"/>
    <w:rsid w:val="7D3E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6"/>
    <w:semiHidden/>
    <w:unhideWhenUsed/>
    <w:qFormat/>
    <w:uiPriority w:val="99"/>
    <w:rPr>
      <w:b/>
      <w:bCs/>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22"/>
    <w:rPr>
      <w:b/>
      <w:bCs/>
    </w:rPr>
  </w:style>
  <w:style w:type="character" w:styleId="11">
    <w:name w:val="annotation reference"/>
    <w:basedOn w:val="9"/>
    <w:unhideWhenUsed/>
    <w:qFormat/>
    <w:uiPriority w:val="99"/>
    <w:rPr>
      <w:sz w:val="21"/>
      <w:szCs w:val="21"/>
    </w:rPr>
  </w:style>
  <w:style w:type="character" w:customStyle="1" w:styleId="12">
    <w:name w:val="页眉 Char"/>
    <w:basedOn w:val="9"/>
    <w:link w:val="5"/>
    <w:qFormat/>
    <w:uiPriority w:val="99"/>
    <w:rPr>
      <w:sz w:val="18"/>
      <w:szCs w:val="18"/>
    </w:rPr>
  </w:style>
  <w:style w:type="character" w:customStyle="1" w:styleId="13">
    <w:name w:val="页脚 Char"/>
    <w:basedOn w:val="9"/>
    <w:link w:val="4"/>
    <w:qFormat/>
    <w:uiPriority w:val="99"/>
    <w:rPr>
      <w:sz w:val="18"/>
      <w:szCs w:val="18"/>
    </w:rPr>
  </w:style>
  <w:style w:type="paragraph" w:styleId="14">
    <w:name w:val="List Paragraph"/>
    <w:basedOn w:val="1"/>
    <w:qFormat/>
    <w:uiPriority w:val="0"/>
    <w:pPr>
      <w:ind w:firstLine="420" w:firstLineChars="200"/>
    </w:pPr>
  </w:style>
  <w:style w:type="character" w:customStyle="1" w:styleId="15">
    <w:name w:val="批注文字 Char"/>
    <w:basedOn w:val="9"/>
    <w:link w:val="2"/>
    <w:qFormat/>
    <w:uiPriority w:val="99"/>
    <w:rPr>
      <w:rFonts w:ascii="Calibri" w:hAnsi="Calibri" w:eastAsia="宋体" w:cs="宋体"/>
    </w:rPr>
  </w:style>
  <w:style w:type="character" w:customStyle="1" w:styleId="16">
    <w:name w:val="批注主题 Char"/>
    <w:basedOn w:val="15"/>
    <w:link w:val="6"/>
    <w:semiHidden/>
    <w:qFormat/>
    <w:uiPriority w:val="99"/>
    <w:rPr>
      <w:rFonts w:ascii="Calibri" w:hAnsi="Calibri" w:eastAsia="宋体" w:cs="宋体"/>
      <w:b/>
      <w:bCs/>
    </w:rPr>
  </w:style>
  <w:style w:type="character" w:customStyle="1" w:styleId="17">
    <w:name w:val="批注框文本 Char"/>
    <w:basedOn w:val="9"/>
    <w:link w:val="3"/>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ACB0A5-775F-49AC-8AEF-F39BBE083A15}">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1</Pages>
  <Words>819</Words>
  <Characters>4670</Characters>
  <Lines>38</Lines>
  <Paragraphs>10</Paragraphs>
  <TotalTime>1</TotalTime>
  <ScaleCrop>false</ScaleCrop>
  <LinksUpToDate>false</LinksUpToDate>
  <CharactersWithSpaces>5479</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2023-10-31T16:05:00Z</dcterms:created>
  <dc:creator>胡骁潇</dc:creator>
  <cp:lastModifiedBy>Administrator</cp:lastModifiedBy>
  <dcterms:modified xsi:type="dcterms:W3CDTF">2024-11-12T10:01:21Z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8C3451F4A9D547188BD69B541900499D</vt:lpwstr>
  </property>
</Properties>
</file>