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E1065"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bookmarkStart w:id="0" w:name="_GoBack"/>
      <w:bookmarkEnd w:id="0"/>
      <w:r w:rsidRPr="00EE478C">
        <w:rPr>
          <w:rFonts w:ascii="Times New Roman" w:eastAsia="仿宋_GB2312" w:hAnsi="Times New Roman"/>
          <w:b/>
          <w:sz w:val="32"/>
          <w:szCs w:val="28"/>
        </w:rPr>
        <w:t>平安理财天天成长</w:t>
      </w:r>
      <w:r w:rsidRPr="00EE478C">
        <w:rPr>
          <w:rFonts w:ascii="Times New Roman" w:eastAsia="仿宋_GB2312" w:hAnsi="Times New Roman"/>
          <w:b/>
          <w:sz w:val="32"/>
          <w:szCs w:val="28"/>
        </w:rPr>
        <w:t>3</w:t>
      </w:r>
      <w:r w:rsidRPr="00EE478C">
        <w:rPr>
          <w:rFonts w:ascii="Times New Roman" w:eastAsia="仿宋_GB2312" w:hAnsi="Times New Roman"/>
          <w:b/>
          <w:sz w:val="32"/>
          <w:szCs w:val="28"/>
        </w:rPr>
        <w:t>号</w:t>
      </w:r>
      <w:r w:rsidRPr="00EE478C">
        <w:rPr>
          <w:rFonts w:ascii="Times New Roman" w:eastAsia="仿宋_GB2312" w:hAnsi="Times New Roman"/>
          <w:b/>
          <w:sz w:val="32"/>
          <w:szCs w:val="28"/>
        </w:rPr>
        <w:t>38</w:t>
      </w:r>
      <w:r w:rsidRPr="00EE478C">
        <w:rPr>
          <w:rFonts w:ascii="Times New Roman" w:eastAsia="仿宋_GB2312" w:hAnsi="Times New Roman"/>
          <w:b/>
          <w:sz w:val="32"/>
          <w:szCs w:val="28"/>
        </w:rPr>
        <w:t>期现金管理类理财产品</w:t>
      </w:r>
    </w:p>
    <w:p w14:paraId="17A7B96D"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r w:rsidRPr="00EE478C">
        <w:rPr>
          <w:rFonts w:ascii="Times New Roman" w:eastAsia="仿宋_GB2312" w:hAnsi="Times New Roman"/>
          <w:b/>
          <w:sz w:val="32"/>
          <w:szCs w:val="28"/>
        </w:rPr>
        <w:t>风险揭示书</w:t>
      </w:r>
    </w:p>
    <w:p w14:paraId="33E91189" w14:textId="573641FA" w:rsidR="000042AC" w:rsidRPr="00EE478C" w:rsidRDefault="000042AC" w:rsidP="000042AC">
      <w:pPr>
        <w:rPr>
          <w:rFonts w:ascii="Times New Roman" w:hAnsi="Times New Roman"/>
        </w:rPr>
      </w:pPr>
    </w:p>
    <w:p w14:paraId="0F52968E"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理财非存款、产品有风险、投资须谨慎</w:t>
      </w:r>
    </w:p>
    <w:p w14:paraId="6E667AA2"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本产品为固定收益类理财产品，属于公募开放式非保本浮动收益理财产品。</w:t>
      </w:r>
    </w:p>
    <w:p w14:paraId="6C7B89C4"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5A611A37" w14:textId="77777777" w:rsidR="000042AC" w:rsidRPr="00EE478C" w:rsidRDefault="000042AC" w:rsidP="000042AC">
      <w:pPr>
        <w:snapToGrid w:val="0"/>
        <w:spacing w:line="360" w:lineRule="auto"/>
        <w:rPr>
          <w:rFonts w:ascii="Times New Roman" w:eastAsia="仿宋_GB2312" w:hAnsi="Times New Roman"/>
          <w:sz w:val="24"/>
          <w:szCs w:val="20"/>
        </w:rPr>
      </w:pPr>
    </w:p>
    <w:p w14:paraId="5A378D1D" w14:textId="77777777" w:rsidR="000042AC" w:rsidRPr="00EE478C" w:rsidRDefault="000042AC" w:rsidP="000042AC">
      <w:pPr>
        <w:snapToGrid w:val="0"/>
        <w:spacing w:line="360" w:lineRule="auto"/>
        <w:rPr>
          <w:rFonts w:ascii="Times New Roman" w:eastAsia="仿宋_GB2312" w:hAnsi="Times New Roman"/>
          <w:sz w:val="24"/>
          <w:szCs w:val="20"/>
        </w:rPr>
      </w:pPr>
      <w:r w:rsidRPr="00EE478C">
        <w:rPr>
          <w:rFonts w:ascii="Times New Roman" w:eastAsia="仿宋_GB2312" w:hAnsi="Times New Roman"/>
          <w:sz w:val="24"/>
          <w:szCs w:val="20"/>
        </w:rPr>
        <w:t>本理财产品无固定存续期限。</w:t>
      </w:r>
      <w:r w:rsidRPr="00EE478C">
        <w:rPr>
          <w:rFonts w:ascii="Times New Roman" w:eastAsia="仿宋_GB2312" w:hAnsi="Times New Roman"/>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sidRPr="00EE478C">
        <w:rPr>
          <w:rFonts w:ascii="Times New Roman" w:eastAsia="仿宋_GB2312" w:hAnsi="Times New Roman"/>
          <w:sz w:val="24"/>
          <w:szCs w:val="20"/>
        </w:rPr>
        <w:t>。平安理财建议：</w:t>
      </w:r>
      <w:r w:rsidRPr="00EE478C">
        <w:rPr>
          <w:rFonts w:ascii="Times New Roman" w:eastAsia="仿宋_GB2312" w:hAnsi="Times New Roman"/>
          <w:kern w:val="0"/>
          <w:sz w:val="24"/>
          <w:szCs w:val="20"/>
        </w:rPr>
        <w:t>投资者</w:t>
      </w:r>
      <w:r w:rsidRPr="00EE478C">
        <w:rPr>
          <w:rFonts w:ascii="Times New Roman" w:eastAsia="仿宋_GB2312" w:hAnsi="Times New Roman"/>
          <w:sz w:val="24"/>
          <w:szCs w:val="20"/>
        </w:rPr>
        <w:t>经风险承受度评估，评定为</w:t>
      </w:r>
      <w:r w:rsidRPr="00EE478C">
        <w:rPr>
          <w:rFonts w:ascii="Times New Roman" w:eastAsia="仿宋_GB2312" w:hAnsi="Times New Roman"/>
          <w:sz w:val="24"/>
          <w:szCs w:val="20"/>
        </w:rPr>
        <w:t>“</w:t>
      </w:r>
      <w:r w:rsidRPr="00EE478C">
        <w:rPr>
          <w:rFonts w:ascii="Times New Roman" w:eastAsia="仿宋_GB2312" w:hAnsi="Times New Roman"/>
          <w:sz w:val="24"/>
          <w:szCs w:val="20"/>
        </w:rPr>
        <w:t>进取型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成长型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平衡型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稳健型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保守型</w:t>
      </w:r>
      <w:r w:rsidRPr="00EE478C">
        <w:rPr>
          <w:rFonts w:ascii="Times New Roman" w:eastAsia="仿宋_GB2312" w:hAnsi="Times New Roman"/>
          <w:sz w:val="24"/>
          <w:szCs w:val="20"/>
        </w:rPr>
        <w:t>”</w:t>
      </w:r>
      <w:r w:rsidRPr="00EE478C">
        <w:rPr>
          <w:rFonts w:ascii="Times New Roman" w:eastAsia="仿宋_GB2312" w:hAnsi="Times New Roman"/>
          <w:sz w:val="24"/>
          <w:szCs w:val="20"/>
        </w:rPr>
        <w:t>的客户适合购买本产品。</w:t>
      </w:r>
      <w:r w:rsidRPr="00EE478C">
        <w:rPr>
          <w:rFonts w:ascii="Times New Roman" w:eastAsia="仿宋_GB2312" w:hAnsi="Times New Roman"/>
          <w:b/>
          <w:sz w:val="24"/>
          <w:szCs w:val="20"/>
        </w:rPr>
        <w:t>如个人投资者超过一年未进行风险承受能力评估或影响个人投资者风险承受能力的因素发生变化，请及时重新完成风险承受能力评估。</w:t>
      </w:r>
    </w:p>
    <w:p w14:paraId="202D8946" w14:textId="77777777" w:rsidR="000042AC" w:rsidRPr="00EE478C" w:rsidRDefault="000042AC" w:rsidP="000042AC">
      <w:pPr>
        <w:spacing w:line="360" w:lineRule="auto"/>
        <w:rPr>
          <w:rFonts w:ascii="Times New Roman" w:hAnsi="Times New Roman"/>
        </w:rPr>
      </w:pPr>
    </w:p>
    <w:p w14:paraId="0DF7FFF3"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以下风险揭示内容请投资者详细阅读，在充分了解并清楚知晓本产品蕴含风险的基础上，通过自身判断自主参与交易，并自愿承担相关风险：</w:t>
      </w:r>
    </w:p>
    <w:p w14:paraId="7E22C59F" w14:textId="77777777" w:rsidR="000042AC" w:rsidRPr="00EE478C" w:rsidRDefault="000042AC" w:rsidP="000042AC">
      <w:pPr>
        <w:spacing w:line="360" w:lineRule="auto"/>
        <w:rPr>
          <w:rFonts w:ascii="Times New Roman" w:eastAsia="仿宋_GB2312" w:hAnsi="Times New Roman"/>
          <w:sz w:val="24"/>
          <w:szCs w:val="20"/>
        </w:rPr>
      </w:pPr>
    </w:p>
    <w:p w14:paraId="17045562"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风险揭示</w:t>
      </w:r>
    </w:p>
    <w:p w14:paraId="1C4C4461"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本金及理财收益风险</w:t>
      </w:r>
      <w:r w:rsidRPr="00EE478C">
        <w:rPr>
          <w:rFonts w:ascii="Times New Roman" w:eastAsia="仿宋_GB2312" w:hAnsi="Times New Roman"/>
          <w:sz w:val="24"/>
          <w:szCs w:val="20"/>
        </w:rPr>
        <w:t>：本理财产品不保证本金和收益，理财产品收益来源于理财产品所投资资产组合的收益分配、出让或其他方式处分及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r w:rsidRPr="00EE478C">
        <w:rPr>
          <w:rFonts w:ascii="Times New Roman" w:eastAsia="仿宋_GB2312" w:hAnsi="Times New Roman"/>
          <w:sz w:val="24"/>
          <w:szCs w:val="20"/>
        </w:rPr>
        <w:t xml:space="preserve"> </w:t>
      </w:r>
    </w:p>
    <w:p w14:paraId="34E8046C"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lastRenderedPageBreak/>
        <w:t>信用风险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本理财产品主要投资于标准化债权资产，因此有可能由于发行主体或交易对手信用状况恶化导致交易违约，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43FE6C24"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市场风险</w:t>
      </w:r>
      <w:r w:rsidRPr="00EE478C">
        <w:rPr>
          <w:rFonts w:ascii="Times New Roman" w:eastAsia="仿宋_GB2312" w:hAnsi="Times New Roman"/>
          <w:sz w:val="24"/>
          <w:szCs w:val="20"/>
        </w:rPr>
        <w:t>：证券市场（包括但不限于股票市场、债券市场）价格受到经济因素、政治因素、投资心理和交易制度等各种因素的影响，可能导致本理财产品资产收益水平变化，产生风险，主要包括：</w:t>
      </w:r>
      <w:r w:rsidRPr="00EE478C">
        <w:rPr>
          <w:rFonts w:ascii="Times New Roman" w:eastAsia="仿宋_GB2312" w:hAnsi="Times New Roman"/>
          <w:sz w:val="24"/>
          <w:szCs w:val="20"/>
        </w:rPr>
        <w:t xml:space="preserve"> </w:t>
      </w:r>
    </w:p>
    <w:p w14:paraId="128770CE"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政策风险：因国家宏观政策（如货币政策、财政政策、行业政策、地区发展政策和监管政策等）发生变化，导致市场价格波动而产生风险，从而对理财产品收益产生影响。</w:t>
      </w:r>
      <w:r w:rsidRPr="00EE478C">
        <w:rPr>
          <w:rFonts w:ascii="Times New Roman" w:eastAsia="仿宋_GB2312" w:hAnsi="Times New Roman"/>
          <w:sz w:val="24"/>
          <w:szCs w:val="20"/>
        </w:rPr>
        <w:t xml:space="preserve"> </w:t>
      </w:r>
    </w:p>
    <w:p w14:paraId="70FF4C80"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经济周期风险：随经济运行的周期性变化，证券市场的收益水平也呈周期性变化，从而影响理财产品的收益水平，对理财产品收益产生影响。</w:t>
      </w:r>
      <w:r w:rsidRPr="00EE478C">
        <w:rPr>
          <w:rFonts w:ascii="Times New Roman" w:eastAsia="仿宋_GB2312" w:hAnsi="Times New Roman"/>
          <w:sz w:val="24"/>
          <w:szCs w:val="20"/>
        </w:rPr>
        <w:t xml:space="preserve"> </w:t>
      </w:r>
    </w:p>
    <w:p w14:paraId="0D26B726"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利率风险：金融市场利率的波动会导致证券市场价格和收益率的变动，从而对理财产品收益产生影响。</w:t>
      </w:r>
      <w:r w:rsidRPr="00EE478C">
        <w:rPr>
          <w:rFonts w:ascii="Times New Roman" w:eastAsia="仿宋_GB2312" w:hAnsi="Times New Roman"/>
          <w:sz w:val="24"/>
          <w:szCs w:val="20"/>
        </w:rPr>
        <w:t xml:space="preserve"> </w:t>
      </w:r>
    </w:p>
    <w:p w14:paraId="214CEEF8"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购买力风险：如果发生通货膨胀，则投资于证券所获得的收益可能会被通货膨胀抵消，从而对理财产品收益产生影响。</w:t>
      </w:r>
      <w:r w:rsidRPr="00EE478C">
        <w:rPr>
          <w:rFonts w:ascii="Times New Roman" w:eastAsia="仿宋_GB2312" w:hAnsi="Times New Roman"/>
          <w:sz w:val="24"/>
          <w:szCs w:val="20"/>
        </w:rPr>
        <w:t xml:space="preserve"> </w:t>
      </w:r>
    </w:p>
    <w:p w14:paraId="1F78627C"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汇率风险：本理财产品在实际投资运作过程中，由于汇率市场出现巨大变化造成本理财产品所投资产价格发生波动，从而影响理财产品投资收益的，投资者的本金和收益可能遭受部分或全部的损失。</w:t>
      </w:r>
      <w:r w:rsidRPr="00EE478C">
        <w:rPr>
          <w:rFonts w:ascii="Times New Roman" w:eastAsia="仿宋_GB2312" w:hAnsi="Times New Roman"/>
          <w:sz w:val="24"/>
          <w:szCs w:val="20"/>
        </w:rPr>
        <w:t xml:space="preserve"> </w:t>
      </w:r>
    </w:p>
    <w:p w14:paraId="6866DFF9"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流动性风险</w:t>
      </w:r>
      <w:r w:rsidRPr="00EE478C">
        <w:rPr>
          <w:rFonts w:eastAsia="仿宋_GB2312"/>
          <w:sz w:val="24"/>
          <w:szCs w:val="20"/>
        </w:rPr>
        <w:t>：</w:t>
      </w:r>
    </w:p>
    <w:p w14:paraId="4DAB44C0"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3E7945C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lastRenderedPageBreak/>
        <w:t>（</w:t>
      </w:r>
      <w:r w:rsidRPr="00EE478C">
        <w:rPr>
          <w:rFonts w:ascii="Times New Roman" w:eastAsia="仿宋_GB2312" w:hAnsi="Times New Roman"/>
          <w:sz w:val="24"/>
          <w:szCs w:val="20"/>
        </w:rPr>
        <w:t>1</w:t>
      </w:r>
      <w:r w:rsidRPr="00EE478C">
        <w:rPr>
          <w:rFonts w:ascii="Times New Roman" w:eastAsia="仿宋_GB2312" w:hAnsi="Times New Roman"/>
          <w:sz w:val="24"/>
          <w:szCs w:val="20"/>
        </w:rPr>
        <w:t>）本理财产品的申购、赎回安排</w:t>
      </w:r>
    </w:p>
    <w:p w14:paraId="4D77B153" w14:textId="77777777" w:rsidR="000042AC" w:rsidRPr="00EE478C" w:rsidRDefault="000042AC" w:rsidP="000042AC">
      <w:pPr>
        <w:spacing w:line="360" w:lineRule="auto"/>
        <w:ind w:firstLineChars="200" w:firstLine="480"/>
        <w:rPr>
          <w:rFonts w:ascii="Times New Roman" w:eastAsia="仿宋_GB2312" w:hAnsi="Times New Roman"/>
          <w:sz w:val="24"/>
        </w:rPr>
      </w:pPr>
      <w:r w:rsidRPr="00EE478C">
        <w:rPr>
          <w:rFonts w:ascii="Times New Roman" w:eastAsia="仿宋_GB2312" w:hAnsi="Times New Roman"/>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sidRPr="00EE478C">
        <w:rPr>
          <w:rFonts w:ascii="Times New Roman" w:eastAsia="仿宋_GB2312" w:hAnsi="Times New Roman"/>
          <w:sz w:val="24"/>
        </w:rPr>
        <w:t>能出现拒绝或暂停接受申购、赎回申请的情形：</w:t>
      </w:r>
    </w:p>
    <w:p w14:paraId="03DA8D8E"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一是投资者申购超过本理财产品说明书约定的发行规模上限、单笔认</w:t>
      </w:r>
      <w:r w:rsidRPr="00EE478C">
        <w:rPr>
          <w:rFonts w:ascii="Times New Roman" w:eastAsia="仿宋_GB2312" w:hAnsi="Times New Roman"/>
          <w:sz w:val="24"/>
          <w:szCs w:val="20"/>
        </w:rPr>
        <w:t>/</w:t>
      </w:r>
      <w:r w:rsidRPr="00EE478C">
        <w:rPr>
          <w:rFonts w:ascii="Times New Roman" w:eastAsia="仿宋_GB2312" w:hAnsi="Times New Roman"/>
          <w:sz w:val="24"/>
          <w:szCs w:val="20"/>
        </w:rPr>
        <w:t>申购上限、单一投资者持有上限等；</w:t>
      </w:r>
    </w:p>
    <w:p w14:paraId="7275303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二是《产品说明书》约定暂停估值情形时；</w:t>
      </w:r>
    </w:p>
    <w:p w14:paraId="14C882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三是本理财产品发生产品说明书约定的巨额赎回情形。</w:t>
      </w:r>
    </w:p>
    <w:p w14:paraId="6B332516"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具体措施详见本《产品说明书》第五部分</w:t>
      </w:r>
      <w:r w:rsidRPr="00EE478C">
        <w:rPr>
          <w:rFonts w:ascii="Times New Roman" w:eastAsia="仿宋_GB2312" w:hAnsi="Times New Roman"/>
          <w:sz w:val="24"/>
          <w:szCs w:val="20"/>
        </w:rPr>
        <w:t>“</w:t>
      </w:r>
      <w:r w:rsidRPr="00EE478C">
        <w:rPr>
          <w:rFonts w:ascii="Times New Roman" w:eastAsia="仿宋_GB2312" w:hAnsi="Times New Roman"/>
          <w:sz w:val="24"/>
          <w:szCs w:val="20"/>
        </w:rPr>
        <w:t>五、交易规则</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422A572"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2</w:t>
      </w:r>
      <w:r w:rsidRPr="00EE478C">
        <w:rPr>
          <w:rFonts w:ascii="Times New Roman" w:eastAsia="仿宋_GB2312" w:hAnsi="Times New Roman"/>
          <w:sz w:val="24"/>
          <w:szCs w:val="20"/>
        </w:rPr>
        <w:t>）主要拟投资市场、资产的流动性风险评估</w:t>
      </w:r>
    </w:p>
    <w:p w14:paraId="6031C1FB"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1</w:t>
      </w:r>
      <w:r w:rsidRPr="00EE478C">
        <w:rPr>
          <w:rFonts w:ascii="Times New Roman" w:eastAsia="仿宋_GB2312" w:hAnsi="Times New Roman"/>
          <w:sz w:val="24"/>
          <w:szCs w:val="20"/>
        </w:rPr>
        <w:t>）投资市场的流动性风险</w:t>
      </w:r>
    </w:p>
    <w:p w14:paraId="6FEBA388"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3DED81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2</w:t>
      </w:r>
      <w:r w:rsidRPr="00EE478C">
        <w:rPr>
          <w:rFonts w:ascii="Times New Roman" w:eastAsia="仿宋_GB2312" w:hAnsi="Times New Roman"/>
          <w:sz w:val="24"/>
          <w:szCs w:val="20"/>
        </w:rPr>
        <w:t>）投资资产的流动性风险</w:t>
      </w:r>
    </w:p>
    <w:p w14:paraId="5B7DD307"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本理财产品针对流动性较低资产的投资进行了严格的限制，以降低理财产品的流动性风险：本理财产品投资到期日在</w:t>
      </w:r>
      <w:r w:rsidRPr="00EE478C">
        <w:rPr>
          <w:rFonts w:ascii="Times New Roman" w:eastAsia="仿宋_GB2312" w:hAnsi="Times New Roman"/>
          <w:sz w:val="24"/>
          <w:szCs w:val="20"/>
        </w:rPr>
        <w:t>10</w:t>
      </w:r>
      <w:r w:rsidRPr="00EE478C">
        <w:rPr>
          <w:rFonts w:ascii="Times New Roman" w:eastAsia="仿宋_GB2312" w:hAnsi="Times New Roman"/>
          <w:sz w:val="24"/>
          <w:szCs w:val="20"/>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；本理财产品持有的</w:t>
      </w:r>
      <w:r w:rsidRPr="00EE478C">
        <w:rPr>
          <w:rFonts w:ascii="Times New Roman" w:eastAsia="仿宋_GB2312" w:hAnsi="Times New Roman"/>
          <w:sz w:val="24"/>
          <w:szCs w:val="20"/>
        </w:rPr>
        <w:t>7</w:t>
      </w:r>
      <w:r w:rsidRPr="00EE478C">
        <w:rPr>
          <w:rFonts w:ascii="Times New Roman" w:eastAsia="仿宋_GB2312" w:hAnsi="Times New Roman"/>
          <w:sz w:val="24"/>
          <w:szCs w:val="20"/>
        </w:rPr>
        <w:t>个工作日可变现资产的可变现价值，在开放日前一工作日内，不低于该产品资产净值的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w:t>
      </w:r>
    </w:p>
    <w:p w14:paraId="05158991"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本理财产品的特定投资标的资产流动性风险，请参见本风险揭示书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二、特定投资标的风险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64B20DF"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管理风险</w:t>
      </w:r>
      <w:r w:rsidRPr="00EE478C">
        <w:rPr>
          <w:rFonts w:ascii="Times New Roman" w:eastAsia="仿宋_GB2312" w:hAnsi="Times New Roman"/>
          <w:sz w:val="24"/>
          <w:szCs w:val="20"/>
        </w:rPr>
        <w:t>：由于管理人受经验、技能等因素的限制，可能会影响本理财产品的管理，导致本理财产品项下的理财收益降低甚至理财本金遭受损失。</w:t>
      </w:r>
    </w:p>
    <w:p w14:paraId="2B38D066"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再投资风险：</w:t>
      </w:r>
      <w:r w:rsidRPr="00EE478C">
        <w:rPr>
          <w:rFonts w:eastAsia="仿宋_GB2312"/>
          <w:sz w:val="24"/>
          <w:szCs w:val="20"/>
        </w:rPr>
        <w:t>由于平安理财有权根据市场状况和产品余额情况提前终止该理财产品，因市场利率下滑，投资者可能面临本金和收益再投资收益率降低的风险。</w:t>
      </w:r>
    </w:p>
    <w:p w14:paraId="3D9F942C"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托管及清算风险</w:t>
      </w:r>
      <w:r w:rsidRPr="00EE478C">
        <w:rPr>
          <w:rFonts w:eastAsia="仿宋_GB2312"/>
          <w:sz w:val="24"/>
          <w:szCs w:val="20"/>
        </w:rPr>
        <w:t>：本理财产品存在托管人，若因托管人操作失误或因任何原因未能按约履行托管人职责，或丧失进行托管的能力或法定资格，均可能给本理财产品带来风险。</w:t>
      </w:r>
    </w:p>
    <w:p w14:paraId="2E0441E3"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信息传递风险：</w:t>
      </w:r>
      <w:r w:rsidRPr="00EE478C">
        <w:rPr>
          <w:rFonts w:eastAsia="仿宋_GB2312"/>
          <w:sz w:val="24"/>
          <w:szCs w:val="20"/>
        </w:rPr>
        <w:t>平安理财按照本产品说明书有关</w:t>
      </w:r>
      <w:r w:rsidRPr="00EE478C">
        <w:rPr>
          <w:rFonts w:eastAsia="仿宋_GB2312"/>
          <w:sz w:val="24"/>
          <w:szCs w:val="20"/>
        </w:rPr>
        <w:t>“</w:t>
      </w:r>
      <w:r w:rsidRPr="00EE478C">
        <w:rPr>
          <w:rFonts w:eastAsia="仿宋_GB2312"/>
          <w:sz w:val="24"/>
          <w:szCs w:val="20"/>
        </w:rPr>
        <w:t>信息披露</w:t>
      </w:r>
      <w:r w:rsidRPr="00EE478C">
        <w:rPr>
          <w:rFonts w:eastAsia="仿宋_GB2312"/>
          <w:sz w:val="24"/>
          <w:szCs w:val="20"/>
        </w:rPr>
        <w:t>”</w:t>
      </w:r>
      <w:r w:rsidRPr="00EE478C">
        <w:rPr>
          <w:rFonts w:eastAsia="仿宋_GB2312"/>
          <w:sz w:val="24"/>
          <w:szCs w:val="20"/>
        </w:rPr>
        <w:t>的约定，发布理财产品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4607C80"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政策法律风险</w:t>
      </w:r>
      <w:r w:rsidRPr="00EE478C">
        <w:rPr>
          <w:rFonts w:ascii="Times New Roman" w:eastAsia="仿宋_GB2312" w:hAnsi="Times New Roman"/>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34952E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延期风险</w:t>
      </w:r>
      <w:r w:rsidRPr="00EE478C">
        <w:rPr>
          <w:rFonts w:ascii="Times New Roman" w:eastAsia="仿宋_GB2312" w:hAnsi="Times New Roman"/>
          <w:sz w:val="24"/>
          <w:szCs w:val="20"/>
        </w:rPr>
        <w:t>：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w:t>
      </w:r>
      <w:r w:rsidRPr="00EE478C">
        <w:rPr>
          <w:rFonts w:ascii="Times New Roman" w:eastAsia="仿宋_GB2312" w:hAnsi="Times New Roman"/>
          <w:sz w:val="24"/>
          <w:szCs w:val="20"/>
        </w:rPr>
        <w:t>“</w:t>
      </w:r>
      <w:r w:rsidRPr="00EE478C">
        <w:rPr>
          <w:rFonts w:ascii="Times New Roman" w:eastAsia="仿宋_GB2312" w:hAnsi="Times New Roman"/>
          <w:sz w:val="24"/>
          <w:szCs w:val="20"/>
        </w:rPr>
        <w:t>信息披露</w:t>
      </w:r>
      <w:r w:rsidRPr="00EE478C">
        <w:rPr>
          <w:rFonts w:ascii="Times New Roman" w:eastAsia="仿宋_GB2312" w:hAnsi="Times New Roman"/>
          <w:sz w:val="24"/>
          <w:szCs w:val="20"/>
        </w:rPr>
        <w:t>”</w:t>
      </w:r>
      <w:r w:rsidRPr="00EE478C">
        <w:rPr>
          <w:rFonts w:ascii="Times New Roman" w:eastAsia="仿宋_GB2312" w:hAnsi="Times New Roman"/>
          <w:sz w:val="24"/>
          <w:szCs w:val="20"/>
        </w:rPr>
        <w:t>约定的方式向投资者披露。在此情况下，投资者可能面临无法按照预计存续期限获得投资本金及收益（如有）的风险。</w:t>
      </w:r>
      <w:r w:rsidRPr="00EE478C">
        <w:rPr>
          <w:rFonts w:ascii="Times New Roman" w:eastAsia="仿宋_GB2312" w:hAnsi="Times New Roman"/>
          <w:sz w:val="24"/>
          <w:szCs w:val="20"/>
        </w:rPr>
        <w:t xml:space="preserve"> </w:t>
      </w:r>
    </w:p>
    <w:p w14:paraId="5A36918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提前终止风险</w:t>
      </w:r>
      <w:r w:rsidRPr="00EE478C">
        <w:rPr>
          <w:rFonts w:ascii="Times New Roman" w:eastAsia="仿宋_GB2312" w:hAnsi="Times New Roman"/>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w:t>
      </w:r>
      <w:r w:rsidRPr="00EE478C">
        <w:rPr>
          <w:rFonts w:ascii="Times New Roman" w:eastAsia="仿宋_GB2312" w:hAnsi="Times New Roman"/>
          <w:sz w:val="24"/>
          <w:szCs w:val="20"/>
        </w:rPr>
        <w:t>,</w:t>
      </w:r>
      <w:r w:rsidRPr="00EE478C">
        <w:rPr>
          <w:rFonts w:ascii="Times New Roman" w:eastAsia="仿宋_GB2312" w:hAnsi="Times New Roman"/>
          <w:sz w:val="24"/>
          <w:szCs w:val="20"/>
        </w:rPr>
        <w:t>则投资者可能无法实现期初设想的全部收益。</w:t>
      </w:r>
    </w:p>
    <w:p w14:paraId="7A79571B"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理财产品发行不成功的风险</w:t>
      </w:r>
      <w:r w:rsidRPr="00EE478C">
        <w:rPr>
          <w:rFonts w:ascii="Times New Roman" w:eastAsia="仿宋_GB2312" w:hAnsi="Times New Roman"/>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1C0FA51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操作风险</w:t>
      </w:r>
      <w:r w:rsidRPr="00EE478C">
        <w:rPr>
          <w:rFonts w:ascii="Times New Roman" w:eastAsia="仿宋_GB2312" w:hAnsi="Times New Roman"/>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1F3C333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税务风险</w:t>
      </w:r>
      <w:r w:rsidRPr="00EE478C">
        <w:rPr>
          <w:rFonts w:ascii="Times New Roman" w:eastAsia="仿宋_GB2312" w:hAnsi="Times New Roman"/>
          <w:sz w:val="24"/>
          <w:szCs w:val="20"/>
        </w:rPr>
        <w:t>：理财产品在资产管理、运营、处置过程中产生的收入，根据国家相关法律法规应缴纳增值税（含增值税附加税费，下同）及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或其他税费的，即使本产品管理人被税务机关认定为纳税义务人，该等增值税及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w:t>
      </w:r>
      <w:r w:rsidRPr="00EE478C">
        <w:rPr>
          <w:rFonts w:ascii="Times New Roman" w:eastAsia="仿宋_GB2312" w:hAnsi="Times New Roman"/>
          <w:sz w:val="24"/>
          <w:szCs w:val="20"/>
        </w:rPr>
        <w:t xml:space="preserve"> </w:t>
      </w:r>
    </w:p>
    <w:p w14:paraId="638503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不可抗力风险</w:t>
      </w:r>
      <w:r w:rsidRPr="00EE478C">
        <w:rPr>
          <w:rFonts w:ascii="Times New Roman" w:eastAsia="仿宋_GB2312" w:hAnsi="Times New Roman"/>
          <w:sz w:val="24"/>
          <w:szCs w:val="20"/>
        </w:rPr>
        <w:t>：指可能出现的自然灾害、战争等不可抗力因素将严重影响金融市场的正常运行，从而导致理财资产收益降低或损失，甚至影响理财产品的受理、投资、偿还等正常进行的风险。</w:t>
      </w:r>
    </w:p>
    <w:p w14:paraId="00F51B48"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估值风险</w:t>
      </w:r>
      <w:r w:rsidRPr="00EE478C">
        <w:rPr>
          <w:rFonts w:ascii="Times New Roman" w:eastAsia="仿宋_GB2312" w:hAnsi="Times New Roman"/>
          <w:sz w:val="24"/>
          <w:szCs w:val="20"/>
        </w:rPr>
        <w:t>：本理财产品按《产品说明书》的估值方法进行估值，理财产品估值与实际变现价值可能发生偏离，投资者应知晓该风险。管理人估值仅作为参考，管理人不承担第三方再次使用该估值引发的其他风险。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56244DC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关联交易风险</w:t>
      </w:r>
      <w:r w:rsidRPr="00EE478C">
        <w:rPr>
          <w:rFonts w:ascii="Times New Roman" w:eastAsia="仿宋_GB2312" w:hAnsi="Times New Roman"/>
          <w:sz w:val="24"/>
          <w:szCs w:val="20"/>
        </w:rPr>
        <w:t>：</w:t>
      </w:r>
      <w:r w:rsidRPr="00EE478C">
        <w:rPr>
          <w:rFonts w:ascii="Times New Roman" w:eastAsia="仿宋_GB2312" w:hAnsi="Times New Roman"/>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49C7D296" w14:textId="77777777" w:rsidR="000042AC" w:rsidRPr="00EE478C" w:rsidRDefault="000042AC" w:rsidP="000042AC">
      <w:pPr>
        <w:widowControl/>
        <w:spacing w:line="360" w:lineRule="auto"/>
        <w:rPr>
          <w:rFonts w:ascii="Times New Roman" w:eastAsia="仿宋_GB2312" w:hAnsi="Times New Roman"/>
          <w:sz w:val="24"/>
          <w:szCs w:val="20"/>
        </w:rPr>
      </w:pPr>
    </w:p>
    <w:p w14:paraId="11E691E5"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特定投资标的风险</w:t>
      </w:r>
    </w:p>
    <w:p w14:paraId="5577CA05" w14:textId="77777777" w:rsidR="000042AC" w:rsidRPr="00EE478C" w:rsidRDefault="000042AC" w:rsidP="000042AC">
      <w:pPr>
        <w:pStyle w:val="a3"/>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投资于债券的特殊风险：</w:t>
      </w:r>
      <w:r w:rsidRPr="00EE478C">
        <w:rPr>
          <w:rFonts w:eastAsia="仿宋_GB2312"/>
          <w:b/>
          <w:sz w:val="24"/>
          <w:szCs w:val="20"/>
        </w:rPr>
        <w:t xml:space="preserve"> </w:t>
      </w:r>
    </w:p>
    <w:p w14:paraId="6F8DF4C2"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A</w:t>
      </w:r>
      <w:r w:rsidRPr="00EE478C">
        <w:rPr>
          <w:rFonts w:ascii="Times New Roman" w:eastAsia="仿宋_GB2312" w:hAnsi="Times New Roman"/>
          <w:sz w:val="24"/>
          <w:szCs w:val="20"/>
        </w:rPr>
        <w:t>市场平均利率水平变化导致债券价格变化的风险。</w:t>
      </w:r>
      <w:r w:rsidRPr="00EE478C">
        <w:rPr>
          <w:rFonts w:ascii="Times New Roman" w:eastAsia="仿宋_GB2312" w:hAnsi="Times New Roman"/>
          <w:sz w:val="24"/>
          <w:szCs w:val="20"/>
        </w:rPr>
        <w:t xml:space="preserve"> </w:t>
      </w:r>
    </w:p>
    <w:p w14:paraId="33F3B99A"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B</w:t>
      </w:r>
      <w:r w:rsidRPr="00EE478C">
        <w:rPr>
          <w:rFonts w:ascii="Times New Roman" w:eastAsia="仿宋_GB2312" w:hAnsi="Times New Roman"/>
          <w:sz w:val="24"/>
          <w:szCs w:val="20"/>
        </w:rPr>
        <w:t>债券市场不同期限、不同类属债券之间的利差变动导致相应期限和类属债券价格变化的风险。</w:t>
      </w:r>
      <w:r w:rsidRPr="00EE478C">
        <w:rPr>
          <w:rFonts w:ascii="Times New Roman" w:eastAsia="仿宋_GB2312" w:hAnsi="Times New Roman"/>
          <w:sz w:val="24"/>
          <w:szCs w:val="20"/>
        </w:rPr>
        <w:t xml:space="preserve"> </w:t>
      </w:r>
    </w:p>
    <w:p w14:paraId="28241DF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 xml:space="preserve">C </w:t>
      </w:r>
      <w:r w:rsidRPr="00EE478C">
        <w:rPr>
          <w:rFonts w:ascii="Times New Roman" w:eastAsia="仿宋_GB2312" w:hAnsi="Times New Roman"/>
          <w:sz w:val="24"/>
          <w:szCs w:val="20"/>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sidRPr="00EE478C">
        <w:rPr>
          <w:rFonts w:ascii="Times New Roman" w:eastAsia="仿宋_GB2312" w:hAnsi="Times New Roman"/>
          <w:sz w:val="24"/>
          <w:szCs w:val="20"/>
        </w:rPr>
        <w:t xml:space="preserve"> </w:t>
      </w:r>
    </w:p>
    <w:p w14:paraId="0C9F52F9"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D</w:t>
      </w:r>
      <w:r w:rsidRPr="00EE478C">
        <w:rPr>
          <w:rFonts w:ascii="Times New Roman" w:eastAsia="仿宋_GB2312" w:hAnsi="Times New Roman"/>
          <w:sz w:val="24"/>
          <w:szCs w:val="20"/>
        </w:rPr>
        <w:t>债券发行人、担保人出现违约、拒绝支付到期本息，或由于债券发行人、担保人信用质量降低导致债券价格下降及无法收回投资收益的风险。</w:t>
      </w:r>
      <w:r w:rsidRPr="00EE478C">
        <w:rPr>
          <w:rFonts w:ascii="Times New Roman" w:eastAsia="仿宋_GB2312" w:hAnsi="Times New Roman"/>
          <w:sz w:val="24"/>
          <w:szCs w:val="20"/>
        </w:rPr>
        <w:t xml:space="preserve"> </w:t>
      </w:r>
    </w:p>
    <w:p w14:paraId="573EC8B0"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E</w:t>
      </w:r>
      <w:r w:rsidRPr="00EE478C">
        <w:rPr>
          <w:rFonts w:ascii="Times New Roman" w:eastAsia="仿宋_GB2312" w:hAnsi="Times New Roman"/>
          <w:sz w:val="24"/>
          <w:szCs w:val="20"/>
        </w:rPr>
        <w:t>与信用等级较高的债券相比，投资于信用等级较低的债券将因为发行主体的偿还债务能力略低、受不利经济环境的影响更大以及违约风险更高等原因而面临更大的投资风险。</w:t>
      </w:r>
      <w:r w:rsidRPr="00EE478C">
        <w:rPr>
          <w:rFonts w:ascii="Times New Roman" w:eastAsia="仿宋_GB2312" w:hAnsi="Times New Roman"/>
          <w:sz w:val="24"/>
          <w:szCs w:val="20"/>
        </w:rPr>
        <w:t xml:space="preserve"> </w:t>
      </w:r>
    </w:p>
    <w:p w14:paraId="1EA5E48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F</w:t>
      </w:r>
      <w:r w:rsidRPr="00EE478C">
        <w:rPr>
          <w:rFonts w:ascii="Times New Roman" w:eastAsia="仿宋_GB2312" w:hAnsi="Times New Roman"/>
          <w:sz w:val="24"/>
          <w:szCs w:val="20"/>
        </w:rPr>
        <w:t>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债券将面临较大的投资风险。</w:t>
      </w:r>
      <w:r w:rsidRPr="00EE478C">
        <w:rPr>
          <w:rFonts w:ascii="Times New Roman" w:eastAsia="仿宋_GB2312" w:hAnsi="Times New Roman"/>
          <w:sz w:val="24"/>
          <w:szCs w:val="20"/>
        </w:rPr>
        <w:t xml:space="preserve"> </w:t>
      </w:r>
    </w:p>
    <w:p w14:paraId="5D3DBC2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G</w:t>
      </w:r>
      <w:r w:rsidRPr="00EE478C">
        <w:rPr>
          <w:rFonts w:ascii="Times New Roman" w:eastAsia="仿宋_GB2312" w:hAnsi="Times New Roman"/>
          <w:sz w:val="24"/>
          <w:szCs w:val="20"/>
        </w:rPr>
        <w:t>相对于公开发行的债券，其他债券的流动性较差，其流通和转让均存在一定的限制，因此投资于该类债券将面临更大的投资风险。</w:t>
      </w:r>
      <w:r w:rsidRPr="00EE478C">
        <w:rPr>
          <w:rFonts w:ascii="Times New Roman" w:eastAsia="仿宋_GB2312" w:hAnsi="Times New Roman"/>
          <w:sz w:val="24"/>
          <w:szCs w:val="20"/>
        </w:rPr>
        <w:t xml:space="preserve"> </w:t>
      </w:r>
    </w:p>
    <w:p w14:paraId="24690B14" w14:textId="77777777" w:rsidR="000042AC" w:rsidRPr="00EE478C" w:rsidRDefault="000042AC" w:rsidP="000042AC">
      <w:pPr>
        <w:pStyle w:val="a3"/>
        <w:widowControl/>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投资于资产支持证券的特殊风险</w:t>
      </w:r>
      <w:r w:rsidRPr="00EE478C">
        <w:rPr>
          <w:rFonts w:eastAsia="仿宋_GB2312"/>
          <w:b/>
          <w:sz w:val="24"/>
          <w:szCs w:val="20"/>
        </w:rPr>
        <w:t xml:space="preserve"> </w:t>
      </w:r>
    </w:p>
    <w:p w14:paraId="6CDAB3F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w:t>
      </w:r>
      <w:r w:rsidRPr="00EE478C">
        <w:rPr>
          <w:rFonts w:ascii="Times New Roman" w:eastAsia="仿宋_GB2312" w:hAnsi="Times New Roman"/>
          <w:sz w:val="24"/>
          <w:szCs w:val="20"/>
        </w:rPr>
        <w:t xml:space="preserve"> </w:t>
      </w:r>
    </w:p>
    <w:p w14:paraId="1D37D3D1" w14:textId="77777777" w:rsidR="000042AC" w:rsidRPr="00EE478C" w:rsidRDefault="000042AC" w:rsidP="000042AC">
      <w:pPr>
        <w:spacing w:line="360" w:lineRule="auto"/>
        <w:rPr>
          <w:rFonts w:ascii="Times New Roman" w:eastAsia="仿宋_GB2312" w:hAnsi="Times New Roman"/>
          <w:sz w:val="24"/>
          <w:szCs w:val="20"/>
        </w:rPr>
      </w:pPr>
    </w:p>
    <w:p w14:paraId="01C5C9C7"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《平安理财天天成长</w:t>
      </w:r>
      <w:r w:rsidRPr="00EE478C">
        <w:rPr>
          <w:rFonts w:ascii="Times New Roman" w:eastAsia="仿宋_GB2312" w:hAnsi="Times New Roman"/>
          <w:sz w:val="24"/>
          <w:szCs w:val="20"/>
        </w:rPr>
        <w:t>3</w:t>
      </w:r>
      <w:r w:rsidRPr="00EE478C">
        <w:rPr>
          <w:rFonts w:ascii="Times New Roman" w:eastAsia="仿宋_GB2312" w:hAnsi="Times New Roman"/>
          <w:sz w:val="24"/>
          <w:szCs w:val="20"/>
        </w:rPr>
        <w:t>号</w:t>
      </w:r>
      <w:r w:rsidRPr="00EE478C">
        <w:rPr>
          <w:rFonts w:ascii="Times New Roman" w:eastAsia="仿宋_GB2312" w:hAnsi="Times New Roman"/>
          <w:sz w:val="24"/>
          <w:szCs w:val="20"/>
        </w:rPr>
        <w:t>38</w:t>
      </w:r>
      <w:r w:rsidRPr="00EE478C">
        <w:rPr>
          <w:rFonts w:ascii="Times New Roman" w:eastAsia="仿宋_GB2312" w:hAnsi="Times New Roman"/>
          <w:sz w:val="24"/>
          <w:szCs w:val="20"/>
        </w:rPr>
        <w:t>期现金管理类理财产品风险揭示书》（以下简称</w:t>
      </w:r>
      <w:r w:rsidRPr="00EE478C">
        <w:rPr>
          <w:rFonts w:ascii="Times New Roman" w:eastAsia="仿宋_GB2312" w:hAnsi="Times New Roman"/>
          <w:sz w:val="24"/>
          <w:szCs w:val="20"/>
        </w:rPr>
        <w:t>“</w:t>
      </w:r>
      <w:r w:rsidRPr="00EE478C">
        <w:rPr>
          <w:rFonts w:ascii="Times New Roman" w:eastAsia="仿宋_GB2312" w:hAnsi="Times New Roman"/>
          <w:sz w:val="24"/>
          <w:szCs w:val="20"/>
        </w:rPr>
        <w:t>《风险揭示书》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所揭示事项仅为列举性质，未能详尽列明投资者参与本理财产品所面临的全部风险和可能导致投资者资产损失的所有因素。投资者在购买本理财产品前，应当仔细阅读《投资协议书》、《代理销售协议书》、《客户权益须知》、《产品说明书》和本《风险揭示书》的全部内容，同时向我公司或销售服务机构了解本理财产品的其他相关信息，并自己独立作出是否认购或申购本理财产品的决定。</w:t>
      </w:r>
    </w:p>
    <w:p w14:paraId="1BDA8A66" w14:textId="77777777" w:rsidR="000042AC" w:rsidRPr="00EE478C" w:rsidRDefault="000042AC" w:rsidP="000042AC">
      <w:pPr>
        <w:spacing w:line="360" w:lineRule="auto"/>
        <w:rPr>
          <w:rFonts w:ascii="Times New Roman" w:eastAsia="仿宋_GB2312" w:hAnsi="Times New Roman"/>
          <w:sz w:val="24"/>
          <w:szCs w:val="20"/>
        </w:rPr>
      </w:pPr>
    </w:p>
    <w:p w14:paraId="29FC19E4" w14:textId="77777777" w:rsidR="000042AC" w:rsidRPr="00EE478C" w:rsidRDefault="000042AC" w:rsidP="000042AC">
      <w:pPr>
        <w:tabs>
          <w:tab w:val="left" w:pos="8647"/>
        </w:tabs>
        <w:spacing w:line="360" w:lineRule="auto"/>
        <w:contextualSpacing/>
        <w:mirrorIndents/>
        <w:jc w:val="center"/>
        <w:rPr>
          <w:rFonts w:ascii="Times New Roman" w:eastAsia="仿宋_GB2312" w:hAnsi="Times New Roman"/>
          <w:b/>
          <w:sz w:val="32"/>
          <w:szCs w:val="20"/>
        </w:rPr>
      </w:pPr>
      <w:r w:rsidRPr="00EE478C">
        <w:rPr>
          <w:rFonts w:ascii="Times New Roman" w:eastAsia="仿宋_GB2312" w:hAnsi="Times New Roman"/>
          <w:b/>
          <w:sz w:val="32"/>
          <w:szCs w:val="20"/>
        </w:rPr>
        <w:t>确认函</w:t>
      </w:r>
    </w:p>
    <w:p w14:paraId="4779F819" w14:textId="77777777" w:rsidR="000042AC" w:rsidRPr="00EE478C" w:rsidRDefault="000042AC" w:rsidP="000042AC">
      <w:pPr>
        <w:spacing w:line="360" w:lineRule="auto"/>
        <w:ind w:firstLineChars="200" w:firstLine="480"/>
        <w:jc w:val="left"/>
        <w:rPr>
          <w:rFonts w:ascii="Times New Roman" w:eastAsia="仿宋_GB2312" w:hAnsi="Times New Roman"/>
          <w:sz w:val="24"/>
          <w:szCs w:val="20"/>
        </w:rPr>
      </w:pPr>
      <w:r w:rsidRPr="00EE478C">
        <w:rPr>
          <w:rFonts w:ascii="Times New Roman" w:eastAsia="仿宋_GB2312" w:hAnsi="Times New Roman"/>
          <w:sz w:val="24"/>
          <w:szCs w:val="20"/>
        </w:rPr>
        <w:t>投资者在此声明：</w:t>
      </w:r>
      <w:r w:rsidRPr="00EE478C">
        <w:rPr>
          <w:rFonts w:ascii="Times New Roman" w:eastAsia="仿宋_GB2312" w:hAnsi="Times New Roman"/>
          <w:b/>
          <w:sz w:val="24"/>
        </w:rPr>
        <w:t>本投资者已认真阅读并充分理解</w:t>
      </w:r>
      <w:r w:rsidRPr="00EE478C">
        <w:rPr>
          <w:rFonts w:ascii="Times New Roman" w:eastAsia="仿宋_GB2312" w:hAnsi="Times New Roman"/>
          <w:b/>
          <w:sz w:val="24"/>
          <w:szCs w:val="20"/>
        </w:rPr>
        <w:t>《投资协议书》、《代理销售协议书》、《客户权益须知》、</w:t>
      </w:r>
      <w:r w:rsidRPr="00EE478C">
        <w:rPr>
          <w:rFonts w:ascii="Times New Roman" w:eastAsia="仿宋_GB2312" w:hAnsi="Times New Roman"/>
          <w:b/>
          <w:sz w:val="24"/>
        </w:rPr>
        <w:t>《产品说明书》与上列《风险揭示书》（以下统称为</w:t>
      </w:r>
      <w:r w:rsidRPr="00EE478C">
        <w:rPr>
          <w:rFonts w:ascii="Times New Roman" w:eastAsia="仿宋_GB2312" w:hAnsi="Times New Roman"/>
          <w:b/>
          <w:sz w:val="24"/>
          <w:szCs w:val="20"/>
        </w:rPr>
        <w:t>“</w:t>
      </w:r>
      <w:r w:rsidRPr="00EE478C">
        <w:rPr>
          <w:rFonts w:ascii="Times New Roman" w:eastAsia="仿宋_GB2312" w:hAnsi="Times New Roman"/>
          <w:b/>
          <w:sz w:val="24"/>
          <w:szCs w:val="20"/>
        </w:rPr>
        <w:t>销售文件</w:t>
      </w:r>
      <w:r w:rsidRPr="00EE478C">
        <w:rPr>
          <w:rFonts w:ascii="Times New Roman" w:eastAsia="仿宋_GB2312" w:hAnsi="Times New Roman"/>
          <w:b/>
          <w:sz w:val="24"/>
          <w:szCs w:val="20"/>
        </w:rPr>
        <w:t>”</w:t>
      </w:r>
      <w:r w:rsidRPr="00EE478C">
        <w:rPr>
          <w:rFonts w:ascii="Times New Roman" w:eastAsia="仿宋_GB2312" w:hAnsi="Times New Roman"/>
          <w:b/>
          <w:sz w:val="24"/>
        </w:rPr>
        <w:t>）的条款与内容，充分了解并清楚知晓本理财产品蕴含的风险。</w:t>
      </w:r>
      <w:r w:rsidRPr="00EE478C">
        <w:rPr>
          <w:rFonts w:ascii="Times New Roman" w:eastAsia="仿宋_GB2312" w:hAnsi="Times New Roman"/>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EE478C">
        <w:rPr>
          <w:rFonts w:ascii="Times New Roman" w:eastAsia="仿宋_GB2312" w:hAnsi="Times New Roman"/>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EE478C">
        <w:rPr>
          <w:rFonts w:ascii="Times New Roman" w:eastAsia="仿宋_GB2312" w:hAnsi="Times New Roman"/>
          <w:sz w:val="24"/>
          <w:szCs w:val="20"/>
        </w:rPr>
        <w:t>本投资者购买理财产品的资金为合法自有资金，不存在使用贷款、发行债券等筹集的非自有资金投资资产管理产品的情形，本人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本机构承诺投资理财产品使用的资金来源合法合规，并且系为合法之目的投资本理财产品，而非为洗钱等违法犯罪之目的，本人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2D2FC0B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投资者在此确认：本投资者风险承受能力评级为：</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1C01A41F" w14:textId="77777777" w:rsidR="000042AC" w:rsidRPr="00EE478C" w:rsidRDefault="000042AC" w:rsidP="000042AC">
      <w:pPr>
        <w:spacing w:line="360" w:lineRule="auto"/>
        <w:jc w:val="left"/>
        <w:rPr>
          <w:rFonts w:ascii="Times New Roman" w:eastAsia="仿宋_GB2312" w:hAnsi="Times New Roman"/>
          <w:b/>
          <w:sz w:val="24"/>
          <w:szCs w:val="20"/>
        </w:rPr>
      </w:pPr>
    </w:p>
    <w:p w14:paraId="0601F91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根据《商业银行理财业务监督管理办法》和《理财公司理财产品销售管理暂行办法》，请抄录以下语句并签字（若以电子形式签署的，投资者点击确认即视为抄录完成）：</w:t>
      </w:r>
    </w:p>
    <w:p w14:paraId="14BE2AFF"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本投资者已经阅读风险揭示及全部销售文件的条款与内容，充分了解并清楚知晓本理财产品的风险，愿意承担投资风险。</w:t>
      </w:r>
      <w:r w:rsidRPr="00EE478C">
        <w:rPr>
          <w:rFonts w:ascii="Times New Roman" w:eastAsia="仿宋_GB2312" w:hAnsi="Times New Roman"/>
          <w:sz w:val="24"/>
          <w:szCs w:val="20"/>
        </w:rPr>
        <w:t>”</w:t>
      </w:r>
    </w:p>
    <w:p w14:paraId="5E84363A" w14:textId="77777777" w:rsidR="000042AC" w:rsidRPr="00EE478C" w:rsidRDefault="000042AC" w:rsidP="000042AC">
      <w:pPr>
        <w:spacing w:line="360" w:lineRule="auto"/>
        <w:rPr>
          <w:rFonts w:ascii="Times New Roman" w:eastAsia="仿宋_GB2312" w:hAnsi="Times New Roman"/>
          <w:sz w:val="24"/>
          <w:szCs w:val="20"/>
        </w:rPr>
      </w:pPr>
      <w:r w:rsidRPr="00EE478C">
        <w:rPr>
          <w:rFonts w:ascii="Times New Roman" w:eastAsia="仿宋_GB2312" w:hAnsi="Times New Roman"/>
          <w:sz w:val="24"/>
          <w:szCs w:val="20"/>
        </w:rPr>
        <w:t>___________________________________________________________________________________________________________________________________</w:t>
      </w:r>
    </w:p>
    <w:p w14:paraId="112134C0"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投资者（签名）：</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日期：</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年</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月</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w:t>
      </w:r>
    </w:p>
    <w:p w14:paraId="41F16FE2" w14:textId="77777777" w:rsidR="000042AC" w:rsidRPr="00EE478C" w:rsidRDefault="000042AC" w:rsidP="000042AC">
      <w:pPr>
        <w:spacing w:line="360" w:lineRule="auto"/>
        <w:rPr>
          <w:rFonts w:ascii="Times New Roman" w:eastAsia="仿宋_GB2312" w:hAnsi="Times New Roman"/>
          <w:b/>
          <w:sz w:val="24"/>
          <w:szCs w:val="20"/>
        </w:rPr>
      </w:pPr>
    </w:p>
    <w:p w14:paraId="665E0B8A" w14:textId="77777777" w:rsidR="000042AC" w:rsidRPr="00EE478C" w:rsidRDefault="000042AC" w:rsidP="000042A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p w14:paraId="5E9098FB" w14:textId="7A48B114" w:rsidR="0023131E" w:rsidRPr="00EE478C" w:rsidRDefault="004D7ACA" w:rsidP="00170C5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sectPr w:rsidR="0023131E" w:rsidRPr="00EE47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402E7" w14:textId="77777777" w:rsidR="00A16FA0" w:rsidRDefault="00A16FA0">
      <w:r>
        <w:separator/>
      </w:r>
    </w:p>
  </w:endnote>
  <w:endnote w:type="continuationSeparator" w:id="0">
    <w:p w14:paraId="16C2A9E9" w14:textId="77777777" w:rsidR="00A16FA0" w:rsidRDefault="00A1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7C18" w14:textId="2EE3CEC8" w:rsidR="003B069F" w:rsidRPr="003B069F" w:rsidRDefault="003B069F" w:rsidP="003B069F">
    <w:pPr>
      <w:pStyle w:val="a9"/>
      <w:jc w:val="center"/>
      <w:rPr>
        <w:rFonts w:ascii="Arial" w:hAnsi="Arial" w:cs="Arial"/>
      </w:rPr>
    </w:pPr>
    <w:r w:rsidRPr="003B069F">
      <w:rPr>
        <w:rFonts w:ascii="Arial" w:hAnsi="Arial" w:cs="Arial"/>
        <w:lang w:val="zh-CN"/>
      </w:rPr>
      <w:t xml:space="preserve"> </w:t>
    </w:r>
    <w:r w:rsidRPr="003B069F">
      <w:rPr>
        <w:rFonts w:ascii="Arial" w:hAnsi="Arial" w:cs="Arial"/>
        <w:b/>
        <w:bCs/>
        <w:sz w:val="24"/>
        <w:szCs w:val="24"/>
      </w:rPr>
      <w:fldChar w:fldCharType="begin"/>
    </w:r>
    <w:r w:rsidRPr="003B069F">
      <w:rPr>
        <w:rFonts w:ascii="Arial" w:hAnsi="Arial" w:cs="Arial"/>
        <w:b/>
        <w:bCs/>
      </w:rPr>
      <w:instrText>PAGE</w:instrText>
    </w:r>
    <w:r w:rsidRPr="003B069F">
      <w:rPr>
        <w:rFonts w:ascii="Arial" w:hAnsi="Arial" w:cs="Arial"/>
        <w:b/>
        <w:bCs/>
        <w:sz w:val="24"/>
        <w:szCs w:val="24"/>
      </w:rPr>
      <w:fldChar w:fldCharType="separate"/>
    </w:r>
    <w:r w:rsidR="006419FE">
      <w:rPr>
        <w:rFonts w:ascii="Arial" w:hAnsi="Arial" w:cs="Arial"/>
        <w:b/>
        <w:bCs/>
        <w:noProof/>
      </w:rPr>
      <w:t>2</w:t>
    </w:r>
    <w:r w:rsidRPr="003B069F">
      <w:rPr>
        <w:rFonts w:ascii="Arial" w:hAnsi="Arial" w:cs="Arial"/>
        <w:b/>
        <w:bCs/>
        <w:sz w:val="24"/>
        <w:szCs w:val="24"/>
      </w:rPr>
      <w:fldChar w:fldCharType="end"/>
    </w:r>
    <w:r w:rsidRPr="003B069F">
      <w:rPr>
        <w:rFonts w:ascii="Arial" w:hAnsi="Arial" w:cs="Arial"/>
        <w:lang w:val="zh-CN"/>
      </w:rPr>
      <w:t xml:space="preserve"> / </w:t>
    </w:r>
    <w:r w:rsidRPr="003B069F">
      <w:rPr>
        <w:rFonts w:ascii="Arial" w:hAnsi="Arial" w:cs="Arial"/>
        <w:b/>
        <w:bCs/>
        <w:sz w:val="24"/>
        <w:szCs w:val="24"/>
      </w:rPr>
      <w:fldChar w:fldCharType="begin"/>
    </w:r>
    <w:r w:rsidRPr="003B069F">
      <w:rPr>
        <w:rFonts w:ascii="Arial" w:hAnsi="Arial" w:cs="Arial"/>
        <w:b/>
        <w:bCs/>
      </w:rPr>
      <w:instrText>NUMPAGES</w:instrText>
    </w:r>
    <w:r w:rsidRPr="003B069F">
      <w:rPr>
        <w:rFonts w:ascii="Arial" w:hAnsi="Arial" w:cs="Arial"/>
        <w:b/>
        <w:bCs/>
        <w:sz w:val="24"/>
        <w:szCs w:val="24"/>
      </w:rPr>
      <w:fldChar w:fldCharType="separate"/>
    </w:r>
    <w:r w:rsidR="006419FE">
      <w:rPr>
        <w:rFonts w:ascii="Arial" w:hAnsi="Arial" w:cs="Arial"/>
        <w:b/>
        <w:bCs/>
        <w:noProof/>
      </w:rPr>
      <w:t>2</w:t>
    </w:r>
    <w:r w:rsidRPr="003B069F">
      <w:rPr>
        <w:rFonts w:ascii="Arial" w:hAnsi="Arial" w:cs="Arial"/>
        <w:b/>
        <w:bCs/>
        <w:sz w:val="24"/>
        <w:szCs w:val="24"/>
      </w:rPr>
      <w:fldChar w:fldCharType="end"/>
    </w:r>
  </w:p>
  <w:p w14:paraId="7BF55CE9" w14:textId="77777777" w:rsidR="003B069F" w:rsidRDefault="003B069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AFE5B" w14:textId="77777777" w:rsidR="00A16FA0" w:rsidRDefault="00A16FA0">
      <w:r>
        <w:separator/>
      </w:r>
    </w:p>
  </w:footnote>
  <w:footnote w:type="continuationSeparator" w:id="0">
    <w:p w14:paraId="25A9BAD7" w14:textId="77777777" w:rsidR="00A16FA0" w:rsidRDefault="00A16F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1">
    <w:nsid w:val="227E0564"/>
    <w:multiLevelType w:val="hybridMultilevel"/>
    <w:tmpl w:val="9AA66816"/>
    <w:lvl w:ilvl="0" w:tplc="83B88A48">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EE0BEF"/>
    <w:multiLevelType w:val="hybridMultilevel"/>
    <w:tmpl w:val="8C2C0902"/>
    <w:lvl w:ilvl="0" w:tplc="AEA0D25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42AC"/>
    <w:rsid w:val="000072A3"/>
    <w:rsid w:val="000134BE"/>
    <w:rsid w:val="000158CD"/>
    <w:rsid w:val="00030AAA"/>
    <w:rsid w:val="000337D0"/>
    <w:rsid w:val="00036934"/>
    <w:rsid w:val="000412B4"/>
    <w:rsid w:val="00042275"/>
    <w:rsid w:val="00047531"/>
    <w:rsid w:val="00050B01"/>
    <w:rsid w:val="00054594"/>
    <w:rsid w:val="00066026"/>
    <w:rsid w:val="00070936"/>
    <w:rsid w:val="00082470"/>
    <w:rsid w:val="000B3289"/>
    <w:rsid w:val="000B783A"/>
    <w:rsid w:val="000C0954"/>
    <w:rsid w:val="000E15AF"/>
    <w:rsid w:val="000E70BD"/>
    <w:rsid w:val="000F1A7A"/>
    <w:rsid w:val="000F6839"/>
    <w:rsid w:val="00107232"/>
    <w:rsid w:val="00110CC5"/>
    <w:rsid w:val="00135BDA"/>
    <w:rsid w:val="0014196C"/>
    <w:rsid w:val="0016028F"/>
    <w:rsid w:val="00162780"/>
    <w:rsid w:val="00164422"/>
    <w:rsid w:val="00164BE4"/>
    <w:rsid w:val="00170C5C"/>
    <w:rsid w:val="001A2817"/>
    <w:rsid w:val="001B51B4"/>
    <w:rsid w:val="001C5324"/>
    <w:rsid w:val="002033EB"/>
    <w:rsid w:val="00223859"/>
    <w:rsid w:val="0023131E"/>
    <w:rsid w:val="002369BD"/>
    <w:rsid w:val="00240A94"/>
    <w:rsid w:val="0027071F"/>
    <w:rsid w:val="002848F7"/>
    <w:rsid w:val="00290C0F"/>
    <w:rsid w:val="00293D33"/>
    <w:rsid w:val="00295320"/>
    <w:rsid w:val="00323D88"/>
    <w:rsid w:val="00330DB2"/>
    <w:rsid w:val="003371A5"/>
    <w:rsid w:val="00343EFD"/>
    <w:rsid w:val="00360015"/>
    <w:rsid w:val="00365D0D"/>
    <w:rsid w:val="00374FA7"/>
    <w:rsid w:val="00382D29"/>
    <w:rsid w:val="0039389C"/>
    <w:rsid w:val="003A0CD2"/>
    <w:rsid w:val="003A31E7"/>
    <w:rsid w:val="003A4D5E"/>
    <w:rsid w:val="003A52DE"/>
    <w:rsid w:val="003B069F"/>
    <w:rsid w:val="003B50F5"/>
    <w:rsid w:val="003B7D70"/>
    <w:rsid w:val="003D6A95"/>
    <w:rsid w:val="003E05D3"/>
    <w:rsid w:val="0041475F"/>
    <w:rsid w:val="00426C58"/>
    <w:rsid w:val="00435E37"/>
    <w:rsid w:val="00437FF4"/>
    <w:rsid w:val="00474083"/>
    <w:rsid w:val="00477D01"/>
    <w:rsid w:val="0049198D"/>
    <w:rsid w:val="004A24BD"/>
    <w:rsid w:val="004A6448"/>
    <w:rsid w:val="004B0268"/>
    <w:rsid w:val="004D156A"/>
    <w:rsid w:val="004D21F0"/>
    <w:rsid w:val="004D7ACA"/>
    <w:rsid w:val="004F0529"/>
    <w:rsid w:val="004F3F68"/>
    <w:rsid w:val="0050793A"/>
    <w:rsid w:val="00507A23"/>
    <w:rsid w:val="00516032"/>
    <w:rsid w:val="005452F3"/>
    <w:rsid w:val="005632A5"/>
    <w:rsid w:val="00572371"/>
    <w:rsid w:val="00581B2F"/>
    <w:rsid w:val="00587877"/>
    <w:rsid w:val="00587AF9"/>
    <w:rsid w:val="00591960"/>
    <w:rsid w:val="00593F01"/>
    <w:rsid w:val="005A3A58"/>
    <w:rsid w:val="005A6F52"/>
    <w:rsid w:val="005B3ABD"/>
    <w:rsid w:val="005B5089"/>
    <w:rsid w:val="00605F5B"/>
    <w:rsid w:val="00612C1D"/>
    <w:rsid w:val="00620D80"/>
    <w:rsid w:val="00634DB4"/>
    <w:rsid w:val="00635854"/>
    <w:rsid w:val="00635ABC"/>
    <w:rsid w:val="006417B1"/>
    <w:rsid w:val="006419FE"/>
    <w:rsid w:val="006438CC"/>
    <w:rsid w:val="00647150"/>
    <w:rsid w:val="006612E8"/>
    <w:rsid w:val="006616FD"/>
    <w:rsid w:val="00670AD2"/>
    <w:rsid w:val="006765C1"/>
    <w:rsid w:val="00693626"/>
    <w:rsid w:val="006A4F46"/>
    <w:rsid w:val="006B23CE"/>
    <w:rsid w:val="006B75A7"/>
    <w:rsid w:val="006D07E2"/>
    <w:rsid w:val="006F3C1D"/>
    <w:rsid w:val="00714B97"/>
    <w:rsid w:val="0073397C"/>
    <w:rsid w:val="00734710"/>
    <w:rsid w:val="00743BD6"/>
    <w:rsid w:val="00752BF4"/>
    <w:rsid w:val="0075602D"/>
    <w:rsid w:val="00770A05"/>
    <w:rsid w:val="007819FE"/>
    <w:rsid w:val="00787320"/>
    <w:rsid w:val="00790295"/>
    <w:rsid w:val="0079268A"/>
    <w:rsid w:val="00793C59"/>
    <w:rsid w:val="00796923"/>
    <w:rsid w:val="007A5137"/>
    <w:rsid w:val="007B7492"/>
    <w:rsid w:val="007C3E82"/>
    <w:rsid w:val="007F163F"/>
    <w:rsid w:val="007F2583"/>
    <w:rsid w:val="0080394B"/>
    <w:rsid w:val="008104F7"/>
    <w:rsid w:val="008428DB"/>
    <w:rsid w:val="00857731"/>
    <w:rsid w:val="00876D07"/>
    <w:rsid w:val="00885300"/>
    <w:rsid w:val="00891BEB"/>
    <w:rsid w:val="008A599A"/>
    <w:rsid w:val="008B5E16"/>
    <w:rsid w:val="008D13B1"/>
    <w:rsid w:val="008D6668"/>
    <w:rsid w:val="008F555C"/>
    <w:rsid w:val="008F62C7"/>
    <w:rsid w:val="0090388D"/>
    <w:rsid w:val="0091439D"/>
    <w:rsid w:val="00914800"/>
    <w:rsid w:val="0091595B"/>
    <w:rsid w:val="0092775B"/>
    <w:rsid w:val="00943A58"/>
    <w:rsid w:val="00944D33"/>
    <w:rsid w:val="00947C7F"/>
    <w:rsid w:val="00954876"/>
    <w:rsid w:val="0096175A"/>
    <w:rsid w:val="00961B20"/>
    <w:rsid w:val="009624D8"/>
    <w:rsid w:val="0097410A"/>
    <w:rsid w:val="0097791F"/>
    <w:rsid w:val="009837C2"/>
    <w:rsid w:val="0098479D"/>
    <w:rsid w:val="0098703E"/>
    <w:rsid w:val="00995713"/>
    <w:rsid w:val="009A0002"/>
    <w:rsid w:val="009C0076"/>
    <w:rsid w:val="009C0985"/>
    <w:rsid w:val="009C289B"/>
    <w:rsid w:val="009D7F8F"/>
    <w:rsid w:val="009E0CB8"/>
    <w:rsid w:val="009E3267"/>
    <w:rsid w:val="009E51EE"/>
    <w:rsid w:val="009F5C75"/>
    <w:rsid w:val="00A16FA0"/>
    <w:rsid w:val="00A43569"/>
    <w:rsid w:val="00A53817"/>
    <w:rsid w:val="00A546F0"/>
    <w:rsid w:val="00A60F15"/>
    <w:rsid w:val="00A65D5F"/>
    <w:rsid w:val="00A75CFB"/>
    <w:rsid w:val="00A7748B"/>
    <w:rsid w:val="00A866EC"/>
    <w:rsid w:val="00A92ACE"/>
    <w:rsid w:val="00A96650"/>
    <w:rsid w:val="00A97B3D"/>
    <w:rsid w:val="00AC6E4B"/>
    <w:rsid w:val="00AD4C30"/>
    <w:rsid w:val="00B0043D"/>
    <w:rsid w:val="00B00BD9"/>
    <w:rsid w:val="00B00EFB"/>
    <w:rsid w:val="00B0388F"/>
    <w:rsid w:val="00B100F5"/>
    <w:rsid w:val="00B11E07"/>
    <w:rsid w:val="00B168B8"/>
    <w:rsid w:val="00B16A78"/>
    <w:rsid w:val="00B24149"/>
    <w:rsid w:val="00B2789D"/>
    <w:rsid w:val="00B41635"/>
    <w:rsid w:val="00B450F2"/>
    <w:rsid w:val="00B45BD2"/>
    <w:rsid w:val="00B52741"/>
    <w:rsid w:val="00B83F82"/>
    <w:rsid w:val="00BB69C9"/>
    <w:rsid w:val="00BC5FF9"/>
    <w:rsid w:val="00BC6D66"/>
    <w:rsid w:val="00BD4EC2"/>
    <w:rsid w:val="00BE7BCF"/>
    <w:rsid w:val="00BF406A"/>
    <w:rsid w:val="00C030CB"/>
    <w:rsid w:val="00C05597"/>
    <w:rsid w:val="00C06FC7"/>
    <w:rsid w:val="00C127D4"/>
    <w:rsid w:val="00C13437"/>
    <w:rsid w:val="00C139E2"/>
    <w:rsid w:val="00C157D4"/>
    <w:rsid w:val="00C22C6E"/>
    <w:rsid w:val="00C578A3"/>
    <w:rsid w:val="00C643D7"/>
    <w:rsid w:val="00C66B46"/>
    <w:rsid w:val="00C67107"/>
    <w:rsid w:val="00C7275B"/>
    <w:rsid w:val="00C830B3"/>
    <w:rsid w:val="00C95357"/>
    <w:rsid w:val="00CB1B6E"/>
    <w:rsid w:val="00CC2A98"/>
    <w:rsid w:val="00CC4341"/>
    <w:rsid w:val="00CE11F8"/>
    <w:rsid w:val="00CE4530"/>
    <w:rsid w:val="00D0616F"/>
    <w:rsid w:val="00D114E8"/>
    <w:rsid w:val="00D37920"/>
    <w:rsid w:val="00D43148"/>
    <w:rsid w:val="00D465B3"/>
    <w:rsid w:val="00D5167D"/>
    <w:rsid w:val="00D54C8C"/>
    <w:rsid w:val="00D63542"/>
    <w:rsid w:val="00D64CDE"/>
    <w:rsid w:val="00D67DD5"/>
    <w:rsid w:val="00D74AFF"/>
    <w:rsid w:val="00D82040"/>
    <w:rsid w:val="00D83EF5"/>
    <w:rsid w:val="00D91F39"/>
    <w:rsid w:val="00D9573D"/>
    <w:rsid w:val="00D97066"/>
    <w:rsid w:val="00DA1957"/>
    <w:rsid w:val="00DB1130"/>
    <w:rsid w:val="00DD7A99"/>
    <w:rsid w:val="00DD7D87"/>
    <w:rsid w:val="00DE2EA6"/>
    <w:rsid w:val="00E04114"/>
    <w:rsid w:val="00E1665B"/>
    <w:rsid w:val="00E20F55"/>
    <w:rsid w:val="00E341B7"/>
    <w:rsid w:val="00E559B4"/>
    <w:rsid w:val="00E64962"/>
    <w:rsid w:val="00E70F14"/>
    <w:rsid w:val="00E727EE"/>
    <w:rsid w:val="00E80418"/>
    <w:rsid w:val="00EA1B1D"/>
    <w:rsid w:val="00EA2232"/>
    <w:rsid w:val="00EA6F28"/>
    <w:rsid w:val="00EB470A"/>
    <w:rsid w:val="00EB7F1B"/>
    <w:rsid w:val="00EC04EA"/>
    <w:rsid w:val="00ED0893"/>
    <w:rsid w:val="00ED2BA5"/>
    <w:rsid w:val="00EE478C"/>
    <w:rsid w:val="00EF0BCE"/>
    <w:rsid w:val="00EF25A0"/>
    <w:rsid w:val="00F1733A"/>
    <w:rsid w:val="00F2730D"/>
    <w:rsid w:val="00F55545"/>
    <w:rsid w:val="00F73378"/>
    <w:rsid w:val="00F83B14"/>
    <w:rsid w:val="00F85A57"/>
    <w:rsid w:val="00F865B9"/>
    <w:rsid w:val="00FA0264"/>
    <w:rsid w:val="00FA67D6"/>
    <w:rsid w:val="00FB05BA"/>
    <w:rsid w:val="00FD0493"/>
    <w:rsid w:val="00FD583E"/>
    <w:rsid w:val="00FE125C"/>
    <w:rsid w:val="00FE69B6"/>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636A33"/>
  <w15:chartTrackingRefBased/>
  <w15:docId w15:val="{1DD0F69F-1816-4D8C-9751-B639B74E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7ACA"/>
    <w:pPr>
      <w:ind w:firstLineChars="200" w:firstLine="420"/>
    </w:pPr>
    <w:rPr>
      <w:rFonts w:ascii="Times New Roman" w:hAnsi="Times New Roman"/>
      <w:szCs w:val="24"/>
    </w:rPr>
  </w:style>
  <w:style w:type="paragraph" w:styleId="a5">
    <w:name w:val="Balloon Text"/>
    <w:basedOn w:val="a"/>
    <w:link w:val="a6"/>
    <w:uiPriority w:val="99"/>
    <w:semiHidden/>
    <w:unhideWhenUsed/>
    <w:rsid w:val="007B7492"/>
    <w:rPr>
      <w:sz w:val="18"/>
      <w:szCs w:val="18"/>
    </w:rPr>
  </w:style>
  <w:style w:type="character" w:customStyle="1" w:styleId="a6">
    <w:name w:val="批注框文本 字符"/>
    <w:link w:val="a5"/>
    <w:uiPriority w:val="99"/>
    <w:semiHidden/>
    <w:rsid w:val="007B7492"/>
    <w:rPr>
      <w:kern w:val="2"/>
      <w:sz w:val="18"/>
      <w:szCs w:val="18"/>
    </w:rPr>
  </w:style>
  <w:style w:type="paragraph" w:styleId="a7">
    <w:name w:val="header"/>
    <w:basedOn w:val="a"/>
    <w:link w:val="a8"/>
    <w:uiPriority w:val="99"/>
    <w:unhideWhenUsed/>
    <w:rsid w:val="00612C1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612C1D"/>
    <w:rPr>
      <w:kern w:val="2"/>
      <w:sz w:val="18"/>
      <w:szCs w:val="18"/>
    </w:rPr>
  </w:style>
  <w:style w:type="paragraph" w:styleId="a9">
    <w:name w:val="footer"/>
    <w:basedOn w:val="a"/>
    <w:link w:val="aa"/>
    <w:uiPriority w:val="99"/>
    <w:unhideWhenUsed/>
    <w:rsid w:val="00612C1D"/>
    <w:pPr>
      <w:tabs>
        <w:tab w:val="center" w:pos="4153"/>
        <w:tab w:val="right" w:pos="8306"/>
      </w:tabs>
      <w:snapToGrid w:val="0"/>
      <w:jc w:val="left"/>
    </w:pPr>
    <w:rPr>
      <w:sz w:val="18"/>
      <w:szCs w:val="18"/>
    </w:rPr>
  </w:style>
  <w:style w:type="character" w:customStyle="1" w:styleId="aa">
    <w:name w:val="页脚 字符"/>
    <w:link w:val="a9"/>
    <w:uiPriority w:val="99"/>
    <w:rsid w:val="00612C1D"/>
    <w:rPr>
      <w:kern w:val="2"/>
      <w:sz w:val="18"/>
      <w:szCs w:val="18"/>
    </w:rPr>
  </w:style>
  <w:style w:type="character" w:styleId="ab">
    <w:name w:val="annotation reference"/>
    <w:uiPriority w:val="99"/>
    <w:semiHidden/>
    <w:unhideWhenUsed/>
    <w:rsid w:val="0027071F"/>
    <w:rPr>
      <w:sz w:val="21"/>
      <w:szCs w:val="21"/>
    </w:rPr>
  </w:style>
  <w:style w:type="paragraph" w:styleId="ac">
    <w:name w:val="annotation text"/>
    <w:basedOn w:val="a"/>
    <w:link w:val="ad"/>
    <w:uiPriority w:val="99"/>
    <w:semiHidden/>
    <w:unhideWhenUsed/>
    <w:rsid w:val="0027071F"/>
    <w:pPr>
      <w:jc w:val="left"/>
    </w:pPr>
  </w:style>
  <w:style w:type="character" w:customStyle="1" w:styleId="ad">
    <w:name w:val="批注文字 字符"/>
    <w:link w:val="ac"/>
    <w:uiPriority w:val="99"/>
    <w:semiHidden/>
    <w:rsid w:val="0027071F"/>
    <w:rPr>
      <w:kern w:val="2"/>
      <w:sz w:val="21"/>
      <w:szCs w:val="22"/>
    </w:rPr>
  </w:style>
  <w:style w:type="paragraph" w:styleId="ae">
    <w:name w:val="annotation subject"/>
    <w:basedOn w:val="ac"/>
    <w:next w:val="ac"/>
    <w:link w:val="af"/>
    <w:uiPriority w:val="99"/>
    <w:semiHidden/>
    <w:unhideWhenUsed/>
    <w:rsid w:val="0027071F"/>
    <w:rPr>
      <w:b/>
      <w:bCs/>
    </w:rPr>
  </w:style>
  <w:style w:type="character" w:customStyle="1" w:styleId="af">
    <w:name w:val="批注主题 字符"/>
    <w:link w:val="ae"/>
    <w:uiPriority w:val="99"/>
    <w:semiHidden/>
    <w:rsid w:val="0027071F"/>
    <w:rPr>
      <w:b/>
      <w:bCs/>
      <w:kern w:val="2"/>
      <w:sz w:val="21"/>
      <w:szCs w:val="22"/>
    </w:rPr>
  </w:style>
  <w:style w:type="character" w:customStyle="1" w:styleId="a4">
    <w:name w:val="列出段落 字符"/>
    <w:link w:val="a3"/>
    <w:uiPriority w:val="34"/>
    <w:qFormat/>
    <w:rsid w:val="00F83B14"/>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005574">
      <w:bodyDiv w:val="1"/>
      <w:marLeft w:val="0"/>
      <w:marRight w:val="0"/>
      <w:marTop w:val="0"/>
      <w:marBottom w:val="0"/>
      <w:divBdr>
        <w:top w:val="none" w:sz="0" w:space="0" w:color="auto"/>
        <w:left w:val="none" w:sz="0" w:space="0" w:color="auto"/>
        <w:bottom w:val="none" w:sz="0" w:space="0" w:color="auto"/>
        <w:right w:val="none" w:sz="0" w:space="0" w:color="auto"/>
      </w:divBdr>
    </w:div>
    <w:div w:id="18843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75B42-FA25-4377-8C04-E62B00FB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5190</Characters>
  <Application>Microsoft Office Word</Application>
  <DocSecurity>4</DocSecurity>
  <Lines>43</Lines>
  <Paragraphs>12</Paragraphs>
  <ScaleCrop>false</ScaleCrop>
  <Company>中国平安保险(集团)股份有限公司</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SYSOPS00240132</cp:lastModifiedBy>
  <cp:revision>2</cp:revision>
  <dcterms:created xsi:type="dcterms:W3CDTF">2024-02-08T08:53:00Z</dcterms:created>
  <dcterms:modified xsi:type="dcterms:W3CDTF">2024-02-08T08:53:00Z</dcterms:modified>
</cp:coreProperties>
</file>